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CBA23" w14:textId="77777777" w:rsidR="00652D10" w:rsidRDefault="00652D10"/>
    <w:p w14:paraId="7A1AB5F4" w14:textId="77777777" w:rsidR="00652D10" w:rsidRDefault="00652D10"/>
    <w:p w14:paraId="76C358D5" w14:textId="77777777" w:rsidR="00652D10" w:rsidRDefault="00652D10"/>
    <w:p w14:paraId="69D3E1F7" w14:textId="77777777" w:rsidR="00652D10" w:rsidRPr="00652D10" w:rsidRDefault="00652D10" w:rsidP="00652D10">
      <w:pPr>
        <w:spacing w:after="0" w:line="240" w:lineRule="auto"/>
        <w:jc w:val="center"/>
        <w:rPr>
          <w:rFonts w:ascii="Segoe UI" w:eastAsia="Times New Roman" w:hAnsi="Segoe UI" w:cs="Segoe UI"/>
          <w:color w:val="000000"/>
          <w:kern w:val="0"/>
          <w:sz w:val="21"/>
          <w:szCs w:val="21"/>
          <w:lang w:eastAsia="es-CO"/>
          <w14:ligatures w14:val="none"/>
        </w:rPr>
      </w:pPr>
      <w:r w:rsidRPr="00652D10">
        <w:rPr>
          <w:rFonts w:ascii="Segoe UI" w:eastAsia="Times New Roman" w:hAnsi="Segoe UI" w:cs="Segoe UI"/>
          <w:b/>
          <w:bCs/>
          <w:color w:val="000000"/>
          <w:kern w:val="0"/>
          <w:sz w:val="21"/>
          <w:szCs w:val="21"/>
          <w:lang w:eastAsia="es-CO"/>
          <w14:ligatures w14:val="none"/>
        </w:rPr>
        <w:t xml:space="preserve">CONCEPTO </w:t>
      </w:r>
      <w:proofErr w:type="spellStart"/>
      <w:r w:rsidRPr="00652D10">
        <w:rPr>
          <w:rFonts w:ascii="Segoe UI" w:eastAsia="Times New Roman" w:hAnsi="Segoe UI" w:cs="Segoe UI"/>
          <w:b/>
          <w:bCs/>
          <w:color w:val="000000"/>
          <w:kern w:val="0"/>
          <w:sz w:val="21"/>
          <w:szCs w:val="21"/>
          <w:lang w:eastAsia="es-CO"/>
          <w14:ligatures w14:val="none"/>
        </w:rPr>
        <w:t>Nº</w:t>
      </w:r>
      <w:proofErr w:type="spellEnd"/>
      <w:r w:rsidRPr="00652D10">
        <w:rPr>
          <w:rFonts w:ascii="Segoe UI" w:eastAsia="Times New Roman" w:hAnsi="Segoe UI" w:cs="Segoe UI"/>
          <w:b/>
          <w:bCs/>
          <w:color w:val="000000"/>
          <w:kern w:val="0"/>
          <w:sz w:val="21"/>
          <w:szCs w:val="21"/>
          <w:lang w:eastAsia="es-CO"/>
          <w14:ligatures w14:val="none"/>
        </w:rPr>
        <w:t xml:space="preserve"> 1124 [010871]</w:t>
      </w:r>
    </w:p>
    <w:p w14:paraId="0090BFE3" w14:textId="77777777" w:rsidR="00652D10" w:rsidRPr="00652D10" w:rsidRDefault="00652D10" w:rsidP="00652D10">
      <w:pPr>
        <w:spacing w:after="0" w:line="240" w:lineRule="auto"/>
        <w:jc w:val="center"/>
        <w:rPr>
          <w:rFonts w:ascii="Segoe UI" w:eastAsia="Times New Roman" w:hAnsi="Segoe UI" w:cs="Segoe UI"/>
          <w:color w:val="000000"/>
          <w:kern w:val="0"/>
          <w:sz w:val="21"/>
          <w:szCs w:val="21"/>
          <w:lang w:eastAsia="es-CO"/>
          <w14:ligatures w14:val="none"/>
        </w:rPr>
      </w:pPr>
      <w:r w:rsidRPr="00652D10">
        <w:rPr>
          <w:rFonts w:ascii="Segoe UI" w:eastAsia="Times New Roman" w:hAnsi="Segoe UI" w:cs="Segoe UI"/>
          <w:b/>
          <w:bCs/>
          <w:color w:val="000000"/>
          <w:kern w:val="0"/>
          <w:sz w:val="21"/>
          <w:szCs w:val="21"/>
          <w:lang w:eastAsia="es-CO"/>
          <w14:ligatures w14:val="none"/>
        </w:rPr>
        <w:t>02-08-2023</w:t>
      </w:r>
    </w:p>
    <w:p w14:paraId="4C1E244E" w14:textId="77777777" w:rsidR="00652D10" w:rsidRPr="00652D10" w:rsidRDefault="00652D10" w:rsidP="00652D10">
      <w:pPr>
        <w:spacing w:after="0" w:line="240" w:lineRule="auto"/>
        <w:jc w:val="center"/>
        <w:rPr>
          <w:rFonts w:ascii="Segoe UI" w:eastAsia="Times New Roman" w:hAnsi="Segoe UI" w:cs="Segoe UI"/>
          <w:color w:val="000000"/>
          <w:kern w:val="0"/>
          <w:sz w:val="21"/>
          <w:szCs w:val="21"/>
          <w:lang w:eastAsia="es-CO"/>
          <w14:ligatures w14:val="none"/>
        </w:rPr>
      </w:pPr>
      <w:r w:rsidRPr="00652D10">
        <w:rPr>
          <w:rFonts w:ascii="Segoe UI" w:eastAsia="Times New Roman" w:hAnsi="Segoe UI" w:cs="Segoe UI"/>
          <w:b/>
          <w:bCs/>
          <w:color w:val="000000"/>
          <w:kern w:val="0"/>
          <w:sz w:val="21"/>
          <w:szCs w:val="21"/>
          <w:lang w:eastAsia="es-CO"/>
          <w14:ligatures w14:val="none"/>
        </w:rPr>
        <w:t>DIAN</w:t>
      </w:r>
    </w:p>
    <w:p w14:paraId="3B63B10F" w14:textId="77777777" w:rsidR="00652D10" w:rsidRPr="00652D10" w:rsidRDefault="00652D10" w:rsidP="00652D10">
      <w:pPr>
        <w:spacing w:after="0" w:line="240" w:lineRule="auto"/>
        <w:jc w:val="both"/>
        <w:rPr>
          <w:rFonts w:ascii="Segoe UI" w:eastAsia="Times New Roman" w:hAnsi="Segoe UI" w:cs="Segoe UI"/>
          <w:color w:val="000000"/>
          <w:kern w:val="0"/>
          <w:sz w:val="21"/>
          <w:szCs w:val="21"/>
          <w:lang w:eastAsia="es-CO"/>
          <w14:ligatures w14:val="none"/>
        </w:rPr>
      </w:pPr>
      <w:r w:rsidRPr="00652D10">
        <w:rPr>
          <w:rFonts w:ascii="Segoe UI" w:eastAsia="Times New Roman" w:hAnsi="Segoe UI" w:cs="Segoe UI"/>
          <w:color w:val="000000"/>
          <w:kern w:val="0"/>
          <w:sz w:val="21"/>
          <w:szCs w:val="21"/>
          <w:lang w:eastAsia="es-CO"/>
          <w14:ligatures w14:val="none"/>
        </w:rPr>
        <w:t> </w:t>
      </w:r>
    </w:p>
    <w:p w14:paraId="7A8C60E4" w14:textId="77777777" w:rsidR="00652D10" w:rsidRPr="00652D10" w:rsidRDefault="00652D10" w:rsidP="00652D10">
      <w:pPr>
        <w:spacing w:after="0" w:line="240" w:lineRule="auto"/>
        <w:jc w:val="both"/>
        <w:rPr>
          <w:rFonts w:ascii="Segoe UI" w:eastAsia="Times New Roman" w:hAnsi="Segoe UI" w:cs="Segoe UI"/>
          <w:color w:val="000000"/>
          <w:kern w:val="0"/>
          <w:sz w:val="21"/>
          <w:szCs w:val="21"/>
          <w:lang w:eastAsia="es-CO"/>
          <w14:ligatures w14:val="none"/>
        </w:rPr>
      </w:pPr>
      <w:r w:rsidRPr="00652D10">
        <w:rPr>
          <w:rFonts w:ascii="Segoe UI" w:eastAsia="Times New Roman" w:hAnsi="Segoe UI" w:cs="Segoe UI"/>
          <w:color w:val="000000"/>
          <w:kern w:val="0"/>
          <w:sz w:val="21"/>
          <w:szCs w:val="21"/>
          <w:lang w:eastAsia="es-CO"/>
          <w14:ligatures w14:val="none"/>
        </w:rPr>
        <w:t> </w:t>
      </w:r>
    </w:p>
    <w:p w14:paraId="766DFFDD" w14:textId="77777777" w:rsidR="00652D10" w:rsidRPr="00652D10" w:rsidRDefault="00652D10" w:rsidP="00652D10">
      <w:pPr>
        <w:spacing w:after="0" w:line="240" w:lineRule="auto"/>
        <w:jc w:val="both"/>
        <w:rPr>
          <w:rFonts w:ascii="Segoe UI" w:eastAsia="Times New Roman" w:hAnsi="Segoe UI" w:cs="Segoe UI"/>
          <w:color w:val="000000"/>
          <w:kern w:val="0"/>
          <w:sz w:val="21"/>
          <w:szCs w:val="21"/>
          <w:lang w:eastAsia="es-CO"/>
          <w14:ligatures w14:val="none"/>
        </w:rPr>
      </w:pPr>
      <w:r w:rsidRPr="00652D10">
        <w:rPr>
          <w:rFonts w:ascii="Segoe UI" w:eastAsia="Times New Roman" w:hAnsi="Segoe UI" w:cs="Segoe UI"/>
          <w:b/>
          <w:bCs/>
          <w:color w:val="000000"/>
          <w:kern w:val="0"/>
          <w:sz w:val="21"/>
          <w:szCs w:val="21"/>
          <w:lang w:eastAsia="es-CO"/>
          <w14:ligatures w14:val="none"/>
        </w:rPr>
        <w:t>100202208–1124</w:t>
      </w:r>
    </w:p>
    <w:p w14:paraId="74FDB6FF" w14:textId="77777777" w:rsidR="00652D10" w:rsidRPr="00652D10" w:rsidRDefault="00652D10" w:rsidP="00652D10">
      <w:pPr>
        <w:spacing w:after="0" w:line="240" w:lineRule="auto"/>
        <w:jc w:val="both"/>
        <w:rPr>
          <w:rFonts w:ascii="Segoe UI" w:eastAsia="Times New Roman" w:hAnsi="Segoe UI" w:cs="Segoe UI"/>
          <w:color w:val="000000"/>
          <w:kern w:val="0"/>
          <w:sz w:val="21"/>
          <w:szCs w:val="21"/>
          <w:lang w:eastAsia="es-CO"/>
          <w14:ligatures w14:val="none"/>
        </w:rPr>
      </w:pPr>
      <w:r w:rsidRPr="00652D10">
        <w:rPr>
          <w:rFonts w:ascii="Segoe UI" w:eastAsia="Times New Roman" w:hAnsi="Segoe UI" w:cs="Segoe UI"/>
          <w:color w:val="000000"/>
          <w:kern w:val="0"/>
          <w:sz w:val="21"/>
          <w:szCs w:val="21"/>
          <w:lang w:eastAsia="es-CO"/>
          <w14:ligatures w14:val="none"/>
        </w:rPr>
        <w:t>Bogotá, D.C.</w:t>
      </w:r>
    </w:p>
    <w:p w14:paraId="44623C43" w14:textId="77777777" w:rsidR="00652D10" w:rsidRPr="00652D10" w:rsidRDefault="00652D10" w:rsidP="00652D10">
      <w:pPr>
        <w:spacing w:after="0" w:line="240" w:lineRule="auto"/>
        <w:jc w:val="both"/>
        <w:rPr>
          <w:rFonts w:ascii="Segoe UI" w:eastAsia="Times New Roman" w:hAnsi="Segoe UI" w:cs="Segoe UI"/>
          <w:color w:val="000000"/>
          <w:kern w:val="0"/>
          <w:sz w:val="21"/>
          <w:szCs w:val="21"/>
          <w:lang w:eastAsia="es-CO"/>
          <w14:ligatures w14:val="none"/>
        </w:rPr>
      </w:pPr>
      <w:r w:rsidRPr="00652D10">
        <w:rPr>
          <w:rFonts w:ascii="Segoe UI" w:eastAsia="Times New Roman" w:hAnsi="Segoe UI" w:cs="Segoe UI"/>
          <w:color w:val="000000"/>
          <w:kern w:val="0"/>
          <w:sz w:val="21"/>
          <w:szCs w:val="21"/>
          <w:lang w:eastAsia="es-CO"/>
          <w14:ligatures w14:val="none"/>
        </w:rPr>
        <w:t> </w:t>
      </w:r>
    </w:p>
    <w:p w14:paraId="07AEB846" w14:textId="77777777" w:rsidR="00652D10" w:rsidRPr="00652D10" w:rsidRDefault="00652D10" w:rsidP="00652D10">
      <w:pPr>
        <w:spacing w:after="0" w:line="240" w:lineRule="auto"/>
        <w:jc w:val="both"/>
        <w:rPr>
          <w:rFonts w:ascii="Segoe UI" w:eastAsia="Times New Roman" w:hAnsi="Segoe UI" w:cs="Segoe UI"/>
          <w:color w:val="000000"/>
          <w:kern w:val="0"/>
          <w:sz w:val="21"/>
          <w:szCs w:val="21"/>
          <w:lang w:eastAsia="es-CO"/>
          <w14:ligatures w14:val="none"/>
        </w:rPr>
      </w:pPr>
      <w:r w:rsidRPr="00652D10">
        <w:rPr>
          <w:rFonts w:ascii="Segoe UI" w:eastAsia="Times New Roman" w:hAnsi="Segoe UI" w:cs="Segoe UI"/>
          <w:color w:val="000000"/>
          <w:kern w:val="0"/>
          <w:sz w:val="21"/>
          <w:szCs w:val="21"/>
          <w:lang w:eastAsia="es-CO"/>
          <w14:ligatures w14:val="none"/>
        </w:rPr>
        <w:t>Señores</w:t>
      </w:r>
    </w:p>
    <w:p w14:paraId="54E0186A" w14:textId="77777777" w:rsidR="00652D10" w:rsidRPr="00652D10" w:rsidRDefault="00652D10" w:rsidP="00652D10">
      <w:pPr>
        <w:spacing w:after="0" w:line="240" w:lineRule="auto"/>
        <w:jc w:val="both"/>
        <w:rPr>
          <w:rFonts w:ascii="Segoe UI" w:eastAsia="Times New Roman" w:hAnsi="Segoe UI" w:cs="Segoe UI"/>
          <w:color w:val="000000"/>
          <w:kern w:val="0"/>
          <w:sz w:val="21"/>
          <w:szCs w:val="21"/>
          <w:lang w:eastAsia="es-CO"/>
          <w14:ligatures w14:val="none"/>
        </w:rPr>
      </w:pPr>
      <w:r w:rsidRPr="00652D10">
        <w:rPr>
          <w:rFonts w:ascii="Segoe UI" w:eastAsia="Times New Roman" w:hAnsi="Segoe UI" w:cs="Segoe UI"/>
          <w:b/>
          <w:bCs/>
          <w:color w:val="000000"/>
          <w:kern w:val="0"/>
          <w:sz w:val="21"/>
          <w:szCs w:val="21"/>
          <w:lang w:eastAsia="es-CO"/>
          <w14:ligatures w14:val="none"/>
        </w:rPr>
        <w:t>CONTRIBUYENTES</w:t>
      </w:r>
    </w:p>
    <w:p w14:paraId="3415832F" w14:textId="77777777" w:rsidR="00652D10" w:rsidRPr="00652D10" w:rsidRDefault="00652D10" w:rsidP="00652D10">
      <w:pPr>
        <w:spacing w:after="0" w:line="240" w:lineRule="auto"/>
        <w:jc w:val="both"/>
        <w:rPr>
          <w:rFonts w:ascii="Segoe UI" w:eastAsia="Times New Roman" w:hAnsi="Segoe UI" w:cs="Segoe UI"/>
          <w:color w:val="000000"/>
          <w:kern w:val="0"/>
          <w:sz w:val="21"/>
          <w:szCs w:val="21"/>
          <w:lang w:eastAsia="es-CO"/>
          <w14:ligatures w14:val="none"/>
        </w:rPr>
      </w:pPr>
      <w:r w:rsidRPr="00652D10">
        <w:rPr>
          <w:rFonts w:ascii="Segoe UI" w:eastAsia="Times New Roman" w:hAnsi="Segoe UI" w:cs="Segoe UI"/>
          <w:color w:val="000000"/>
          <w:kern w:val="0"/>
          <w:sz w:val="21"/>
          <w:szCs w:val="21"/>
          <w:lang w:eastAsia="es-CO"/>
          <w14:ligatures w14:val="none"/>
        </w:rPr>
        <w:t>juridicanormativa@dian.gov.co</w:t>
      </w:r>
    </w:p>
    <w:p w14:paraId="38567266" w14:textId="77777777" w:rsidR="00652D10" w:rsidRPr="00652D10" w:rsidRDefault="00652D10" w:rsidP="00652D10">
      <w:pPr>
        <w:spacing w:after="0" w:line="240" w:lineRule="auto"/>
        <w:jc w:val="both"/>
        <w:rPr>
          <w:rFonts w:ascii="Segoe UI" w:eastAsia="Times New Roman" w:hAnsi="Segoe UI" w:cs="Segoe UI"/>
          <w:color w:val="000000"/>
          <w:kern w:val="0"/>
          <w:sz w:val="21"/>
          <w:szCs w:val="21"/>
          <w:lang w:eastAsia="es-CO"/>
          <w14:ligatures w14:val="none"/>
        </w:rPr>
      </w:pPr>
      <w:r w:rsidRPr="00652D10">
        <w:rPr>
          <w:rFonts w:ascii="Segoe UI" w:eastAsia="Times New Roman" w:hAnsi="Segoe UI" w:cs="Segoe UI"/>
          <w:color w:val="000000"/>
          <w:kern w:val="0"/>
          <w:sz w:val="21"/>
          <w:szCs w:val="21"/>
          <w:lang w:eastAsia="es-CO"/>
          <w14:ligatures w14:val="none"/>
        </w:rPr>
        <w:t> </w:t>
      </w:r>
    </w:p>
    <w:p w14:paraId="676F821A" w14:textId="77777777" w:rsidR="00652D10" w:rsidRPr="00652D10" w:rsidRDefault="00652D10" w:rsidP="00652D10">
      <w:pPr>
        <w:spacing w:after="0" w:line="240" w:lineRule="auto"/>
        <w:jc w:val="both"/>
        <w:rPr>
          <w:rFonts w:ascii="Segoe UI" w:eastAsia="Times New Roman" w:hAnsi="Segoe UI" w:cs="Segoe UI"/>
          <w:color w:val="000000"/>
          <w:kern w:val="0"/>
          <w:sz w:val="21"/>
          <w:szCs w:val="21"/>
          <w:lang w:eastAsia="es-CO"/>
          <w14:ligatures w14:val="none"/>
        </w:rPr>
      </w:pPr>
      <w:r w:rsidRPr="00652D10">
        <w:rPr>
          <w:rFonts w:ascii="Segoe UI" w:eastAsia="Times New Roman" w:hAnsi="Segoe UI" w:cs="Segoe UI"/>
          <w:b/>
          <w:bCs/>
          <w:color w:val="000000"/>
          <w:kern w:val="0"/>
          <w:sz w:val="21"/>
          <w:szCs w:val="21"/>
          <w:lang w:eastAsia="es-CO"/>
          <w14:ligatures w14:val="none"/>
        </w:rPr>
        <w:t>Ref.:</w:t>
      </w:r>
      <w:r w:rsidRPr="00652D10">
        <w:rPr>
          <w:rFonts w:ascii="Segoe UI" w:eastAsia="Times New Roman" w:hAnsi="Segoe UI" w:cs="Segoe UI"/>
          <w:color w:val="000000"/>
          <w:kern w:val="0"/>
          <w:sz w:val="21"/>
          <w:szCs w:val="21"/>
          <w:lang w:eastAsia="es-CO"/>
          <w14:ligatures w14:val="none"/>
        </w:rPr>
        <w:t> Análisis de las solicitudes de reconsideración del Concepto 002211 - interno 224 de febrero 24 de 2023 (Concepto General sobre el impuesto de timbre nacional con motivo de la Ley 2277 de 2022)</w:t>
      </w:r>
    </w:p>
    <w:p w14:paraId="3BDF117D" w14:textId="77777777" w:rsidR="00652D10" w:rsidRPr="00652D10" w:rsidRDefault="00652D10" w:rsidP="00652D10">
      <w:pPr>
        <w:spacing w:after="0" w:line="240" w:lineRule="auto"/>
        <w:jc w:val="both"/>
        <w:rPr>
          <w:rFonts w:ascii="Segoe UI" w:eastAsia="Times New Roman" w:hAnsi="Segoe UI" w:cs="Segoe UI"/>
          <w:color w:val="000000"/>
          <w:kern w:val="0"/>
          <w:sz w:val="21"/>
          <w:szCs w:val="21"/>
          <w:lang w:eastAsia="es-CO"/>
          <w14:ligatures w14:val="none"/>
        </w:rPr>
      </w:pPr>
      <w:r w:rsidRPr="00652D10">
        <w:rPr>
          <w:rFonts w:ascii="Segoe UI" w:eastAsia="Times New Roman" w:hAnsi="Segoe UI" w:cs="Segoe UI"/>
          <w:color w:val="000000"/>
          <w:kern w:val="0"/>
          <w:sz w:val="21"/>
          <w:szCs w:val="21"/>
          <w:lang w:eastAsia="es-CO"/>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2251"/>
        <w:gridCol w:w="4315"/>
      </w:tblGrid>
      <w:tr w:rsidR="00652D10" w:rsidRPr="00652D10" w14:paraId="40BD5385" w14:textId="77777777" w:rsidTr="00652D10">
        <w:tc>
          <w:tcPr>
            <w:tcW w:w="2251" w:type="dxa"/>
            <w:tcBorders>
              <w:top w:val="nil"/>
              <w:left w:val="nil"/>
              <w:bottom w:val="nil"/>
              <w:right w:val="nil"/>
            </w:tcBorders>
            <w:tcMar>
              <w:top w:w="0" w:type="dxa"/>
              <w:left w:w="105" w:type="dxa"/>
              <w:bottom w:w="0" w:type="dxa"/>
              <w:right w:w="105" w:type="dxa"/>
            </w:tcMar>
            <w:hideMark/>
          </w:tcPr>
          <w:p w14:paraId="77AEAD6B" w14:textId="77777777" w:rsidR="00652D10" w:rsidRPr="00652D10" w:rsidRDefault="00652D10" w:rsidP="00652D10">
            <w:pPr>
              <w:spacing w:after="0" w:line="240" w:lineRule="auto"/>
              <w:jc w:val="both"/>
              <w:rPr>
                <w:rFonts w:ascii="Segoe UI" w:eastAsia="Times New Roman" w:hAnsi="Segoe UI" w:cs="Segoe UI"/>
                <w:kern w:val="0"/>
                <w:sz w:val="21"/>
                <w:szCs w:val="21"/>
                <w:lang w:eastAsia="es-CO"/>
                <w14:ligatures w14:val="none"/>
              </w:rPr>
            </w:pPr>
            <w:r w:rsidRPr="00652D10">
              <w:rPr>
                <w:rFonts w:ascii="Segoe UI" w:eastAsia="Times New Roman" w:hAnsi="Segoe UI" w:cs="Segoe UI"/>
                <w:b/>
                <w:bCs/>
                <w:kern w:val="0"/>
                <w:sz w:val="21"/>
                <w:szCs w:val="21"/>
                <w:lang w:eastAsia="es-CO"/>
                <w14:ligatures w14:val="none"/>
              </w:rPr>
              <w:t>Tema:</w:t>
            </w:r>
          </w:p>
        </w:tc>
        <w:tc>
          <w:tcPr>
            <w:tcW w:w="4315" w:type="dxa"/>
            <w:tcBorders>
              <w:top w:val="nil"/>
              <w:left w:val="nil"/>
              <w:bottom w:val="nil"/>
              <w:right w:val="nil"/>
            </w:tcBorders>
            <w:tcMar>
              <w:top w:w="0" w:type="dxa"/>
              <w:left w:w="105" w:type="dxa"/>
              <w:bottom w:w="0" w:type="dxa"/>
              <w:right w:w="105" w:type="dxa"/>
            </w:tcMar>
            <w:hideMark/>
          </w:tcPr>
          <w:p w14:paraId="033FC6E1" w14:textId="77777777" w:rsidR="00652D10" w:rsidRPr="00652D10" w:rsidRDefault="00652D10" w:rsidP="00652D10">
            <w:pPr>
              <w:spacing w:after="0" w:line="240" w:lineRule="auto"/>
              <w:jc w:val="both"/>
              <w:rPr>
                <w:rFonts w:ascii="Segoe UI" w:eastAsia="Times New Roman" w:hAnsi="Segoe UI" w:cs="Segoe UI"/>
                <w:kern w:val="0"/>
                <w:sz w:val="21"/>
                <w:szCs w:val="21"/>
                <w:lang w:eastAsia="es-CO"/>
                <w14:ligatures w14:val="none"/>
              </w:rPr>
            </w:pPr>
            <w:r w:rsidRPr="00652D10">
              <w:rPr>
                <w:rFonts w:ascii="Segoe UI" w:eastAsia="Times New Roman" w:hAnsi="Segoe UI" w:cs="Segoe UI"/>
                <w:kern w:val="0"/>
                <w:sz w:val="21"/>
                <w:szCs w:val="21"/>
                <w:lang w:eastAsia="es-CO"/>
                <w14:ligatures w14:val="none"/>
              </w:rPr>
              <w:t>Impuesto de timbre nacional</w:t>
            </w:r>
          </w:p>
        </w:tc>
      </w:tr>
      <w:tr w:rsidR="00652D10" w:rsidRPr="00652D10" w14:paraId="2CB29A90" w14:textId="77777777" w:rsidTr="00652D10">
        <w:tc>
          <w:tcPr>
            <w:tcW w:w="2251" w:type="dxa"/>
            <w:tcBorders>
              <w:top w:val="nil"/>
              <w:left w:val="nil"/>
              <w:bottom w:val="nil"/>
              <w:right w:val="nil"/>
            </w:tcBorders>
            <w:tcMar>
              <w:top w:w="0" w:type="dxa"/>
              <w:left w:w="105" w:type="dxa"/>
              <w:bottom w:w="0" w:type="dxa"/>
              <w:right w:w="105" w:type="dxa"/>
            </w:tcMar>
            <w:hideMark/>
          </w:tcPr>
          <w:p w14:paraId="3A39EE7C" w14:textId="77777777" w:rsidR="00652D10" w:rsidRPr="00652D10" w:rsidRDefault="00652D10" w:rsidP="00652D10">
            <w:pPr>
              <w:spacing w:after="0" w:line="240" w:lineRule="auto"/>
              <w:jc w:val="both"/>
              <w:rPr>
                <w:rFonts w:ascii="Segoe UI" w:eastAsia="Times New Roman" w:hAnsi="Segoe UI" w:cs="Segoe UI"/>
                <w:kern w:val="0"/>
                <w:sz w:val="21"/>
                <w:szCs w:val="21"/>
                <w:lang w:eastAsia="es-CO"/>
                <w14:ligatures w14:val="none"/>
              </w:rPr>
            </w:pPr>
            <w:r w:rsidRPr="00652D10">
              <w:rPr>
                <w:rFonts w:ascii="Segoe UI" w:eastAsia="Times New Roman" w:hAnsi="Segoe UI" w:cs="Segoe UI"/>
                <w:b/>
                <w:bCs/>
                <w:kern w:val="0"/>
                <w:sz w:val="21"/>
                <w:szCs w:val="21"/>
                <w:lang w:eastAsia="es-CO"/>
                <w14:ligatures w14:val="none"/>
              </w:rPr>
              <w:t>Descriptores:</w:t>
            </w:r>
          </w:p>
        </w:tc>
        <w:tc>
          <w:tcPr>
            <w:tcW w:w="4315" w:type="dxa"/>
            <w:tcBorders>
              <w:top w:val="nil"/>
              <w:left w:val="nil"/>
              <w:bottom w:val="nil"/>
              <w:right w:val="nil"/>
            </w:tcBorders>
            <w:tcMar>
              <w:top w:w="0" w:type="dxa"/>
              <w:left w:w="105" w:type="dxa"/>
              <w:bottom w:w="0" w:type="dxa"/>
              <w:right w:w="105" w:type="dxa"/>
            </w:tcMar>
            <w:hideMark/>
          </w:tcPr>
          <w:p w14:paraId="5B7EDB5E" w14:textId="77777777" w:rsidR="00652D10" w:rsidRPr="00652D10" w:rsidRDefault="00652D10" w:rsidP="00652D10">
            <w:pPr>
              <w:spacing w:after="0" w:line="240" w:lineRule="auto"/>
              <w:jc w:val="both"/>
              <w:rPr>
                <w:rFonts w:ascii="Segoe UI" w:eastAsia="Times New Roman" w:hAnsi="Segoe UI" w:cs="Segoe UI"/>
                <w:kern w:val="0"/>
                <w:sz w:val="21"/>
                <w:szCs w:val="21"/>
                <w:lang w:eastAsia="es-CO"/>
                <w14:ligatures w14:val="none"/>
              </w:rPr>
            </w:pPr>
            <w:r w:rsidRPr="00652D10">
              <w:rPr>
                <w:rFonts w:ascii="Segoe UI" w:eastAsia="Times New Roman" w:hAnsi="Segoe UI" w:cs="Segoe UI"/>
                <w:kern w:val="0"/>
                <w:sz w:val="21"/>
                <w:szCs w:val="21"/>
                <w:lang w:eastAsia="es-CO"/>
                <w14:ligatures w14:val="none"/>
              </w:rPr>
              <w:t>Causación</w:t>
            </w:r>
          </w:p>
        </w:tc>
      </w:tr>
      <w:tr w:rsidR="00652D10" w:rsidRPr="00652D10" w14:paraId="0C7B5E0B" w14:textId="77777777" w:rsidTr="00652D10">
        <w:tc>
          <w:tcPr>
            <w:tcW w:w="2251" w:type="dxa"/>
            <w:tcBorders>
              <w:top w:val="nil"/>
              <w:left w:val="nil"/>
              <w:bottom w:val="nil"/>
              <w:right w:val="nil"/>
            </w:tcBorders>
            <w:tcMar>
              <w:top w:w="0" w:type="dxa"/>
              <w:left w:w="105" w:type="dxa"/>
              <w:bottom w:w="0" w:type="dxa"/>
              <w:right w:w="105" w:type="dxa"/>
            </w:tcMar>
            <w:hideMark/>
          </w:tcPr>
          <w:p w14:paraId="5AE051FD" w14:textId="77777777" w:rsidR="00652D10" w:rsidRPr="00652D10" w:rsidRDefault="00652D10" w:rsidP="00652D10">
            <w:pPr>
              <w:spacing w:after="0" w:line="240" w:lineRule="auto"/>
              <w:jc w:val="both"/>
              <w:rPr>
                <w:rFonts w:ascii="Segoe UI" w:eastAsia="Times New Roman" w:hAnsi="Segoe UI" w:cs="Segoe UI"/>
                <w:kern w:val="0"/>
                <w:sz w:val="21"/>
                <w:szCs w:val="21"/>
                <w:lang w:eastAsia="es-CO"/>
                <w14:ligatures w14:val="none"/>
              </w:rPr>
            </w:pPr>
            <w:r w:rsidRPr="00652D10">
              <w:rPr>
                <w:rFonts w:ascii="Segoe UI" w:eastAsia="Times New Roman" w:hAnsi="Segoe UI" w:cs="Segoe UI"/>
                <w:b/>
                <w:bCs/>
                <w:kern w:val="0"/>
                <w:sz w:val="21"/>
                <w:szCs w:val="21"/>
                <w:lang w:eastAsia="es-CO"/>
                <w14:ligatures w14:val="none"/>
              </w:rPr>
              <w:t>Fuentes formales:</w:t>
            </w:r>
          </w:p>
        </w:tc>
        <w:tc>
          <w:tcPr>
            <w:tcW w:w="4315" w:type="dxa"/>
            <w:tcBorders>
              <w:top w:val="nil"/>
              <w:left w:val="nil"/>
              <w:bottom w:val="nil"/>
              <w:right w:val="nil"/>
            </w:tcBorders>
            <w:tcMar>
              <w:top w:w="0" w:type="dxa"/>
              <w:left w:w="105" w:type="dxa"/>
              <w:bottom w:w="0" w:type="dxa"/>
              <w:right w:w="105" w:type="dxa"/>
            </w:tcMar>
            <w:hideMark/>
          </w:tcPr>
          <w:p w14:paraId="6AB64248" w14:textId="77777777" w:rsidR="00652D10" w:rsidRPr="00652D10" w:rsidRDefault="00652D10" w:rsidP="00652D10">
            <w:pPr>
              <w:spacing w:after="0" w:line="240" w:lineRule="auto"/>
              <w:jc w:val="both"/>
              <w:rPr>
                <w:rFonts w:ascii="Segoe UI" w:eastAsia="Times New Roman" w:hAnsi="Segoe UI" w:cs="Segoe UI"/>
                <w:kern w:val="0"/>
                <w:sz w:val="21"/>
                <w:szCs w:val="21"/>
                <w:lang w:eastAsia="es-CO"/>
                <w14:ligatures w14:val="none"/>
              </w:rPr>
            </w:pPr>
            <w:r w:rsidRPr="00652D10">
              <w:rPr>
                <w:rFonts w:ascii="Segoe UI" w:eastAsia="Times New Roman" w:hAnsi="Segoe UI" w:cs="Segoe UI"/>
                <w:kern w:val="0"/>
                <w:sz w:val="21"/>
                <w:szCs w:val="21"/>
                <w:lang w:eastAsia="es-CO"/>
                <w14:ligatures w14:val="none"/>
              </w:rPr>
              <w:t>Artículo 338 de la Constitución Política</w:t>
            </w:r>
          </w:p>
          <w:p w14:paraId="6D19A928" w14:textId="77777777" w:rsidR="00652D10" w:rsidRPr="00652D10" w:rsidRDefault="00652D10" w:rsidP="00652D10">
            <w:pPr>
              <w:spacing w:after="0" w:line="240" w:lineRule="auto"/>
              <w:jc w:val="both"/>
              <w:rPr>
                <w:rFonts w:ascii="Segoe UI" w:eastAsia="Times New Roman" w:hAnsi="Segoe UI" w:cs="Segoe UI"/>
                <w:kern w:val="0"/>
                <w:sz w:val="21"/>
                <w:szCs w:val="21"/>
                <w:lang w:eastAsia="es-CO"/>
                <w14:ligatures w14:val="none"/>
              </w:rPr>
            </w:pPr>
            <w:r w:rsidRPr="00652D10">
              <w:rPr>
                <w:rFonts w:ascii="Segoe UI" w:eastAsia="Times New Roman" w:hAnsi="Segoe UI" w:cs="Segoe UI"/>
                <w:kern w:val="0"/>
                <w:sz w:val="21"/>
                <w:szCs w:val="21"/>
                <w:lang w:eastAsia="es-CO"/>
                <w14:ligatures w14:val="none"/>
              </w:rPr>
              <w:t>Artículos </w:t>
            </w:r>
            <w:hyperlink r:id="rId4" w:tooltip="Estatuto Tributario CETA" w:history="1">
              <w:r w:rsidRPr="00652D10">
                <w:rPr>
                  <w:rFonts w:ascii="Segoe UI" w:eastAsia="Times New Roman" w:hAnsi="Segoe UI" w:cs="Segoe UI"/>
                  <w:color w:val="0645AD"/>
                  <w:kern w:val="0"/>
                  <w:sz w:val="21"/>
                  <w:szCs w:val="21"/>
                  <w:u w:val="single"/>
                  <w:lang w:eastAsia="es-CO"/>
                  <w14:ligatures w14:val="none"/>
                </w:rPr>
                <w:t>102</w:t>
              </w:r>
            </w:hyperlink>
            <w:r w:rsidRPr="00652D10">
              <w:rPr>
                <w:rFonts w:ascii="Segoe UI" w:eastAsia="Times New Roman" w:hAnsi="Segoe UI" w:cs="Segoe UI"/>
                <w:kern w:val="0"/>
                <w:sz w:val="21"/>
                <w:szCs w:val="21"/>
                <w:lang w:eastAsia="es-CO"/>
                <w14:ligatures w14:val="none"/>
              </w:rPr>
              <w:t> y </w:t>
            </w:r>
            <w:hyperlink r:id="rId5" w:tooltip="Estatuto Tributario CETA" w:history="1">
              <w:r w:rsidRPr="00652D10">
                <w:rPr>
                  <w:rFonts w:ascii="Segoe UI" w:eastAsia="Times New Roman" w:hAnsi="Segoe UI" w:cs="Segoe UI"/>
                  <w:color w:val="0645AD"/>
                  <w:kern w:val="0"/>
                  <w:sz w:val="21"/>
                  <w:szCs w:val="21"/>
                  <w:u w:val="single"/>
                  <w:lang w:eastAsia="es-CO"/>
                  <w14:ligatures w14:val="none"/>
                </w:rPr>
                <w:t>519</w:t>
              </w:r>
            </w:hyperlink>
            <w:r w:rsidRPr="00652D10">
              <w:rPr>
                <w:rFonts w:ascii="Segoe UI" w:eastAsia="Times New Roman" w:hAnsi="Segoe UI" w:cs="Segoe UI"/>
                <w:kern w:val="0"/>
                <w:sz w:val="21"/>
                <w:szCs w:val="21"/>
                <w:lang w:eastAsia="es-CO"/>
                <w14:ligatures w14:val="none"/>
              </w:rPr>
              <w:t> del Estatuto Tributario</w:t>
            </w:r>
          </w:p>
        </w:tc>
      </w:tr>
    </w:tbl>
    <w:p w14:paraId="73D37EDF" w14:textId="77777777" w:rsidR="00652D10" w:rsidRPr="00652D10" w:rsidRDefault="00652D10" w:rsidP="00652D10">
      <w:pPr>
        <w:spacing w:after="0" w:line="240" w:lineRule="auto"/>
        <w:jc w:val="both"/>
        <w:rPr>
          <w:rFonts w:ascii="Segoe UI" w:eastAsia="Times New Roman" w:hAnsi="Segoe UI" w:cs="Segoe UI"/>
          <w:color w:val="000000"/>
          <w:kern w:val="0"/>
          <w:sz w:val="21"/>
          <w:szCs w:val="21"/>
          <w:lang w:eastAsia="es-CO"/>
          <w14:ligatures w14:val="none"/>
        </w:rPr>
      </w:pPr>
      <w:r w:rsidRPr="00652D10">
        <w:rPr>
          <w:rFonts w:ascii="Segoe UI" w:eastAsia="Times New Roman" w:hAnsi="Segoe UI" w:cs="Segoe UI"/>
          <w:color w:val="000000"/>
          <w:kern w:val="0"/>
          <w:sz w:val="21"/>
          <w:szCs w:val="21"/>
          <w:lang w:eastAsia="es-CO"/>
          <w14:ligatures w14:val="none"/>
        </w:rPr>
        <w:t> </w:t>
      </w:r>
    </w:p>
    <w:p w14:paraId="13B717AB" w14:textId="77777777" w:rsidR="00652D10" w:rsidRPr="00652D10" w:rsidRDefault="00652D10" w:rsidP="00652D10">
      <w:pPr>
        <w:spacing w:after="0" w:line="240" w:lineRule="auto"/>
        <w:jc w:val="both"/>
        <w:rPr>
          <w:rFonts w:ascii="Segoe UI" w:eastAsia="Times New Roman" w:hAnsi="Segoe UI" w:cs="Segoe UI"/>
          <w:color w:val="000000"/>
          <w:kern w:val="0"/>
          <w:sz w:val="21"/>
          <w:szCs w:val="21"/>
          <w:lang w:eastAsia="es-CO"/>
          <w14:ligatures w14:val="none"/>
        </w:rPr>
      </w:pPr>
      <w:r w:rsidRPr="00652D10">
        <w:rPr>
          <w:rFonts w:ascii="Segoe UI" w:eastAsia="Times New Roman" w:hAnsi="Segoe UI" w:cs="Segoe UI"/>
          <w:color w:val="000000"/>
          <w:kern w:val="0"/>
          <w:sz w:val="21"/>
          <w:szCs w:val="21"/>
          <w:lang w:eastAsia="es-CO"/>
          <w14:ligatures w14:val="none"/>
        </w:rPr>
        <w:t> </w:t>
      </w:r>
    </w:p>
    <w:p w14:paraId="7213A8E6" w14:textId="77777777" w:rsidR="00652D10" w:rsidRPr="00652D10" w:rsidRDefault="00652D10" w:rsidP="00652D10">
      <w:pPr>
        <w:spacing w:after="0" w:line="240" w:lineRule="auto"/>
        <w:jc w:val="both"/>
        <w:rPr>
          <w:rFonts w:ascii="Segoe UI" w:eastAsia="Times New Roman" w:hAnsi="Segoe UI" w:cs="Segoe UI"/>
          <w:color w:val="000000"/>
          <w:kern w:val="0"/>
          <w:sz w:val="21"/>
          <w:szCs w:val="21"/>
          <w:lang w:eastAsia="es-CO"/>
          <w14:ligatures w14:val="none"/>
        </w:rPr>
      </w:pPr>
      <w:r w:rsidRPr="00652D10">
        <w:rPr>
          <w:rFonts w:ascii="Segoe UI" w:eastAsia="Times New Roman" w:hAnsi="Segoe UI" w:cs="Segoe UI"/>
          <w:color w:val="000000"/>
          <w:kern w:val="0"/>
          <w:sz w:val="21"/>
          <w:szCs w:val="21"/>
          <w:lang w:eastAsia="es-CO"/>
          <w14:ligatures w14:val="none"/>
        </w:rPr>
        <w:t>Cordial saludo.</w:t>
      </w:r>
    </w:p>
    <w:p w14:paraId="77437F14" w14:textId="77777777" w:rsidR="00652D10" w:rsidRPr="00652D10" w:rsidRDefault="00652D10" w:rsidP="00652D10">
      <w:pPr>
        <w:spacing w:after="0" w:line="240" w:lineRule="auto"/>
        <w:jc w:val="both"/>
        <w:rPr>
          <w:rFonts w:ascii="Segoe UI" w:eastAsia="Times New Roman" w:hAnsi="Segoe UI" w:cs="Segoe UI"/>
          <w:color w:val="000000"/>
          <w:kern w:val="0"/>
          <w:sz w:val="21"/>
          <w:szCs w:val="21"/>
          <w:lang w:eastAsia="es-CO"/>
          <w14:ligatures w14:val="none"/>
        </w:rPr>
      </w:pPr>
      <w:r w:rsidRPr="00652D10">
        <w:rPr>
          <w:rFonts w:ascii="Segoe UI" w:eastAsia="Times New Roman" w:hAnsi="Segoe UI" w:cs="Segoe UI"/>
          <w:color w:val="000000"/>
          <w:kern w:val="0"/>
          <w:sz w:val="21"/>
          <w:szCs w:val="21"/>
          <w:lang w:eastAsia="es-CO"/>
          <w14:ligatures w14:val="none"/>
        </w:rPr>
        <w:t> </w:t>
      </w:r>
    </w:p>
    <w:p w14:paraId="736F2876" w14:textId="77777777" w:rsidR="00652D10" w:rsidRPr="00652D10" w:rsidRDefault="00652D10" w:rsidP="00652D10">
      <w:pPr>
        <w:spacing w:after="0" w:line="240" w:lineRule="auto"/>
        <w:jc w:val="both"/>
        <w:rPr>
          <w:rFonts w:ascii="Segoe UI" w:eastAsia="Times New Roman" w:hAnsi="Segoe UI" w:cs="Segoe UI"/>
          <w:color w:val="000000"/>
          <w:kern w:val="0"/>
          <w:sz w:val="21"/>
          <w:szCs w:val="21"/>
          <w:lang w:eastAsia="es-CO"/>
          <w14:ligatures w14:val="none"/>
        </w:rPr>
      </w:pPr>
      <w:r w:rsidRPr="00652D10">
        <w:rPr>
          <w:rFonts w:ascii="Segoe UI" w:eastAsia="Times New Roman" w:hAnsi="Segoe UI" w:cs="Segoe UI"/>
          <w:color w:val="000000"/>
          <w:kern w:val="0"/>
          <w:sz w:val="21"/>
          <w:szCs w:val="21"/>
          <w:lang w:eastAsia="es-CO"/>
          <w14:ligatures w14:val="none"/>
        </w:rPr>
        <w:t>De conformidad con el artículo 55 del Decreto 1742 de 2020, este Despacho está facultado para absolver las peticiones de reconsideración de conceptos expedidos por la Subdirección de Normativa y Doctrina en materia tributaria, aduanera o de fiscalización cambiaria, en lo de competencia de la Entidad.</w:t>
      </w:r>
    </w:p>
    <w:p w14:paraId="0A701D00" w14:textId="77777777" w:rsidR="00652D10" w:rsidRPr="00652D10" w:rsidRDefault="00652D10" w:rsidP="00652D10">
      <w:pPr>
        <w:spacing w:after="0" w:line="240" w:lineRule="auto"/>
        <w:jc w:val="both"/>
        <w:rPr>
          <w:rFonts w:ascii="Segoe UI" w:eastAsia="Times New Roman" w:hAnsi="Segoe UI" w:cs="Segoe UI"/>
          <w:color w:val="000000"/>
          <w:kern w:val="0"/>
          <w:sz w:val="21"/>
          <w:szCs w:val="21"/>
          <w:lang w:eastAsia="es-CO"/>
          <w14:ligatures w14:val="none"/>
        </w:rPr>
      </w:pPr>
      <w:r w:rsidRPr="00652D10">
        <w:rPr>
          <w:rFonts w:ascii="Segoe UI" w:eastAsia="Times New Roman" w:hAnsi="Segoe UI" w:cs="Segoe UI"/>
          <w:color w:val="000000"/>
          <w:kern w:val="0"/>
          <w:sz w:val="21"/>
          <w:szCs w:val="21"/>
          <w:lang w:eastAsia="es-CO"/>
          <w14:ligatures w14:val="none"/>
        </w:rPr>
        <w:t> </w:t>
      </w:r>
    </w:p>
    <w:p w14:paraId="0A152C4B" w14:textId="77777777" w:rsidR="00652D10" w:rsidRPr="00652D10" w:rsidRDefault="00652D10" w:rsidP="00652D10">
      <w:pPr>
        <w:spacing w:after="0" w:line="240" w:lineRule="auto"/>
        <w:jc w:val="both"/>
        <w:rPr>
          <w:rFonts w:ascii="Segoe UI" w:eastAsia="Times New Roman" w:hAnsi="Segoe UI" w:cs="Segoe UI"/>
          <w:color w:val="000000"/>
          <w:kern w:val="0"/>
          <w:sz w:val="21"/>
          <w:szCs w:val="21"/>
          <w:lang w:eastAsia="es-CO"/>
          <w14:ligatures w14:val="none"/>
        </w:rPr>
      </w:pPr>
      <w:r w:rsidRPr="00652D10">
        <w:rPr>
          <w:rFonts w:ascii="Segoe UI" w:eastAsia="Times New Roman" w:hAnsi="Segoe UI" w:cs="Segoe UI"/>
          <w:color w:val="000000"/>
          <w:kern w:val="0"/>
          <w:sz w:val="21"/>
          <w:szCs w:val="21"/>
          <w:lang w:eastAsia="es-CO"/>
          <w14:ligatures w14:val="none"/>
        </w:rPr>
        <w:t>Mediante diferentes solicitudes allegadas a este Despacho se ha solicitado la reconsideración del Concepto 002211 - interno 224 de febrero 24 de 2023 (Concepto General sobre el impuesto de timbre nacional con motivo de la Ley 2277 de 2022), en concreto, el siguiente aparte:</w:t>
      </w:r>
    </w:p>
    <w:p w14:paraId="695101ED" w14:textId="77777777" w:rsidR="00652D10" w:rsidRPr="00652D10" w:rsidRDefault="00652D10" w:rsidP="00652D10">
      <w:pPr>
        <w:spacing w:after="0" w:line="240" w:lineRule="auto"/>
        <w:jc w:val="both"/>
        <w:rPr>
          <w:rFonts w:ascii="Segoe UI" w:eastAsia="Times New Roman" w:hAnsi="Segoe UI" w:cs="Segoe UI"/>
          <w:color w:val="000000"/>
          <w:kern w:val="0"/>
          <w:sz w:val="21"/>
          <w:szCs w:val="21"/>
          <w:lang w:eastAsia="es-CO"/>
          <w14:ligatures w14:val="none"/>
        </w:rPr>
      </w:pPr>
      <w:r w:rsidRPr="00652D10">
        <w:rPr>
          <w:rFonts w:ascii="Segoe UI" w:eastAsia="Times New Roman" w:hAnsi="Segoe UI" w:cs="Segoe UI"/>
          <w:color w:val="000000"/>
          <w:kern w:val="0"/>
          <w:sz w:val="21"/>
          <w:szCs w:val="21"/>
          <w:lang w:eastAsia="es-CO"/>
          <w14:ligatures w14:val="none"/>
        </w:rPr>
        <w:t> </w:t>
      </w:r>
    </w:p>
    <w:p w14:paraId="63C3C247" w14:textId="77777777" w:rsidR="00652D10" w:rsidRPr="00652D10" w:rsidRDefault="00652D10" w:rsidP="00652D10">
      <w:pPr>
        <w:spacing w:after="0" w:line="240" w:lineRule="auto"/>
        <w:ind w:left="284"/>
        <w:jc w:val="both"/>
        <w:rPr>
          <w:rFonts w:ascii="Segoe UI" w:eastAsia="Times New Roman" w:hAnsi="Segoe UI" w:cs="Segoe UI"/>
          <w:color w:val="000000"/>
          <w:kern w:val="0"/>
          <w:sz w:val="21"/>
          <w:szCs w:val="21"/>
          <w:lang w:eastAsia="es-CO"/>
          <w14:ligatures w14:val="none"/>
        </w:rPr>
      </w:pPr>
      <w:r w:rsidRPr="00652D10">
        <w:rPr>
          <w:rFonts w:ascii="Segoe UI" w:eastAsia="Times New Roman" w:hAnsi="Segoe UI" w:cs="Segoe UI"/>
          <w:color w:val="000000"/>
          <w:kern w:val="0"/>
          <w:sz w:val="21"/>
          <w:szCs w:val="21"/>
          <w:lang w:eastAsia="es-CO"/>
          <w14:ligatures w14:val="none"/>
        </w:rPr>
        <w:t>3. ¿Qué alcance tiene la expresión «enajenación a cualquier título»? ¿Qué actos no deberían considerarse una enajenación para efectos del Impuesto?</w:t>
      </w:r>
    </w:p>
    <w:p w14:paraId="68010E2F" w14:textId="77777777" w:rsidR="00652D10" w:rsidRPr="00652D10" w:rsidRDefault="00652D10" w:rsidP="00652D10">
      <w:pPr>
        <w:spacing w:after="0" w:line="240" w:lineRule="auto"/>
        <w:ind w:left="284"/>
        <w:jc w:val="both"/>
        <w:rPr>
          <w:rFonts w:ascii="Segoe UI" w:eastAsia="Times New Roman" w:hAnsi="Segoe UI" w:cs="Segoe UI"/>
          <w:color w:val="000000"/>
          <w:kern w:val="0"/>
          <w:sz w:val="21"/>
          <w:szCs w:val="21"/>
          <w:lang w:eastAsia="es-CO"/>
          <w14:ligatures w14:val="none"/>
        </w:rPr>
      </w:pPr>
      <w:r w:rsidRPr="00652D10">
        <w:rPr>
          <w:rFonts w:ascii="Segoe UI" w:eastAsia="Times New Roman" w:hAnsi="Segoe UI" w:cs="Segoe UI"/>
          <w:color w:val="000000"/>
          <w:kern w:val="0"/>
          <w:sz w:val="21"/>
          <w:szCs w:val="21"/>
          <w:lang w:eastAsia="es-CO"/>
          <w14:ligatures w14:val="none"/>
        </w:rPr>
        <w:t> </w:t>
      </w:r>
    </w:p>
    <w:p w14:paraId="0B8A0C9A" w14:textId="77777777" w:rsidR="00652D10" w:rsidRPr="00652D10" w:rsidRDefault="00652D10" w:rsidP="00652D10">
      <w:pPr>
        <w:spacing w:after="0" w:line="240" w:lineRule="auto"/>
        <w:ind w:left="284"/>
        <w:jc w:val="both"/>
        <w:rPr>
          <w:rFonts w:ascii="Segoe UI" w:eastAsia="Times New Roman" w:hAnsi="Segoe UI" w:cs="Segoe UI"/>
          <w:color w:val="000000"/>
          <w:kern w:val="0"/>
          <w:sz w:val="21"/>
          <w:szCs w:val="21"/>
          <w:lang w:eastAsia="es-CO"/>
          <w14:ligatures w14:val="none"/>
        </w:rPr>
      </w:pPr>
      <w:r w:rsidRPr="00652D10">
        <w:rPr>
          <w:rFonts w:ascii="Segoe UI" w:eastAsia="Times New Roman" w:hAnsi="Segoe UI" w:cs="Segoe UI"/>
          <w:color w:val="000000"/>
          <w:kern w:val="0"/>
          <w:sz w:val="21"/>
          <w:szCs w:val="21"/>
          <w:lang w:eastAsia="es-CO"/>
          <w14:ligatures w14:val="none"/>
        </w:rPr>
        <w:t>Reiterando lo señalado en el Oficio 006184 del 12 de marzo de 2019, «se debe entender el término enajenación en su sentido natural y obvio; es decir, como aquella actuación por medio de la cual </w:t>
      </w:r>
      <w:r w:rsidRPr="00652D10">
        <w:rPr>
          <w:rFonts w:ascii="Segoe UI" w:eastAsia="Times New Roman" w:hAnsi="Segoe UI" w:cs="Segoe UI"/>
          <w:color w:val="000000"/>
          <w:kern w:val="0"/>
          <w:sz w:val="21"/>
          <w:szCs w:val="21"/>
          <w:u w:val="single"/>
          <w:lang w:eastAsia="es-CO"/>
          <w14:ligatures w14:val="none"/>
        </w:rPr>
        <w:t>se transfiere la propiedad de un bien sin importar el modo o si es a título oneroso o gratuito</w:t>
      </w:r>
      <w:r w:rsidRPr="00652D10">
        <w:rPr>
          <w:rFonts w:ascii="Segoe UI" w:eastAsia="Times New Roman" w:hAnsi="Segoe UI" w:cs="Segoe UI"/>
          <w:color w:val="000000"/>
          <w:kern w:val="0"/>
          <w:sz w:val="21"/>
          <w:szCs w:val="21"/>
          <w:lang w:eastAsia="es-CO"/>
          <w14:ligatures w14:val="none"/>
        </w:rPr>
        <w:t>».</w:t>
      </w:r>
    </w:p>
    <w:p w14:paraId="4A121629" w14:textId="77777777" w:rsidR="00652D10" w:rsidRPr="00652D10" w:rsidRDefault="00652D10" w:rsidP="00652D10">
      <w:pPr>
        <w:spacing w:after="0" w:line="240" w:lineRule="auto"/>
        <w:ind w:left="284"/>
        <w:jc w:val="both"/>
        <w:rPr>
          <w:rFonts w:ascii="Segoe UI" w:eastAsia="Times New Roman" w:hAnsi="Segoe UI" w:cs="Segoe UI"/>
          <w:color w:val="000000"/>
          <w:kern w:val="0"/>
          <w:sz w:val="21"/>
          <w:szCs w:val="21"/>
          <w:lang w:eastAsia="es-CO"/>
          <w14:ligatures w14:val="none"/>
        </w:rPr>
      </w:pPr>
      <w:r w:rsidRPr="00652D10">
        <w:rPr>
          <w:rFonts w:ascii="Segoe UI" w:eastAsia="Times New Roman" w:hAnsi="Segoe UI" w:cs="Segoe UI"/>
          <w:color w:val="000000"/>
          <w:kern w:val="0"/>
          <w:sz w:val="21"/>
          <w:szCs w:val="21"/>
          <w:lang w:eastAsia="es-CO"/>
          <w14:ligatures w14:val="none"/>
        </w:rPr>
        <w:t> </w:t>
      </w:r>
    </w:p>
    <w:p w14:paraId="32E8EECC" w14:textId="77777777" w:rsidR="00652D10" w:rsidRPr="00652D10" w:rsidRDefault="00652D10" w:rsidP="00652D10">
      <w:pPr>
        <w:spacing w:after="0" w:line="240" w:lineRule="auto"/>
        <w:ind w:left="284"/>
        <w:jc w:val="both"/>
        <w:rPr>
          <w:rFonts w:ascii="Segoe UI" w:eastAsia="Times New Roman" w:hAnsi="Segoe UI" w:cs="Segoe UI"/>
          <w:color w:val="000000"/>
          <w:kern w:val="0"/>
          <w:sz w:val="21"/>
          <w:szCs w:val="21"/>
          <w:lang w:eastAsia="es-CO"/>
          <w14:ligatures w14:val="none"/>
        </w:rPr>
      </w:pPr>
      <w:r w:rsidRPr="00652D10">
        <w:rPr>
          <w:rFonts w:ascii="Segoe UI" w:eastAsia="Times New Roman" w:hAnsi="Segoe UI" w:cs="Segoe UI"/>
          <w:color w:val="000000"/>
          <w:kern w:val="0"/>
          <w:sz w:val="21"/>
          <w:szCs w:val="21"/>
          <w:lang w:eastAsia="es-CO"/>
          <w14:ligatures w14:val="none"/>
        </w:rPr>
        <w:t>(…)</w:t>
      </w:r>
    </w:p>
    <w:p w14:paraId="2D1DE206" w14:textId="77777777" w:rsidR="00652D10" w:rsidRPr="00652D10" w:rsidRDefault="00652D10" w:rsidP="00652D10">
      <w:pPr>
        <w:spacing w:after="0" w:line="240" w:lineRule="auto"/>
        <w:ind w:left="284"/>
        <w:jc w:val="both"/>
        <w:rPr>
          <w:rFonts w:ascii="Segoe UI" w:eastAsia="Times New Roman" w:hAnsi="Segoe UI" w:cs="Segoe UI"/>
          <w:color w:val="000000"/>
          <w:kern w:val="0"/>
          <w:sz w:val="21"/>
          <w:szCs w:val="21"/>
          <w:lang w:eastAsia="es-CO"/>
          <w14:ligatures w14:val="none"/>
        </w:rPr>
      </w:pPr>
      <w:r w:rsidRPr="00652D10">
        <w:rPr>
          <w:rFonts w:ascii="Segoe UI" w:eastAsia="Times New Roman" w:hAnsi="Segoe UI" w:cs="Segoe UI"/>
          <w:color w:val="000000"/>
          <w:kern w:val="0"/>
          <w:sz w:val="21"/>
          <w:szCs w:val="21"/>
          <w:lang w:eastAsia="es-CO"/>
          <w14:ligatures w14:val="none"/>
        </w:rPr>
        <w:t> </w:t>
      </w:r>
    </w:p>
    <w:p w14:paraId="6E74D8D1" w14:textId="77777777" w:rsidR="00652D10" w:rsidRPr="00652D10" w:rsidRDefault="00652D10" w:rsidP="00652D10">
      <w:pPr>
        <w:spacing w:after="0" w:line="240" w:lineRule="auto"/>
        <w:ind w:left="284"/>
        <w:jc w:val="both"/>
        <w:rPr>
          <w:rFonts w:ascii="Segoe UI" w:eastAsia="Times New Roman" w:hAnsi="Segoe UI" w:cs="Segoe UI"/>
          <w:color w:val="000000"/>
          <w:kern w:val="0"/>
          <w:sz w:val="21"/>
          <w:szCs w:val="21"/>
          <w:lang w:eastAsia="es-CO"/>
          <w14:ligatures w14:val="none"/>
        </w:rPr>
      </w:pPr>
      <w:r w:rsidRPr="00652D10">
        <w:rPr>
          <w:rFonts w:ascii="Segoe UI" w:eastAsia="Times New Roman" w:hAnsi="Segoe UI" w:cs="Segoe UI"/>
          <w:color w:val="000000"/>
          <w:kern w:val="0"/>
          <w:sz w:val="21"/>
          <w:szCs w:val="21"/>
          <w:lang w:eastAsia="es-CO"/>
          <w14:ligatures w14:val="none"/>
        </w:rPr>
        <w:t>(…) se considera que la transferencia de la propiedad de un inmueble </w:t>
      </w:r>
      <w:r w:rsidRPr="00652D10">
        <w:rPr>
          <w:rFonts w:ascii="Segoe UI" w:eastAsia="Times New Roman" w:hAnsi="Segoe UI" w:cs="Segoe UI"/>
          <w:color w:val="000000"/>
          <w:kern w:val="0"/>
          <w:sz w:val="21"/>
          <w:szCs w:val="21"/>
          <w:u w:val="single"/>
          <w:lang w:eastAsia="es-CO"/>
          <w14:ligatures w14:val="none"/>
        </w:rPr>
        <w:t>en el marco de una fiducia mercantil constituye una enajenación para efectos del Impuesto</w:t>
      </w:r>
      <w:r w:rsidRPr="00652D10">
        <w:rPr>
          <w:rFonts w:ascii="Segoe UI" w:eastAsia="Times New Roman" w:hAnsi="Segoe UI" w:cs="Segoe UI"/>
          <w:color w:val="000000"/>
          <w:kern w:val="0"/>
          <w:sz w:val="21"/>
          <w:szCs w:val="21"/>
          <w:lang w:eastAsia="es-CO"/>
          <w14:ligatures w14:val="none"/>
        </w:rPr>
        <w:t>, al no existir disposición de orden tributario que disponga lo contrario para efectos fiscales. Precisamente, los artículos 1226 y 1233 del Código de Comercio prevén:</w:t>
      </w:r>
    </w:p>
    <w:p w14:paraId="13AEC58F" w14:textId="77777777" w:rsidR="00652D10" w:rsidRPr="00652D10" w:rsidRDefault="00652D10" w:rsidP="00652D10">
      <w:pPr>
        <w:spacing w:after="0" w:line="240" w:lineRule="auto"/>
        <w:ind w:left="284"/>
        <w:jc w:val="both"/>
        <w:rPr>
          <w:rFonts w:ascii="Segoe UI" w:eastAsia="Times New Roman" w:hAnsi="Segoe UI" w:cs="Segoe UI"/>
          <w:color w:val="000000"/>
          <w:kern w:val="0"/>
          <w:sz w:val="21"/>
          <w:szCs w:val="21"/>
          <w:lang w:eastAsia="es-CO"/>
          <w14:ligatures w14:val="none"/>
        </w:rPr>
      </w:pPr>
      <w:r w:rsidRPr="00652D10">
        <w:rPr>
          <w:rFonts w:ascii="Segoe UI" w:eastAsia="Times New Roman" w:hAnsi="Segoe UI" w:cs="Segoe UI"/>
          <w:color w:val="000000"/>
          <w:kern w:val="0"/>
          <w:sz w:val="21"/>
          <w:szCs w:val="21"/>
          <w:lang w:eastAsia="es-CO"/>
          <w14:ligatures w14:val="none"/>
        </w:rPr>
        <w:t> </w:t>
      </w:r>
    </w:p>
    <w:p w14:paraId="32DDCDB3" w14:textId="77777777" w:rsidR="00652D10" w:rsidRPr="00652D10" w:rsidRDefault="00652D10" w:rsidP="00652D10">
      <w:pPr>
        <w:spacing w:after="0" w:line="240" w:lineRule="auto"/>
        <w:ind w:left="284"/>
        <w:jc w:val="both"/>
        <w:rPr>
          <w:rFonts w:ascii="Segoe UI" w:eastAsia="Times New Roman" w:hAnsi="Segoe UI" w:cs="Segoe UI"/>
          <w:color w:val="000000"/>
          <w:kern w:val="0"/>
          <w:sz w:val="21"/>
          <w:szCs w:val="21"/>
          <w:lang w:eastAsia="es-CO"/>
          <w14:ligatures w14:val="none"/>
        </w:rPr>
      </w:pPr>
      <w:r w:rsidRPr="00652D10">
        <w:rPr>
          <w:rFonts w:ascii="Segoe UI" w:eastAsia="Times New Roman" w:hAnsi="Segoe UI" w:cs="Segoe UI"/>
          <w:color w:val="000000"/>
          <w:kern w:val="0"/>
          <w:sz w:val="21"/>
          <w:szCs w:val="21"/>
          <w:lang w:eastAsia="es-CO"/>
          <w14:ligatures w14:val="none"/>
        </w:rPr>
        <w:t>«</w:t>
      </w:r>
      <w:r w:rsidRPr="00652D10">
        <w:rPr>
          <w:rFonts w:ascii="Segoe UI" w:eastAsia="Times New Roman" w:hAnsi="Segoe UI" w:cs="Segoe UI"/>
          <w:b/>
          <w:bCs/>
          <w:color w:val="000000"/>
          <w:kern w:val="0"/>
          <w:sz w:val="21"/>
          <w:szCs w:val="21"/>
          <w:lang w:eastAsia="es-CO"/>
          <w14:ligatures w14:val="none"/>
        </w:rPr>
        <w:t>ARTÍCULO 1226. &lt;CONCEPTO DE LA FIDUCIA MERCANTIL&gt;.</w:t>
      </w:r>
      <w:r w:rsidRPr="00652D10">
        <w:rPr>
          <w:rFonts w:ascii="Segoe UI" w:eastAsia="Times New Roman" w:hAnsi="Segoe UI" w:cs="Segoe UI"/>
          <w:color w:val="000000"/>
          <w:kern w:val="0"/>
          <w:sz w:val="21"/>
          <w:szCs w:val="21"/>
          <w:lang w:eastAsia="es-CO"/>
          <w14:ligatures w14:val="none"/>
        </w:rPr>
        <w:t xml:space="preserve"> La fiducia mercantil es un negocio jurídico en virtud del cual una persona, llamada fiduciante o fideicomitente, transfiere uno o </w:t>
      </w:r>
      <w:proofErr w:type="spellStart"/>
      <w:r w:rsidRPr="00652D10">
        <w:rPr>
          <w:rFonts w:ascii="Segoe UI" w:eastAsia="Times New Roman" w:hAnsi="Segoe UI" w:cs="Segoe UI"/>
          <w:color w:val="000000"/>
          <w:kern w:val="0"/>
          <w:sz w:val="21"/>
          <w:szCs w:val="21"/>
          <w:lang w:eastAsia="es-CO"/>
          <w14:ligatures w14:val="none"/>
        </w:rPr>
        <w:t>mas</w:t>
      </w:r>
      <w:proofErr w:type="spellEnd"/>
      <w:r w:rsidRPr="00652D10">
        <w:rPr>
          <w:rFonts w:ascii="Segoe UI" w:eastAsia="Times New Roman" w:hAnsi="Segoe UI" w:cs="Segoe UI"/>
          <w:color w:val="000000"/>
          <w:kern w:val="0"/>
          <w:sz w:val="21"/>
          <w:szCs w:val="21"/>
          <w:lang w:eastAsia="es-CO"/>
          <w14:ligatures w14:val="none"/>
        </w:rPr>
        <w:t xml:space="preserve"> bienes especificados a otra, llamada fiduciario, quien se obliga a administrarlos o enajenarlos para cumplir una finalidad determinada por el constituyente, en provecho de éste o de un tercero llamado beneficiario o fideicomisario.</w:t>
      </w:r>
    </w:p>
    <w:p w14:paraId="02292233" w14:textId="77777777" w:rsidR="00652D10" w:rsidRPr="00652D10" w:rsidRDefault="00652D10" w:rsidP="00652D10">
      <w:pPr>
        <w:spacing w:after="0" w:line="240" w:lineRule="auto"/>
        <w:ind w:left="284"/>
        <w:jc w:val="both"/>
        <w:rPr>
          <w:rFonts w:ascii="Segoe UI" w:eastAsia="Times New Roman" w:hAnsi="Segoe UI" w:cs="Segoe UI"/>
          <w:color w:val="000000"/>
          <w:kern w:val="0"/>
          <w:sz w:val="21"/>
          <w:szCs w:val="21"/>
          <w:lang w:eastAsia="es-CO"/>
          <w14:ligatures w14:val="none"/>
        </w:rPr>
      </w:pPr>
      <w:r w:rsidRPr="00652D10">
        <w:rPr>
          <w:rFonts w:ascii="Segoe UI" w:eastAsia="Times New Roman" w:hAnsi="Segoe UI" w:cs="Segoe UI"/>
          <w:color w:val="000000"/>
          <w:kern w:val="0"/>
          <w:sz w:val="21"/>
          <w:szCs w:val="21"/>
          <w:lang w:eastAsia="es-CO"/>
          <w14:ligatures w14:val="none"/>
        </w:rPr>
        <w:t> </w:t>
      </w:r>
    </w:p>
    <w:p w14:paraId="7F11ADA7" w14:textId="77777777" w:rsidR="00652D10" w:rsidRPr="00652D10" w:rsidRDefault="00652D10" w:rsidP="00652D10">
      <w:pPr>
        <w:spacing w:after="0" w:line="240" w:lineRule="auto"/>
        <w:ind w:left="284"/>
        <w:jc w:val="both"/>
        <w:rPr>
          <w:rFonts w:ascii="Segoe UI" w:eastAsia="Times New Roman" w:hAnsi="Segoe UI" w:cs="Segoe UI"/>
          <w:color w:val="000000"/>
          <w:kern w:val="0"/>
          <w:sz w:val="21"/>
          <w:szCs w:val="21"/>
          <w:lang w:eastAsia="es-CO"/>
          <w14:ligatures w14:val="none"/>
        </w:rPr>
      </w:pPr>
      <w:r w:rsidRPr="00652D10">
        <w:rPr>
          <w:rFonts w:ascii="Segoe UI" w:eastAsia="Times New Roman" w:hAnsi="Segoe UI" w:cs="Segoe UI"/>
          <w:color w:val="000000"/>
          <w:kern w:val="0"/>
          <w:sz w:val="21"/>
          <w:szCs w:val="21"/>
          <w:lang w:eastAsia="es-CO"/>
          <w14:ligatures w14:val="none"/>
        </w:rPr>
        <w:t>(…)</w:t>
      </w:r>
    </w:p>
    <w:p w14:paraId="643FE989" w14:textId="77777777" w:rsidR="00652D10" w:rsidRPr="00652D10" w:rsidRDefault="00652D10" w:rsidP="00652D10">
      <w:pPr>
        <w:spacing w:after="0" w:line="240" w:lineRule="auto"/>
        <w:ind w:left="284"/>
        <w:jc w:val="both"/>
        <w:rPr>
          <w:rFonts w:ascii="Segoe UI" w:eastAsia="Times New Roman" w:hAnsi="Segoe UI" w:cs="Segoe UI"/>
          <w:color w:val="000000"/>
          <w:kern w:val="0"/>
          <w:sz w:val="21"/>
          <w:szCs w:val="21"/>
          <w:lang w:eastAsia="es-CO"/>
          <w14:ligatures w14:val="none"/>
        </w:rPr>
      </w:pPr>
      <w:r w:rsidRPr="00652D10">
        <w:rPr>
          <w:rFonts w:ascii="Segoe UI" w:eastAsia="Times New Roman" w:hAnsi="Segoe UI" w:cs="Segoe UI"/>
          <w:color w:val="000000"/>
          <w:kern w:val="0"/>
          <w:sz w:val="21"/>
          <w:szCs w:val="21"/>
          <w:lang w:eastAsia="es-CO"/>
          <w14:ligatures w14:val="none"/>
        </w:rPr>
        <w:lastRenderedPageBreak/>
        <w:t> </w:t>
      </w:r>
    </w:p>
    <w:p w14:paraId="02EF2615" w14:textId="77777777" w:rsidR="00652D10" w:rsidRPr="00652D10" w:rsidRDefault="00652D10" w:rsidP="00652D10">
      <w:pPr>
        <w:spacing w:after="0" w:line="240" w:lineRule="auto"/>
        <w:ind w:left="284"/>
        <w:jc w:val="both"/>
        <w:rPr>
          <w:rFonts w:ascii="Segoe UI" w:eastAsia="Times New Roman" w:hAnsi="Segoe UI" w:cs="Segoe UI"/>
          <w:color w:val="000000"/>
          <w:kern w:val="0"/>
          <w:sz w:val="21"/>
          <w:szCs w:val="21"/>
          <w:lang w:eastAsia="es-CO"/>
          <w14:ligatures w14:val="none"/>
        </w:rPr>
      </w:pPr>
      <w:r w:rsidRPr="00652D10">
        <w:rPr>
          <w:rFonts w:ascii="Segoe UI" w:eastAsia="Times New Roman" w:hAnsi="Segoe UI" w:cs="Segoe UI"/>
          <w:b/>
          <w:bCs/>
          <w:color w:val="000000"/>
          <w:kern w:val="0"/>
          <w:sz w:val="21"/>
          <w:szCs w:val="21"/>
          <w:lang w:eastAsia="es-CO"/>
          <w14:ligatures w14:val="none"/>
        </w:rPr>
        <w:t>ARTÍCULO 1233. &lt;SEPARACIÓN DE BIENES FIDEICOMITIDOS&gt;.</w:t>
      </w:r>
      <w:r w:rsidRPr="00652D10">
        <w:rPr>
          <w:rFonts w:ascii="Segoe UI" w:eastAsia="Times New Roman" w:hAnsi="Segoe UI" w:cs="Segoe UI"/>
          <w:color w:val="000000"/>
          <w:kern w:val="0"/>
          <w:sz w:val="21"/>
          <w:szCs w:val="21"/>
          <w:lang w:eastAsia="es-CO"/>
          <w14:ligatures w14:val="none"/>
        </w:rPr>
        <w:t> Para todos los efectos legales, los bienes fideicomitidos deberán mantenerse separados del resto del activo del fiduciario y de los que correspondan a otros negocios fiduciarios, y forman un patrimonio autónomo afecto a la finalidad contemplada en el acto constitutivo.» (subrayado fuera de texto)</w:t>
      </w:r>
    </w:p>
    <w:p w14:paraId="2B94AA07" w14:textId="77777777" w:rsidR="00652D10" w:rsidRPr="00652D10" w:rsidRDefault="00652D10" w:rsidP="00652D10">
      <w:pPr>
        <w:spacing w:after="0" w:line="240" w:lineRule="auto"/>
        <w:jc w:val="both"/>
        <w:rPr>
          <w:rFonts w:ascii="Segoe UI" w:eastAsia="Times New Roman" w:hAnsi="Segoe UI" w:cs="Segoe UI"/>
          <w:color w:val="000000"/>
          <w:kern w:val="0"/>
          <w:sz w:val="21"/>
          <w:szCs w:val="21"/>
          <w:lang w:eastAsia="es-CO"/>
          <w14:ligatures w14:val="none"/>
        </w:rPr>
      </w:pPr>
      <w:r w:rsidRPr="00652D10">
        <w:rPr>
          <w:rFonts w:ascii="Segoe UI" w:eastAsia="Times New Roman" w:hAnsi="Segoe UI" w:cs="Segoe UI"/>
          <w:color w:val="000000"/>
          <w:kern w:val="0"/>
          <w:sz w:val="21"/>
          <w:szCs w:val="21"/>
          <w:lang w:eastAsia="es-CO"/>
          <w14:ligatures w14:val="none"/>
        </w:rPr>
        <w:t> </w:t>
      </w:r>
    </w:p>
    <w:p w14:paraId="014BA371" w14:textId="77777777" w:rsidR="00652D10" w:rsidRPr="00652D10" w:rsidRDefault="00652D10" w:rsidP="00652D10">
      <w:pPr>
        <w:spacing w:after="0" w:line="240" w:lineRule="auto"/>
        <w:jc w:val="both"/>
        <w:rPr>
          <w:rFonts w:ascii="Segoe UI" w:eastAsia="Times New Roman" w:hAnsi="Segoe UI" w:cs="Segoe UI"/>
          <w:color w:val="000000"/>
          <w:kern w:val="0"/>
          <w:sz w:val="21"/>
          <w:szCs w:val="21"/>
          <w:lang w:eastAsia="es-CO"/>
          <w14:ligatures w14:val="none"/>
        </w:rPr>
      </w:pPr>
      <w:r w:rsidRPr="00652D10">
        <w:rPr>
          <w:rFonts w:ascii="Segoe UI" w:eastAsia="Times New Roman" w:hAnsi="Segoe UI" w:cs="Segoe UI"/>
          <w:color w:val="000000"/>
          <w:kern w:val="0"/>
          <w:sz w:val="21"/>
          <w:szCs w:val="21"/>
          <w:lang w:eastAsia="es-CO"/>
          <w14:ligatures w14:val="none"/>
        </w:rPr>
        <w:t>Lo anterior, para que en su lugar:</w:t>
      </w:r>
    </w:p>
    <w:p w14:paraId="4DC9E8D0" w14:textId="77777777" w:rsidR="00652D10" w:rsidRPr="00652D10" w:rsidRDefault="00652D10" w:rsidP="00652D10">
      <w:pPr>
        <w:spacing w:after="0" w:line="240" w:lineRule="auto"/>
        <w:jc w:val="both"/>
        <w:rPr>
          <w:rFonts w:ascii="Segoe UI" w:eastAsia="Times New Roman" w:hAnsi="Segoe UI" w:cs="Segoe UI"/>
          <w:color w:val="000000"/>
          <w:kern w:val="0"/>
          <w:sz w:val="21"/>
          <w:szCs w:val="21"/>
          <w:lang w:eastAsia="es-CO"/>
          <w14:ligatures w14:val="none"/>
        </w:rPr>
      </w:pPr>
      <w:r w:rsidRPr="00652D10">
        <w:rPr>
          <w:rFonts w:ascii="Segoe UI" w:eastAsia="Times New Roman" w:hAnsi="Segoe UI" w:cs="Segoe UI"/>
          <w:color w:val="000000"/>
          <w:kern w:val="0"/>
          <w:sz w:val="21"/>
          <w:szCs w:val="21"/>
          <w:lang w:eastAsia="es-CO"/>
          <w14:ligatures w14:val="none"/>
        </w:rPr>
        <w:t> </w:t>
      </w:r>
    </w:p>
    <w:p w14:paraId="55F54755" w14:textId="77777777" w:rsidR="00652D10" w:rsidRPr="00652D10" w:rsidRDefault="00652D10" w:rsidP="00652D10">
      <w:pPr>
        <w:spacing w:after="0" w:line="240" w:lineRule="auto"/>
        <w:ind w:left="284"/>
        <w:jc w:val="both"/>
        <w:rPr>
          <w:rFonts w:ascii="Segoe UI" w:eastAsia="Times New Roman" w:hAnsi="Segoe UI" w:cs="Segoe UI"/>
          <w:color w:val="000000"/>
          <w:kern w:val="0"/>
          <w:sz w:val="21"/>
          <w:szCs w:val="21"/>
          <w:lang w:eastAsia="es-CO"/>
          <w14:ligatures w14:val="none"/>
        </w:rPr>
      </w:pPr>
      <w:r w:rsidRPr="00652D10">
        <w:rPr>
          <w:rFonts w:ascii="Segoe UI" w:eastAsia="Times New Roman" w:hAnsi="Segoe UI" w:cs="Segoe UI"/>
          <w:color w:val="000000"/>
          <w:kern w:val="0"/>
          <w:sz w:val="21"/>
          <w:szCs w:val="21"/>
          <w:lang w:eastAsia="es-CO"/>
          <w14:ligatures w14:val="none"/>
        </w:rPr>
        <w:t>1. “(…) se concluya que el aporte de un inmueble a un patrimonio autónomo. así (sic) como su restitución, </w:t>
      </w:r>
      <w:r w:rsidRPr="00652D10">
        <w:rPr>
          <w:rFonts w:ascii="Segoe UI" w:eastAsia="Times New Roman" w:hAnsi="Segoe UI" w:cs="Segoe UI"/>
          <w:color w:val="000000"/>
          <w:kern w:val="0"/>
          <w:sz w:val="21"/>
          <w:szCs w:val="21"/>
          <w:u w:val="single"/>
          <w:lang w:eastAsia="es-CO"/>
          <w14:ligatures w14:val="none"/>
        </w:rPr>
        <w:t>no constituyen enajenación y por tanto no están sujetas al impuesto de timbre</w:t>
      </w:r>
      <w:r w:rsidRPr="00652D10">
        <w:rPr>
          <w:rFonts w:ascii="Segoe UI" w:eastAsia="Times New Roman" w:hAnsi="Segoe UI" w:cs="Segoe UI"/>
          <w:color w:val="000000"/>
          <w:kern w:val="0"/>
          <w:sz w:val="21"/>
          <w:szCs w:val="21"/>
          <w:lang w:eastAsia="es-CO"/>
          <w14:ligatures w14:val="none"/>
        </w:rPr>
        <w:t>” (subrayado fuera de texto). Esto, por cuanto la definición proporcionada por la Subdirección de Normativa y Doctrina sobre “enajenación” omite tener en cuenta las reglas establecidas por la normativa civil y comercial referente al perfeccionamiento de la enajenación.</w:t>
      </w:r>
    </w:p>
    <w:p w14:paraId="3DBE7008" w14:textId="77777777" w:rsidR="00652D10" w:rsidRPr="00652D10" w:rsidRDefault="00652D10" w:rsidP="00652D10">
      <w:pPr>
        <w:spacing w:after="0" w:line="240" w:lineRule="auto"/>
        <w:ind w:left="284"/>
        <w:jc w:val="both"/>
        <w:rPr>
          <w:rFonts w:ascii="Segoe UI" w:eastAsia="Times New Roman" w:hAnsi="Segoe UI" w:cs="Segoe UI"/>
          <w:color w:val="000000"/>
          <w:kern w:val="0"/>
          <w:sz w:val="21"/>
          <w:szCs w:val="21"/>
          <w:lang w:eastAsia="es-CO"/>
          <w14:ligatures w14:val="none"/>
        </w:rPr>
      </w:pPr>
      <w:r w:rsidRPr="00652D10">
        <w:rPr>
          <w:rFonts w:ascii="Segoe UI" w:eastAsia="Times New Roman" w:hAnsi="Segoe UI" w:cs="Segoe UI"/>
          <w:color w:val="000000"/>
          <w:kern w:val="0"/>
          <w:sz w:val="21"/>
          <w:szCs w:val="21"/>
          <w:lang w:eastAsia="es-CO"/>
          <w14:ligatures w14:val="none"/>
        </w:rPr>
        <w:t> </w:t>
      </w:r>
    </w:p>
    <w:p w14:paraId="4DDCA8D0" w14:textId="77777777" w:rsidR="00652D10" w:rsidRPr="00652D10" w:rsidRDefault="00652D10" w:rsidP="00652D10">
      <w:pPr>
        <w:spacing w:after="0" w:line="240" w:lineRule="auto"/>
        <w:ind w:left="284"/>
        <w:jc w:val="both"/>
        <w:rPr>
          <w:rFonts w:ascii="Segoe UI" w:eastAsia="Times New Roman" w:hAnsi="Segoe UI" w:cs="Segoe UI"/>
          <w:color w:val="000000"/>
          <w:kern w:val="0"/>
          <w:sz w:val="21"/>
          <w:szCs w:val="21"/>
          <w:lang w:eastAsia="es-CO"/>
          <w14:ligatures w14:val="none"/>
        </w:rPr>
      </w:pPr>
      <w:r w:rsidRPr="00652D10">
        <w:rPr>
          <w:rFonts w:ascii="Segoe UI" w:eastAsia="Times New Roman" w:hAnsi="Segoe UI" w:cs="Segoe UI"/>
          <w:color w:val="000000"/>
          <w:kern w:val="0"/>
          <w:sz w:val="21"/>
          <w:szCs w:val="21"/>
          <w:lang w:eastAsia="es-CO"/>
          <w14:ligatures w14:val="none"/>
        </w:rPr>
        <w:t>2. “(…) aclarar que en aplicación del </w:t>
      </w:r>
      <w:r w:rsidRPr="00652D10">
        <w:rPr>
          <w:rFonts w:ascii="Segoe UI" w:eastAsia="Times New Roman" w:hAnsi="Segoe UI" w:cs="Segoe UI"/>
          <w:color w:val="000000"/>
          <w:kern w:val="0"/>
          <w:sz w:val="21"/>
          <w:szCs w:val="21"/>
          <w:u w:val="single"/>
          <w:lang w:eastAsia="es-CO"/>
          <w14:ligatures w14:val="none"/>
        </w:rPr>
        <w:t>principio de transparencia fiscal</w:t>
      </w:r>
      <w:r w:rsidRPr="00652D10">
        <w:rPr>
          <w:rFonts w:ascii="Segoe UI" w:eastAsia="Times New Roman" w:hAnsi="Segoe UI" w:cs="Segoe UI"/>
          <w:color w:val="000000"/>
          <w:kern w:val="0"/>
          <w:sz w:val="21"/>
          <w:szCs w:val="21"/>
          <w:lang w:eastAsia="es-CO"/>
          <w14:ligatures w14:val="none"/>
        </w:rPr>
        <w:t> y al tratarse de una operación neutra, en los contratos de fiducia mercantil </w:t>
      </w:r>
      <w:r w:rsidRPr="00652D10">
        <w:rPr>
          <w:rFonts w:ascii="Segoe UI" w:eastAsia="Times New Roman" w:hAnsi="Segoe UI" w:cs="Segoe UI"/>
          <w:color w:val="000000"/>
          <w:kern w:val="0"/>
          <w:sz w:val="21"/>
          <w:szCs w:val="21"/>
          <w:u w:val="single"/>
          <w:lang w:eastAsia="es-CO"/>
          <w14:ligatures w14:val="none"/>
        </w:rPr>
        <w:t>no se causa el impuesto de timbre</w:t>
      </w:r>
      <w:r w:rsidRPr="00652D10">
        <w:rPr>
          <w:rFonts w:ascii="Segoe UI" w:eastAsia="Times New Roman" w:hAnsi="Segoe UI" w:cs="Segoe UI"/>
          <w:color w:val="000000"/>
          <w:kern w:val="0"/>
          <w:sz w:val="21"/>
          <w:szCs w:val="21"/>
          <w:lang w:eastAsia="es-CO"/>
          <w14:ligatures w14:val="none"/>
        </w:rPr>
        <w:t>, sin importar la cuantía de los mismos” (subrayado fuera de texto); principio que está consagrado en el </w:t>
      </w:r>
      <w:hyperlink r:id="rId6" w:tooltip="Estatuto Tributario CETA" w:history="1">
        <w:r w:rsidRPr="00652D10">
          <w:rPr>
            <w:rFonts w:ascii="Segoe UI" w:eastAsia="Times New Roman" w:hAnsi="Segoe UI" w:cs="Segoe UI"/>
            <w:color w:val="0645AD"/>
            <w:kern w:val="0"/>
            <w:sz w:val="21"/>
            <w:szCs w:val="21"/>
            <w:u w:val="single"/>
            <w:lang w:eastAsia="es-CO"/>
            <w14:ligatures w14:val="none"/>
          </w:rPr>
          <w:t>artículo 102</w:t>
        </w:r>
      </w:hyperlink>
      <w:r w:rsidRPr="00652D10">
        <w:rPr>
          <w:rFonts w:ascii="Segoe UI" w:eastAsia="Times New Roman" w:hAnsi="Segoe UI" w:cs="Segoe UI"/>
          <w:color w:val="000000"/>
          <w:kern w:val="0"/>
          <w:sz w:val="21"/>
          <w:szCs w:val="21"/>
          <w:lang w:eastAsia="es-CO"/>
          <w14:ligatures w14:val="none"/>
        </w:rPr>
        <w:t> del Estatuto Tributario y que regula -precisamente- el tratamiento tributario de las fiducias mercantiles.</w:t>
      </w:r>
    </w:p>
    <w:p w14:paraId="25451F76" w14:textId="77777777" w:rsidR="00652D10" w:rsidRPr="00652D10" w:rsidRDefault="00652D10" w:rsidP="00652D10">
      <w:pPr>
        <w:spacing w:after="0" w:line="240" w:lineRule="auto"/>
        <w:jc w:val="both"/>
        <w:rPr>
          <w:rFonts w:ascii="Segoe UI" w:eastAsia="Times New Roman" w:hAnsi="Segoe UI" w:cs="Segoe UI"/>
          <w:color w:val="000000"/>
          <w:kern w:val="0"/>
          <w:sz w:val="21"/>
          <w:szCs w:val="21"/>
          <w:lang w:eastAsia="es-CO"/>
          <w14:ligatures w14:val="none"/>
        </w:rPr>
      </w:pPr>
      <w:r w:rsidRPr="00652D10">
        <w:rPr>
          <w:rFonts w:ascii="Segoe UI" w:eastAsia="Times New Roman" w:hAnsi="Segoe UI" w:cs="Segoe UI"/>
          <w:color w:val="000000"/>
          <w:kern w:val="0"/>
          <w:sz w:val="21"/>
          <w:szCs w:val="21"/>
          <w:lang w:eastAsia="es-CO"/>
          <w14:ligatures w14:val="none"/>
        </w:rPr>
        <w:t> </w:t>
      </w:r>
    </w:p>
    <w:p w14:paraId="67D4BAEC" w14:textId="77777777" w:rsidR="00652D10" w:rsidRPr="00652D10" w:rsidRDefault="00652D10" w:rsidP="00652D10">
      <w:pPr>
        <w:spacing w:after="0" w:line="240" w:lineRule="auto"/>
        <w:jc w:val="both"/>
        <w:rPr>
          <w:rFonts w:ascii="Segoe UI" w:eastAsia="Times New Roman" w:hAnsi="Segoe UI" w:cs="Segoe UI"/>
          <w:color w:val="000000"/>
          <w:kern w:val="0"/>
          <w:sz w:val="21"/>
          <w:szCs w:val="21"/>
          <w:lang w:eastAsia="es-CO"/>
          <w14:ligatures w14:val="none"/>
        </w:rPr>
      </w:pPr>
      <w:r w:rsidRPr="00652D10">
        <w:rPr>
          <w:rFonts w:ascii="Segoe UI" w:eastAsia="Times New Roman" w:hAnsi="Segoe UI" w:cs="Segoe UI"/>
          <w:color w:val="000000"/>
          <w:kern w:val="0"/>
          <w:sz w:val="21"/>
          <w:szCs w:val="21"/>
          <w:lang w:eastAsia="es-CO"/>
          <w14:ligatures w14:val="none"/>
        </w:rPr>
        <w:t>Sobre el particular, esta Dirección considera:</w:t>
      </w:r>
    </w:p>
    <w:p w14:paraId="6713CD65" w14:textId="77777777" w:rsidR="00652D10" w:rsidRPr="00652D10" w:rsidRDefault="00652D10" w:rsidP="00652D10">
      <w:pPr>
        <w:spacing w:after="0" w:line="240" w:lineRule="auto"/>
        <w:jc w:val="both"/>
        <w:rPr>
          <w:rFonts w:ascii="Segoe UI" w:eastAsia="Times New Roman" w:hAnsi="Segoe UI" w:cs="Segoe UI"/>
          <w:color w:val="000000"/>
          <w:kern w:val="0"/>
          <w:sz w:val="21"/>
          <w:szCs w:val="21"/>
          <w:lang w:eastAsia="es-CO"/>
          <w14:ligatures w14:val="none"/>
        </w:rPr>
      </w:pPr>
      <w:r w:rsidRPr="00652D10">
        <w:rPr>
          <w:rFonts w:ascii="Segoe UI" w:eastAsia="Times New Roman" w:hAnsi="Segoe UI" w:cs="Segoe UI"/>
          <w:color w:val="000000"/>
          <w:kern w:val="0"/>
          <w:sz w:val="21"/>
          <w:szCs w:val="21"/>
          <w:lang w:eastAsia="es-CO"/>
          <w14:ligatures w14:val="none"/>
        </w:rPr>
        <w:t> </w:t>
      </w:r>
    </w:p>
    <w:p w14:paraId="7DBB777A" w14:textId="77777777" w:rsidR="00652D10" w:rsidRPr="00652D10" w:rsidRDefault="00652D10" w:rsidP="00652D10">
      <w:pPr>
        <w:spacing w:after="0" w:line="240" w:lineRule="auto"/>
        <w:jc w:val="both"/>
        <w:rPr>
          <w:rFonts w:ascii="Segoe UI" w:eastAsia="Times New Roman" w:hAnsi="Segoe UI" w:cs="Segoe UI"/>
          <w:color w:val="000000"/>
          <w:kern w:val="0"/>
          <w:sz w:val="21"/>
          <w:szCs w:val="21"/>
          <w:lang w:eastAsia="es-CO"/>
          <w14:ligatures w14:val="none"/>
        </w:rPr>
      </w:pPr>
      <w:r w:rsidRPr="00652D10">
        <w:rPr>
          <w:rFonts w:ascii="Segoe UI" w:eastAsia="Times New Roman" w:hAnsi="Segoe UI" w:cs="Segoe UI"/>
          <w:color w:val="000000"/>
          <w:kern w:val="0"/>
          <w:sz w:val="21"/>
          <w:szCs w:val="21"/>
          <w:lang w:eastAsia="es-CO"/>
          <w14:ligatures w14:val="none"/>
        </w:rPr>
        <w:t>El </w:t>
      </w:r>
      <w:hyperlink r:id="rId7" w:tooltip="Estatuto Tributario CETA" w:history="1">
        <w:r w:rsidRPr="00652D10">
          <w:rPr>
            <w:rFonts w:ascii="Segoe UI" w:eastAsia="Times New Roman" w:hAnsi="Segoe UI" w:cs="Segoe UI"/>
            <w:color w:val="0645AD"/>
            <w:kern w:val="0"/>
            <w:sz w:val="21"/>
            <w:szCs w:val="21"/>
            <w:u w:val="single"/>
            <w:lang w:eastAsia="es-CO"/>
            <w14:ligatures w14:val="none"/>
          </w:rPr>
          <w:t>artículo 519</w:t>
        </w:r>
      </w:hyperlink>
      <w:r w:rsidRPr="00652D10">
        <w:rPr>
          <w:rFonts w:ascii="Segoe UI" w:eastAsia="Times New Roman" w:hAnsi="Segoe UI" w:cs="Segoe UI"/>
          <w:color w:val="000000"/>
          <w:kern w:val="0"/>
          <w:sz w:val="21"/>
          <w:szCs w:val="21"/>
          <w:lang w:eastAsia="es-CO"/>
          <w14:ligatures w14:val="none"/>
        </w:rPr>
        <w:t> del Estatuto Tributario dispone en su inciso 3° y parágrafo 3°:</w:t>
      </w:r>
    </w:p>
    <w:p w14:paraId="1BE370B8" w14:textId="77777777" w:rsidR="00652D10" w:rsidRPr="00652D10" w:rsidRDefault="00652D10" w:rsidP="00652D10">
      <w:pPr>
        <w:spacing w:after="0" w:line="240" w:lineRule="auto"/>
        <w:jc w:val="both"/>
        <w:rPr>
          <w:rFonts w:ascii="Segoe UI" w:eastAsia="Times New Roman" w:hAnsi="Segoe UI" w:cs="Segoe UI"/>
          <w:color w:val="000000"/>
          <w:kern w:val="0"/>
          <w:sz w:val="21"/>
          <w:szCs w:val="21"/>
          <w:lang w:eastAsia="es-CO"/>
          <w14:ligatures w14:val="none"/>
        </w:rPr>
      </w:pPr>
      <w:r w:rsidRPr="00652D10">
        <w:rPr>
          <w:rFonts w:ascii="Segoe UI" w:eastAsia="Times New Roman" w:hAnsi="Segoe UI" w:cs="Segoe UI"/>
          <w:color w:val="000000"/>
          <w:kern w:val="0"/>
          <w:sz w:val="21"/>
          <w:szCs w:val="21"/>
          <w:lang w:eastAsia="es-CO"/>
          <w14:ligatures w14:val="none"/>
        </w:rPr>
        <w:t> </w:t>
      </w:r>
    </w:p>
    <w:p w14:paraId="7F67FDCF" w14:textId="77777777" w:rsidR="00652D10" w:rsidRPr="00652D10" w:rsidRDefault="00652D10" w:rsidP="00652D10">
      <w:pPr>
        <w:spacing w:after="0" w:line="240" w:lineRule="auto"/>
        <w:ind w:left="284"/>
        <w:jc w:val="both"/>
        <w:rPr>
          <w:rFonts w:ascii="Segoe UI" w:eastAsia="Times New Roman" w:hAnsi="Segoe UI" w:cs="Segoe UI"/>
          <w:color w:val="000000"/>
          <w:kern w:val="0"/>
          <w:sz w:val="21"/>
          <w:szCs w:val="21"/>
          <w:lang w:eastAsia="es-CO"/>
          <w14:ligatures w14:val="none"/>
        </w:rPr>
      </w:pPr>
      <w:hyperlink r:id="rId8" w:tooltip="Estatuto Tributario CETA" w:history="1">
        <w:r w:rsidRPr="00652D10">
          <w:rPr>
            <w:rFonts w:ascii="Segoe UI" w:eastAsia="Times New Roman" w:hAnsi="Segoe UI" w:cs="Segoe UI"/>
            <w:b/>
            <w:bCs/>
            <w:color w:val="0645AD"/>
            <w:kern w:val="0"/>
            <w:sz w:val="21"/>
            <w:szCs w:val="21"/>
            <w:u w:val="single"/>
            <w:lang w:eastAsia="es-CO"/>
            <w14:ligatures w14:val="none"/>
          </w:rPr>
          <w:t>ARTÍCULO 519</w:t>
        </w:r>
      </w:hyperlink>
      <w:r w:rsidRPr="00652D10">
        <w:rPr>
          <w:rFonts w:ascii="Segoe UI" w:eastAsia="Times New Roman" w:hAnsi="Segoe UI" w:cs="Segoe UI"/>
          <w:b/>
          <w:bCs/>
          <w:color w:val="000000"/>
          <w:kern w:val="0"/>
          <w:sz w:val="21"/>
          <w:szCs w:val="21"/>
          <w:lang w:eastAsia="es-CO"/>
          <w14:ligatures w14:val="none"/>
        </w:rPr>
        <w:t>. BASE GRAVABLE EN EL IMPUESTO DE TIMBRE NACIONAL.</w:t>
      </w:r>
    </w:p>
    <w:p w14:paraId="5380EC87" w14:textId="77777777" w:rsidR="00652D10" w:rsidRPr="00652D10" w:rsidRDefault="00652D10" w:rsidP="00652D10">
      <w:pPr>
        <w:spacing w:after="0" w:line="240" w:lineRule="auto"/>
        <w:ind w:left="284"/>
        <w:jc w:val="both"/>
        <w:rPr>
          <w:rFonts w:ascii="Segoe UI" w:eastAsia="Times New Roman" w:hAnsi="Segoe UI" w:cs="Segoe UI"/>
          <w:color w:val="000000"/>
          <w:kern w:val="0"/>
          <w:sz w:val="21"/>
          <w:szCs w:val="21"/>
          <w:lang w:eastAsia="es-CO"/>
          <w14:ligatures w14:val="none"/>
        </w:rPr>
      </w:pPr>
      <w:r w:rsidRPr="00652D10">
        <w:rPr>
          <w:rFonts w:ascii="Segoe UI" w:eastAsia="Times New Roman" w:hAnsi="Segoe UI" w:cs="Segoe UI"/>
          <w:color w:val="000000"/>
          <w:kern w:val="0"/>
          <w:sz w:val="21"/>
          <w:szCs w:val="21"/>
          <w:lang w:eastAsia="es-CO"/>
          <w14:ligatures w14:val="none"/>
        </w:rPr>
        <w:t> </w:t>
      </w:r>
    </w:p>
    <w:p w14:paraId="13FEDA7A" w14:textId="77777777" w:rsidR="00652D10" w:rsidRPr="00652D10" w:rsidRDefault="00652D10" w:rsidP="00652D10">
      <w:pPr>
        <w:spacing w:after="0" w:line="240" w:lineRule="auto"/>
        <w:ind w:left="284"/>
        <w:jc w:val="both"/>
        <w:rPr>
          <w:rFonts w:ascii="Segoe UI" w:eastAsia="Times New Roman" w:hAnsi="Segoe UI" w:cs="Segoe UI"/>
          <w:color w:val="000000"/>
          <w:kern w:val="0"/>
          <w:sz w:val="21"/>
          <w:szCs w:val="21"/>
          <w:lang w:eastAsia="es-CO"/>
          <w14:ligatures w14:val="none"/>
        </w:rPr>
      </w:pPr>
      <w:r w:rsidRPr="00652D10">
        <w:rPr>
          <w:rFonts w:ascii="Segoe UI" w:eastAsia="Times New Roman" w:hAnsi="Segoe UI" w:cs="Segoe UI"/>
          <w:color w:val="000000"/>
          <w:kern w:val="0"/>
          <w:sz w:val="21"/>
          <w:szCs w:val="21"/>
          <w:lang w:eastAsia="es-CO"/>
          <w14:ligatures w14:val="none"/>
        </w:rPr>
        <w:t>(…)</w:t>
      </w:r>
    </w:p>
    <w:p w14:paraId="33102F39" w14:textId="77777777" w:rsidR="00652D10" w:rsidRPr="00652D10" w:rsidRDefault="00652D10" w:rsidP="00652D10">
      <w:pPr>
        <w:spacing w:after="0" w:line="240" w:lineRule="auto"/>
        <w:ind w:left="284"/>
        <w:jc w:val="both"/>
        <w:rPr>
          <w:rFonts w:ascii="Segoe UI" w:eastAsia="Times New Roman" w:hAnsi="Segoe UI" w:cs="Segoe UI"/>
          <w:color w:val="000000"/>
          <w:kern w:val="0"/>
          <w:sz w:val="21"/>
          <w:szCs w:val="21"/>
          <w:lang w:eastAsia="es-CO"/>
          <w14:ligatures w14:val="none"/>
        </w:rPr>
      </w:pPr>
      <w:r w:rsidRPr="00652D10">
        <w:rPr>
          <w:rFonts w:ascii="Segoe UI" w:eastAsia="Times New Roman" w:hAnsi="Segoe UI" w:cs="Segoe UI"/>
          <w:color w:val="000000"/>
          <w:kern w:val="0"/>
          <w:sz w:val="21"/>
          <w:szCs w:val="21"/>
          <w:lang w:eastAsia="es-CO"/>
          <w14:ligatures w14:val="none"/>
        </w:rPr>
        <w:t> </w:t>
      </w:r>
    </w:p>
    <w:p w14:paraId="0EF05A54" w14:textId="77777777" w:rsidR="00652D10" w:rsidRPr="00652D10" w:rsidRDefault="00652D10" w:rsidP="00652D10">
      <w:pPr>
        <w:spacing w:after="0" w:line="240" w:lineRule="auto"/>
        <w:ind w:left="284"/>
        <w:jc w:val="both"/>
        <w:rPr>
          <w:rFonts w:ascii="Segoe UI" w:eastAsia="Times New Roman" w:hAnsi="Segoe UI" w:cs="Segoe UI"/>
          <w:color w:val="000000"/>
          <w:kern w:val="0"/>
          <w:sz w:val="21"/>
          <w:szCs w:val="21"/>
          <w:lang w:eastAsia="es-CO"/>
          <w14:ligatures w14:val="none"/>
        </w:rPr>
      </w:pPr>
      <w:r w:rsidRPr="00652D10">
        <w:rPr>
          <w:rFonts w:ascii="Segoe UI" w:eastAsia="Times New Roman" w:hAnsi="Segoe UI" w:cs="Segoe UI"/>
          <w:color w:val="000000"/>
          <w:kern w:val="0"/>
          <w:sz w:val="21"/>
          <w:szCs w:val="21"/>
          <w:lang w:eastAsia="es-CO"/>
          <w14:ligatures w14:val="none"/>
        </w:rPr>
        <w:t>&lt;Inciso modificado por el artículo 77 de la Ley 2277 de 2022. El nuevo texto es el siguiente:&gt; Tratándose de </w:t>
      </w:r>
      <w:r w:rsidRPr="00652D10">
        <w:rPr>
          <w:rFonts w:ascii="Segoe UI" w:eastAsia="Times New Roman" w:hAnsi="Segoe UI" w:cs="Segoe UI"/>
          <w:color w:val="000000"/>
          <w:kern w:val="0"/>
          <w:sz w:val="21"/>
          <w:szCs w:val="21"/>
          <w:u w:val="single"/>
          <w:lang w:eastAsia="es-CO"/>
          <w14:ligatures w14:val="none"/>
        </w:rPr>
        <w:t>documentos que hayan sido elevados a escritura pública</w:t>
      </w:r>
      <w:r w:rsidRPr="00652D10">
        <w:rPr>
          <w:rFonts w:ascii="Segoe UI" w:eastAsia="Times New Roman" w:hAnsi="Segoe UI" w:cs="Segoe UI"/>
          <w:color w:val="000000"/>
          <w:kern w:val="0"/>
          <w:sz w:val="21"/>
          <w:szCs w:val="21"/>
          <w:lang w:eastAsia="es-CO"/>
          <w14:ligatures w14:val="none"/>
        </w:rPr>
        <w:t>, se causará el impuesto de timbre, en concurrencia con el impuesto de registro, siempre y cuando </w:t>
      </w:r>
      <w:r w:rsidRPr="00652D10">
        <w:rPr>
          <w:rFonts w:ascii="Segoe UI" w:eastAsia="Times New Roman" w:hAnsi="Segoe UI" w:cs="Segoe UI"/>
          <w:color w:val="000000"/>
          <w:kern w:val="0"/>
          <w:sz w:val="21"/>
          <w:szCs w:val="21"/>
          <w:u w:val="single"/>
          <w:lang w:eastAsia="es-CO"/>
          <w14:ligatures w14:val="none"/>
        </w:rPr>
        <w:t>no se trate de la enajenación a cualquier título de bienes inmuebles cuyo valor sea inferior a veinte mil (20.000) UVT</w:t>
      </w:r>
      <w:r w:rsidRPr="00652D10">
        <w:rPr>
          <w:rFonts w:ascii="Segoe UI" w:eastAsia="Times New Roman" w:hAnsi="Segoe UI" w:cs="Segoe UI"/>
          <w:color w:val="000000"/>
          <w:kern w:val="0"/>
          <w:sz w:val="21"/>
          <w:szCs w:val="21"/>
          <w:lang w:eastAsia="es-CO"/>
          <w14:ligatures w14:val="none"/>
        </w:rPr>
        <w:t> y no haya sido sujeto a este impuesto, o naves, o constitución o cancelación de hipotecas sobre los mismos. En el caso de constitución de hipoteca abierta, se pagará este impuesto sobre los respectivos documentos de deber.</w:t>
      </w:r>
    </w:p>
    <w:p w14:paraId="35C5F9F8" w14:textId="77777777" w:rsidR="00652D10" w:rsidRPr="00652D10" w:rsidRDefault="00652D10" w:rsidP="00652D10">
      <w:pPr>
        <w:spacing w:after="0" w:line="240" w:lineRule="auto"/>
        <w:ind w:left="284"/>
        <w:jc w:val="both"/>
        <w:rPr>
          <w:rFonts w:ascii="Segoe UI" w:eastAsia="Times New Roman" w:hAnsi="Segoe UI" w:cs="Segoe UI"/>
          <w:color w:val="000000"/>
          <w:kern w:val="0"/>
          <w:sz w:val="21"/>
          <w:szCs w:val="21"/>
          <w:lang w:eastAsia="es-CO"/>
          <w14:ligatures w14:val="none"/>
        </w:rPr>
      </w:pPr>
      <w:r w:rsidRPr="00652D10">
        <w:rPr>
          <w:rFonts w:ascii="Segoe UI" w:eastAsia="Times New Roman" w:hAnsi="Segoe UI" w:cs="Segoe UI"/>
          <w:color w:val="000000"/>
          <w:kern w:val="0"/>
          <w:sz w:val="21"/>
          <w:szCs w:val="21"/>
          <w:lang w:eastAsia="es-CO"/>
          <w14:ligatures w14:val="none"/>
        </w:rPr>
        <w:t> </w:t>
      </w:r>
    </w:p>
    <w:p w14:paraId="07137471" w14:textId="77777777" w:rsidR="00652D10" w:rsidRPr="00652D10" w:rsidRDefault="00652D10" w:rsidP="00652D10">
      <w:pPr>
        <w:spacing w:after="0" w:line="240" w:lineRule="auto"/>
        <w:ind w:left="284"/>
        <w:jc w:val="both"/>
        <w:rPr>
          <w:rFonts w:ascii="Segoe UI" w:eastAsia="Times New Roman" w:hAnsi="Segoe UI" w:cs="Segoe UI"/>
          <w:color w:val="000000"/>
          <w:kern w:val="0"/>
          <w:sz w:val="21"/>
          <w:szCs w:val="21"/>
          <w:lang w:eastAsia="es-CO"/>
          <w14:ligatures w14:val="none"/>
        </w:rPr>
      </w:pPr>
      <w:r w:rsidRPr="00652D10">
        <w:rPr>
          <w:rFonts w:ascii="Segoe UI" w:eastAsia="Times New Roman" w:hAnsi="Segoe UI" w:cs="Segoe UI"/>
          <w:color w:val="000000"/>
          <w:kern w:val="0"/>
          <w:sz w:val="21"/>
          <w:szCs w:val="21"/>
          <w:lang w:eastAsia="es-CO"/>
          <w14:ligatures w14:val="none"/>
        </w:rPr>
        <w:t>(…)</w:t>
      </w:r>
    </w:p>
    <w:p w14:paraId="1066C242" w14:textId="77777777" w:rsidR="00652D10" w:rsidRPr="00652D10" w:rsidRDefault="00652D10" w:rsidP="00652D10">
      <w:pPr>
        <w:spacing w:after="0" w:line="240" w:lineRule="auto"/>
        <w:ind w:left="284"/>
        <w:jc w:val="both"/>
        <w:rPr>
          <w:rFonts w:ascii="Segoe UI" w:eastAsia="Times New Roman" w:hAnsi="Segoe UI" w:cs="Segoe UI"/>
          <w:color w:val="000000"/>
          <w:kern w:val="0"/>
          <w:sz w:val="21"/>
          <w:szCs w:val="21"/>
          <w:lang w:eastAsia="es-CO"/>
          <w14:ligatures w14:val="none"/>
        </w:rPr>
      </w:pPr>
      <w:r w:rsidRPr="00652D10">
        <w:rPr>
          <w:rFonts w:ascii="Segoe UI" w:eastAsia="Times New Roman" w:hAnsi="Segoe UI" w:cs="Segoe UI"/>
          <w:color w:val="000000"/>
          <w:kern w:val="0"/>
          <w:sz w:val="21"/>
          <w:szCs w:val="21"/>
          <w:lang w:eastAsia="es-CO"/>
          <w14:ligatures w14:val="none"/>
        </w:rPr>
        <w:t> </w:t>
      </w:r>
    </w:p>
    <w:p w14:paraId="51372216" w14:textId="77777777" w:rsidR="00652D10" w:rsidRPr="00652D10" w:rsidRDefault="00652D10" w:rsidP="00652D10">
      <w:pPr>
        <w:spacing w:after="0" w:line="240" w:lineRule="auto"/>
        <w:ind w:left="284"/>
        <w:jc w:val="both"/>
        <w:rPr>
          <w:rFonts w:ascii="Segoe UI" w:eastAsia="Times New Roman" w:hAnsi="Segoe UI" w:cs="Segoe UI"/>
          <w:color w:val="000000"/>
          <w:kern w:val="0"/>
          <w:sz w:val="21"/>
          <w:szCs w:val="21"/>
          <w:lang w:eastAsia="es-CO"/>
          <w14:ligatures w14:val="none"/>
        </w:rPr>
      </w:pPr>
      <w:r w:rsidRPr="00652D10">
        <w:rPr>
          <w:rFonts w:ascii="Segoe UI" w:eastAsia="Times New Roman" w:hAnsi="Segoe UI" w:cs="Segoe UI"/>
          <w:b/>
          <w:bCs/>
          <w:color w:val="000000"/>
          <w:kern w:val="0"/>
          <w:sz w:val="21"/>
          <w:szCs w:val="21"/>
          <w:lang w:eastAsia="es-CO"/>
          <w14:ligatures w14:val="none"/>
        </w:rPr>
        <w:t>PARÁGRAFO 3o.</w:t>
      </w:r>
      <w:r w:rsidRPr="00652D10">
        <w:rPr>
          <w:rFonts w:ascii="Segoe UI" w:eastAsia="Times New Roman" w:hAnsi="Segoe UI" w:cs="Segoe UI"/>
          <w:color w:val="000000"/>
          <w:kern w:val="0"/>
          <w:sz w:val="21"/>
          <w:szCs w:val="21"/>
          <w:lang w:eastAsia="es-CO"/>
          <w14:ligatures w14:val="none"/>
        </w:rPr>
        <w:t> &lt;Parágrafo adicionado por el artículo 77 de la Ley 2277 de 2022. El nuevo texto es el siguiente:&gt; A partir del año 2023, la tarifa del impuesto para el caso de </w:t>
      </w:r>
      <w:r w:rsidRPr="00652D10">
        <w:rPr>
          <w:rFonts w:ascii="Segoe UI" w:eastAsia="Times New Roman" w:hAnsi="Segoe UI" w:cs="Segoe UI"/>
          <w:color w:val="000000"/>
          <w:kern w:val="0"/>
          <w:sz w:val="21"/>
          <w:szCs w:val="21"/>
          <w:u w:val="single"/>
          <w:lang w:eastAsia="es-CO"/>
          <w14:ligatures w14:val="none"/>
        </w:rPr>
        <w:t>documentos que hayan sido elevados a escritura pública tratándose de la enajenación a cualquier título de bienes inmuebles cuyo valor sea igual o superior a veinte mil (20.000) UVT</w:t>
      </w:r>
      <w:r w:rsidRPr="00652D10">
        <w:rPr>
          <w:rFonts w:ascii="Segoe UI" w:eastAsia="Times New Roman" w:hAnsi="Segoe UI" w:cs="Segoe UI"/>
          <w:color w:val="000000"/>
          <w:kern w:val="0"/>
          <w:sz w:val="21"/>
          <w:szCs w:val="21"/>
          <w:lang w:eastAsia="es-CO"/>
          <w14:ligatures w14:val="none"/>
        </w:rPr>
        <w:t>, la tarifa se determinará conforme con la siguiente tabla:</w:t>
      </w:r>
    </w:p>
    <w:p w14:paraId="4B23841A" w14:textId="77777777" w:rsidR="00652D10" w:rsidRPr="00652D10" w:rsidRDefault="00652D10" w:rsidP="00652D10">
      <w:pPr>
        <w:spacing w:after="0" w:line="240" w:lineRule="auto"/>
        <w:ind w:left="284"/>
        <w:jc w:val="both"/>
        <w:rPr>
          <w:rFonts w:ascii="Segoe UI" w:eastAsia="Times New Roman" w:hAnsi="Segoe UI" w:cs="Segoe UI"/>
          <w:color w:val="000000"/>
          <w:kern w:val="0"/>
          <w:sz w:val="21"/>
          <w:szCs w:val="21"/>
          <w:lang w:eastAsia="es-CO"/>
          <w14:ligatures w14:val="none"/>
        </w:rPr>
      </w:pPr>
      <w:r w:rsidRPr="00652D10">
        <w:rPr>
          <w:rFonts w:ascii="Segoe UI" w:eastAsia="Times New Roman" w:hAnsi="Segoe UI" w:cs="Segoe UI"/>
          <w:color w:val="000000"/>
          <w:kern w:val="0"/>
          <w:sz w:val="21"/>
          <w:szCs w:val="21"/>
          <w:lang w:eastAsia="es-CO"/>
          <w14:ligatures w14:val="none"/>
        </w:rPr>
        <w:t> </w:t>
      </w:r>
    </w:p>
    <w:p w14:paraId="2C8FB8AE" w14:textId="77777777" w:rsidR="00652D10" w:rsidRPr="00652D10" w:rsidRDefault="00652D10" w:rsidP="00652D10">
      <w:pPr>
        <w:spacing w:after="0" w:line="240" w:lineRule="auto"/>
        <w:ind w:left="284"/>
        <w:jc w:val="both"/>
        <w:rPr>
          <w:rFonts w:ascii="Segoe UI" w:eastAsia="Times New Roman" w:hAnsi="Segoe UI" w:cs="Segoe UI"/>
          <w:color w:val="000000"/>
          <w:kern w:val="0"/>
          <w:sz w:val="21"/>
          <w:szCs w:val="21"/>
          <w:lang w:eastAsia="es-CO"/>
          <w14:ligatures w14:val="none"/>
        </w:rPr>
      </w:pPr>
      <w:r w:rsidRPr="00652D10">
        <w:rPr>
          <w:rFonts w:ascii="Segoe UI" w:eastAsia="Times New Roman" w:hAnsi="Segoe UI" w:cs="Segoe UI"/>
          <w:color w:val="000000"/>
          <w:kern w:val="0"/>
          <w:sz w:val="21"/>
          <w:szCs w:val="21"/>
          <w:lang w:eastAsia="es-CO"/>
          <w14:ligatures w14:val="none"/>
        </w:rPr>
        <w:t>(...) (subrayado fuera de texto)</w:t>
      </w:r>
    </w:p>
    <w:p w14:paraId="20ACBFE2" w14:textId="77777777" w:rsidR="00652D10" w:rsidRPr="00652D10" w:rsidRDefault="00652D10" w:rsidP="00652D10">
      <w:pPr>
        <w:spacing w:after="0" w:line="240" w:lineRule="auto"/>
        <w:jc w:val="both"/>
        <w:rPr>
          <w:rFonts w:ascii="Segoe UI" w:eastAsia="Times New Roman" w:hAnsi="Segoe UI" w:cs="Segoe UI"/>
          <w:color w:val="000000"/>
          <w:kern w:val="0"/>
          <w:sz w:val="21"/>
          <w:szCs w:val="21"/>
          <w:lang w:eastAsia="es-CO"/>
          <w14:ligatures w14:val="none"/>
        </w:rPr>
      </w:pPr>
      <w:r w:rsidRPr="00652D10">
        <w:rPr>
          <w:rFonts w:ascii="Segoe UI" w:eastAsia="Times New Roman" w:hAnsi="Segoe UI" w:cs="Segoe UI"/>
          <w:color w:val="000000"/>
          <w:kern w:val="0"/>
          <w:sz w:val="21"/>
          <w:szCs w:val="21"/>
          <w:lang w:eastAsia="es-CO"/>
          <w14:ligatures w14:val="none"/>
        </w:rPr>
        <w:t> </w:t>
      </w:r>
    </w:p>
    <w:p w14:paraId="1E49FE52" w14:textId="77777777" w:rsidR="00652D10" w:rsidRPr="00652D10" w:rsidRDefault="00652D10" w:rsidP="00652D10">
      <w:pPr>
        <w:spacing w:after="0" w:line="240" w:lineRule="auto"/>
        <w:jc w:val="both"/>
        <w:rPr>
          <w:rFonts w:ascii="Segoe UI" w:eastAsia="Times New Roman" w:hAnsi="Segoe UI" w:cs="Segoe UI"/>
          <w:color w:val="000000"/>
          <w:kern w:val="0"/>
          <w:sz w:val="21"/>
          <w:szCs w:val="21"/>
          <w:lang w:eastAsia="es-CO"/>
          <w14:ligatures w14:val="none"/>
        </w:rPr>
      </w:pPr>
      <w:r w:rsidRPr="00652D10">
        <w:rPr>
          <w:rFonts w:ascii="Segoe UI" w:eastAsia="Times New Roman" w:hAnsi="Segoe UI" w:cs="Segoe UI"/>
          <w:color w:val="000000"/>
          <w:kern w:val="0"/>
          <w:sz w:val="21"/>
          <w:szCs w:val="21"/>
          <w:lang w:eastAsia="es-CO"/>
          <w14:ligatures w14:val="none"/>
        </w:rPr>
        <w:t>En lo que se refiere a la enajenación, en el pronunciamiento objeto de disenso se retomó una definición que surge de una interpretación gramatical de la Ley.</w:t>
      </w:r>
    </w:p>
    <w:p w14:paraId="17AE52A1" w14:textId="77777777" w:rsidR="00652D10" w:rsidRPr="00652D10" w:rsidRDefault="00652D10" w:rsidP="00652D10">
      <w:pPr>
        <w:spacing w:after="0" w:line="240" w:lineRule="auto"/>
        <w:jc w:val="both"/>
        <w:rPr>
          <w:rFonts w:ascii="Segoe UI" w:eastAsia="Times New Roman" w:hAnsi="Segoe UI" w:cs="Segoe UI"/>
          <w:color w:val="000000"/>
          <w:kern w:val="0"/>
          <w:sz w:val="21"/>
          <w:szCs w:val="21"/>
          <w:lang w:eastAsia="es-CO"/>
          <w14:ligatures w14:val="none"/>
        </w:rPr>
      </w:pPr>
      <w:r w:rsidRPr="00652D10">
        <w:rPr>
          <w:rFonts w:ascii="Segoe UI" w:eastAsia="Times New Roman" w:hAnsi="Segoe UI" w:cs="Segoe UI"/>
          <w:color w:val="000000"/>
          <w:kern w:val="0"/>
          <w:sz w:val="21"/>
          <w:szCs w:val="21"/>
          <w:lang w:eastAsia="es-CO"/>
          <w14:ligatures w14:val="none"/>
        </w:rPr>
        <w:t> </w:t>
      </w:r>
    </w:p>
    <w:p w14:paraId="15A49EDE" w14:textId="77777777" w:rsidR="00652D10" w:rsidRPr="00652D10" w:rsidRDefault="00652D10" w:rsidP="00652D10">
      <w:pPr>
        <w:spacing w:after="0" w:line="240" w:lineRule="auto"/>
        <w:jc w:val="both"/>
        <w:rPr>
          <w:rFonts w:ascii="Segoe UI" w:eastAsia="Times New Roman" w:hAnsi="Segoe UI" w:cs="Segoe UI"/>
          <w:color w:val="000000"/>
          <w:kern w:val="0"/>
          <w:sz w:val="21"/>
          <w:szCs w:val="21"/>
          <w:lang w:eastAsia="es-CO"/>
          <w14:ligatures w14:val="none"/>
        </w:rPr>
      </w:pPr>
      <w:r w:rsidRPr="00652D10">
        <w:rPr>
          <w:rFonts w:ascii="Segoe UI" w:eastAsia="Times New Roman" w:hAnsi="Segoe UI" w:cs="Segoe UI"/>
          <w:color w:val="000000"/>
          <w:kern w:val="0"/>
          <w:sz w:val="21"/>
          <w:szCs w:val="21"/>
          <w:lang w:eastAsia="es-CO"/>
          <w14:ligatures w14:val="none"/>
        </w:rPr>
        <w:t>De hecho, valga traer a colación lo señalado en el Concepto 006453 - interno 622 de mayo 30 de 2023 (Adición al Concepto General sobre el impuesto de timbre nacional con motivo de la Ley 2277 de 2022):</w:t>
      </w:r>
    </w:p>
    <w:p w14:paraId="676F5CD9" w14:textId="77777777" w:rsidR="00652D10" w:rsidRPr="00652D10" w:rsidRDefault="00652D10" w:rsidP="00652D10">
      <w:pPr>
        <w:spacing w:after="0" w:line="240" w:lineRule="auto"/>
        <w:jc w:val="both"/>
        <w:rPr>
          <w:rFonts w:ascii="Segoe UI" w:eastAsia="Times New Roman" w:hAnsi="Segoe UI" w:cs="Segoe UI"/>
          <w:color w:val="000000"/>
          <w:kern w:val="0"/>
          <w:sz w:val="21"/>
          <w:szCs w:val="21"/>
          <w:lang w:eastAsia="es-CO"/>
          <w14:ligatures w14:val="none"/>
        </w:rPr>
      </w:pPr>
      <w:r w:rsidRPr="00652D10">
        <w:rPr>
          <w:rFonts w:ascii="Segoe UI" w:eastAsia="Times New Roman" w:hAnsi="Segoe UI" w:cs="Segoe UI"/>
          <w:color w:val="000000"/>
          <w:kern w:val="0"/>
          <w:sz w:val="21"/>
          <w:szCs w:val="21"/>
          <w:lang w:eastAsia="es-CO"/>
          <w14:ligatures w14:val="none"/>
        </w:rPr>
        <w:t> </w:t>
      </w:r>
    </w:p>
    <w:p w14:paraId="3649E57F" w14:textId="77777777" w:rsidR="00652D10" w:rsidRPr="00652D10" w:rsidRDefault="00652D10" w:rsidP="00652D10">
      <w:pPr>
        <w:spacing w:after="0" w:line="240" w:lineRule="auto"/>
        <w:ind w:left="284"/>
        <w:jc w:val="both"/>
        <w:rPr>
          <w:rFonts w:ascii="Segoe UI" w:eastAsia="Times New Roman" w:hAnsi="Segoe UI" w:cs="Segoe UI"/>
          <w:color w:val="000000"/>
          <w:kern w:val="0"/>
          <w:sz w:val="21"/>
          <w:szCs w:val="21"/>
          <w:lang w:eastAsia="es-CO"/>
          <w14:ligatures w14:val="none"/>
        </w:rPr>
      </w:pPr>
      <w:r w:rsidRPr="00652D10">
        <w:rPr>
          <w:rFonts w:ascii="Segoe UI" w:eastAsia="Times New Roman" w:hAnsi="Segoe UI" w:cs="Segoe UI"/>
          <w:color w:val="000000"/>
          <w:kern w:val="0"/>
          <w:sz w:val="21"/>
          <w:szCs w:val="21"/>
          <w:lang w:eastAsia="es-CO"/>
          <w14:ligatures w14:val="none"/>
        </w:rPr>
        <w:t>3.1. ¿Por qué se entiende que las transferencias a título gratuito de bienes inmuebles, solemnizadas mediante escritura pública, dan lugar al Impuesto?</w:t>
      </w:r>
    </w:p>
    <w:p w14:paraId="4BF60BDB" w14:textId="77777777" w:rsidR="00652D10" w:rsidRPr="00652D10" w:rsidRDefault="00652D10" w:rsidP="00652D10">
      <w:pPr>
        <w:spacing w:after="0" w:line="240" w:lineRule="auto"/>
        <w:ind w:left="284"/>
        <w:jc w:val="both"/>
        <w:rPr>
          <w:rFonts w:ascii="Segoe UI" w:eastAsia="Times New Roman" w:hAnsi="Segoe UI" w:cs="Segoe UI"/>
          <w:color w:val="000000"/>
          <w:kern w:val="0"/>
          <w:sz w:val="21"/>
          <w:szCs w:val="21"/>
          <w:lang w:eastAsia="es-CO"/>
          <w14:ligatures w14:val="none"/>
        </w:rPr>
      </w:pPr>
      <w:r w:rsidRPr="00652D10">
        <w:rPr>
          <w:rFonts w:ascii="Segoe UI" w:eastAsia="Times New Roman" w:hAnsi="Segoe UI" w:cs="Segoe UI"/>
          <w:color w:val="000000"/>
          <w:kern w:val="0"/>
          <w:sz w:val="21"/>
          <w:szCs w:val="21"/>
          <w:lang w:eastAsia="es-CO"/>
          <w14:ligatures w14:val="none"/>
        </w:rPr>
        <w:t> </w:t>
      </w:r>
    </w:p>
    <w:p w14:paraId="3931BEC7" w14:textId="77777777" w:rsidR="00652D10" w:rsidRPr="00652D10" w:rsidRDefault="00652D10" w:rsidP="00652D10">
      <w:pPr>
        <w:spacing w:after="0" w:line="240" w:lineRule="auto"/>
        <w:ind w:left="284"/>
        <w:jc w:val="both"/>
        <w:rPr>
          <w:rFonts w:ascii="Segoe UI" w:eastAsia="Times New Roman" w:hAnsi="Segoe UI" w:cs="Segoe UI"/>
          <w:color w:val="000000"/>
          <w:kern w:val="0"/>
          <w:sz w:val="21"/>
          <w:szCs w:val="21"/>
          <w:lang w:eastAsia="es-CO"/>
          <w14:ligatures w14:val="none"/>
        </w:rPr>
      </w:pPr>
      <w:r w:rsidRPr="00652D10">
        <w:rPr>
          <w:rFonts w:ascii="Segoe UI" w:eastAsia="Times New Roman" w:hAnsi="Segoe UI" w:cs="Segoe UI"/>
          <w:color w:val="000000"/>
          <w:kern w:val="0"/>
          <w:sz w:val="21"/>
          <w:szCs w:val="21"/>
          <w:lang w:eastAsia="es-CO"/>
          <w14:ligatures w14:val="none"/>
        </w:rPr>
        <w:lastRenderedPageBreak/>
        <w:t>Como fuera explicado en el punto anterior, la expresión «enajenación a cualquier título», de que tratan tanto el inciso 3° del </w:t>
      </w:r>
      <w:hyperlink r:id="rId9" w:tooltip="Estatuto Tributario CETA" w:history="1">
        <w:r w:rsidRPr="00652D10">
          <w:rPr>
            <w:rFonts w:ascii="Segoe UI" w:eastAsia="Times New Roman" w:hAnsi="Segoe UI" w:cs="Segoe UI"/>
            <w:color w:val="0645AD"/>
            <w:kern w:val="0"/>
            <w:sz w:val="21"/>
            <w:szCs w:val="21"/>
            <w:u w:val="single"/>
            <w:lang w:eastAsia="es-CO"/>
            <w14:ligatures w14:val="none"/>
          </w:rPr>
          <w:t>artículo 519</w:t>
        </w:r>
      </w:hyperlink>
      <w:r w:rsidRPr="00652D10">
        <w:rPr>
          <w:rFonts w:ascii="Segoe UI" w:eastAsia="Times New Roman" w:hAnsi="Segoe UI" w:cs="Segoe UI"/>
          <w:color w:val="000000"/>
          <w:kern w:val="0"/>
          <w:sz w:val="21"/>
          <w:szCs w:val="21"/>
          <w:lang w:eastAsia="es-CO"/>
          <w14:ligatures w14:val="none"/>
        </w:rPr>
        <w:t> del Estatuto Tributario como el parágrafo 3° de esta misma norma, comprende las transferencias a título gratuito.</w:t>
      </w:r>
    </w:p>
    <w:p w14:paraId="4470B98D" w14:textId="77777777" w:rsidR="00652D10" w:rsidRPr="00652D10" w:rsidRDefault="00652D10" w:rsidP="00652D10">
      <w:pPr>
        <w:spacing w:after="0" w:line="240" w:lineRule="auto"/>
        <w:ind w:left="284"/>
        <w:jc w:val="both"/>
        <w:rPr>
          <w:rFonts w:ascii="Segoe UI" w:eastAsia="Times New Roman" w:hAnsi="Segoe UI" w:cs="Segoe UI"/>
          <w:color w:val="000000"/>
          <w:kern w:val="0"/>
          <w:sz w:val="21"/>
          <w:szCs w:val="21"/>
          <w:lang w:eastAsia="es-CO"/>
          <w14:ligatures w14:val="none"/>
        </w:rPr>
      </w:pPr>
      <w:r w:rsidRPr="00652D10">
        <w:rPr>
          <w:rFonts w:ascii="Segoe UI" w:eastAsia="Times New Roman" w:hAnsi="Segoe UI" w:cs="Segoe UI"/>
          <w:color w:val="000000"/>
          <w:kern w:val="0"/>
          <w:sz w:val="21"/>
          <w:szCs w:val="21"/>
          <w:lang w:eastAsia="es-CO"/>
          <w14:ligatures w14:val="none"/>
        </w:rPr>
        <w:t> </w:t>
      </w:r>
    </w:p>
    <w:p w14:paraId="338B2739" w14:textId="77777777" w:rsidR="00652D10" w:rsidRPr="00652D10" w:rsidRDefault="00652D10" w:rsidP="00652D10">
      <w:pPr>
        <w:spacing w:after="0" w:line="240" w:lineRule="auto"/>
        <w:ind w:left="284"/>
        <w:jc w:val="both"/>
        <w:rPr>
          <w:rFonts w:ascii="Segoe UI" w:eastAsia="Times New Roman" w:hAnsi="Segoe UI" w:cs="Segoe UI"/>
          <w:color w:val="000000"/>
          <w:kern w:val="0"/>
          <w:sz w:val="21"/>
          <w:szCs w:val="21"/>
          <w:lang w:eastAsia="es-CO"/>
          <w14:ligatures w14:val="none"/>
        </w:rPr>
      </w:pPr>
      <w:r w:rsidRPr="00652D10">
        <w:rPr>
          <w:rFonts w:ascii="Segoe UI" w:eastAsia="Times New Roman" w:hAnsi="Segoe UI" w:cs="Segoe UI"/>
          <w:color w:val="000000"/>
          <w:kern w:val="0"/>
          <w:sz w:val="21"/>
          <w:szCs w:val="21"/>
          <w:lang w:eastAsia="es-CO"/>
          <w14:ligatures w14:val="none"/>
        </w:rPr>
        <w:t>Además del Oficio 006184 del 12 de marzo de 2019, también refuerza esta conclusión la </w:t>
      </w:r>
      <w:r w:rsidRPr="00652D10">
        <w:rPr>
          <w:rFonts w:ascii="Segoe UI" w:eastAsia="Times New Roman" w:hAnsi="Segoe UI" w:cs="Segoe UI"/>
          <w:color w:val="000000"/>
          <w:kern w:val="0"/>
          <w:sz w:val="21"/>
          <w:szCs w:val="21"/>
          <w:u w:val="single"/>
          <w:lang w:eastAsia="es-CO"/>
          <w14:ligatures w14:val="none"/>
        </w:rPr>
        <w:t xml:space="preserve">sentencia del 25 de mayo de 2017, Radicación No. 11001-03-27-000-2013-00025- 00(20436) del Consejo de Estado, Sala de lo Contencioso Administrativo, Sección Cuarta, C.P. Jorge Octavio Ramírez </w:t>
      </w:r>
      <w:proofErr w:type="spellStart"/>
      <w:r w:rsidRPr="00652D10">
        <w:rPr>
          <w:rFonts w:ascii="Segoe UI" w:eastAsia="Times New Roman" w:hAnsi="Segoe UI" w:cs="Segoe UI"/>
          <w:color w:val="000000"/>
          <w:kern w:val="0"/>
          <w:sz w:val="21"/>
          <w:szCs w:val="21"/>
          <w:u w:val="single"/>
          <w:lang w:eastAsia="es-CO"/>
          <w14:ligatures w14:val="none"/>
        </w:rPr>
        <w:t>Ramírez</w:t>
      </w:r>
      <w:proofErr w:type="spellEnd"/>
      <w:r w:rsidRPr="00652D10">
        <w:rPr>
          <w:rFonts w:ascii="Segoe UI" w:eastAsia="Times New Roman" w:hAnsi="Segoe UI" w:cs="Segoe UI"/>
          <w:color w:val="000000"/>
          <w:kern w:val="0"/>
          <w:sz w:val="21"/>
          <w:szCs w:val="21"/>
          <w:lang w:eastAsia="es-CO"/>
          <w14:ligatures w14:val="none"/>
        </w:rPr>
        <w:t>, aun cuando el análisis efectuado en esta providencia versó sobre el </w:t>
      </w:r>
      <w:hyperlink r:id="rId10" w:tooltip="Estatuto Tributario CETA" w:history="1">
        <w:r w:rsidRPr="00652D10">
          <w:rPr>
            <w:rFonts w:ascii="Segoe UI" w:eastAsia="Times New Roman" w:hAnsi="Segoe UI" w:cs="Segoe UI"/>
            <w:color w:val="0645AD"/>
            <w:kern w:val="0"/>
            <w:sz w:val="21"/>
            <w:szCs w:val="21"/>
            <w:u w:val="single"/>
            <w:lang w:eastAsia="es-CO"/>
            <w14:ligatures w14:val="none"/>
          </w:rPr>
          <w:t>artículo 24</w:t>
        </w:r>
      </w:hyperlink>
      <w:r w:rsidRPr="00652D10">
        <w:rPr>
          <w:rFonts w:ascii="Segoe UI" w:eastAsia="Times New Roman" w:hAnsi="Segoe UI" w:cs="Segoe UI"/>
          <w:color w:val="000000"/>
          <w:kern w:val="0"/>
          <w:sz w:val="21"/>
          <w:szCs w:val="21"/>
          <w:lang w:eastAsia="es-CO"/>
          <w14:ligatures w14:val="none"/>
        </w:rPr>
        <w:t> del Estatuto Tributario, ya que, al final de cuentas, la interpretación </w:t>
      </w:r>
      <w:r w:rsidRPr="00652D10">
        <w:rPr>
          <w:rFonts w:ascii="Segoe UI" w:eastAsia="Times New Roman" w:hAnsi="Segoe UI" w:cs="Segoe UI"/>
          <w:color w:val="000000"/>
          <w:kern w:val="0"/>
          <w:sz w:val="21"/>
          <w:szCs w:val="21"/>
          <w:u w:val="single"/>
          <w:lang w:eastAsia="es-CO"/>
          <w14:ligatures w14:val="none"/>
        </w:rPr>
        <w:t>se sustentó en lo ordenado por el artículo 28 del Código Civil (significado de las palabras)</w:t>
      </w:r>
      <w:r w:rsidRPr="00652D10">
        <w:rPr>
          <w:rFonts w:ascii="Segoe UI" w:eastAsia="Times New Roman" w:hAnsi="Segoe UI" w:cs="Segoe UI"/>
          <w:color w:val="000000"/>
          <w:kern w:val="0"/>
          <w:sz w:val="21"/>
          <w:szCs w:val="21"/>
          <w:lang w:eastAsia="es-CO"/>
          <w14:ligatures w14:val="none"/>
        </w:rPr>
        <w:t> que también gobierna la interpretación del citado </w:t>
      </w:r>
      <w:hyperlink r:id="rId11" w:tooltip="Estatuto Tributario CETA" w:history="1">
        <w:r w:rsidRPr="00652D10">
          <w:rPr>
            <w:rFonts w:ascii="Segoe UI" w:eastAsia="Times New Roman" w:hAnsi="Segoe UI" w:cs="Segoe UI"/>
            <w:color w:val="0645AD"/>
            <w:kern w:val="0"/>
            <w:sz w:val="21"/>
            <w:szCs w:val="21"/>
            <w:u w:val="single"/>
            <w:lang w:eastAsia="es-CO"/>
            <w14:ligatures w14:val="none"/>
          </w:rPr>
          <w:t>artículo 519</w:t>
        </w:r>
      </w:hyperlink>
      <w:r w:rsidRPr="00652D10">
        <w:rPr>
          <w:rFonts w:ascii="Segoe UI" w:eastAsia="Times New Roman" w:hAnsi="Segoe UI" w:cs="Segoe UI"/>
          <w:color w:val="000000"/>
          <w:kern w:val="0"/>
          <w:sz w:val="21"/>
          <w:szCs w:val="21"/>
          <w:lang w:eastAsia="es-CO"/>
          <w14:ligatures w14:val="none"/>
        </w:rPr>
        <w:t>:</w:t>
      </w:r>
    </w:p>
    <w:p w14:paraId="7C6C76BE" w14:textId="77777777" w:rsidR="00652D10" w:rsidRPr="00652D10" w:rsidRDefault="00652D10" w:rsidP="00652D10">
      <w:pPr>
        <w:spacing w:after="0" w:line="240" w:lineRule="auto"/>
        <w:ind w:left="284"/>
        <w:jc w:val="both"/>
        <w:rPr>
          <w:rFonts w:ascii="Segoe UI" w:eastAsia="Times New Roman" w:hAnsi="Segoe UI" w:cs="Segoe UI"/>
          <w:color w:val="000000"/>
          <w:kern w:val="0"/>
          <w:sz w:val="21"/>
          <w:szCs w:val="21"/>
          <w:lang w:eastAsia="es-CO"/>
          <w14:ligatures w14:val="none"/>
        </w:rPr>
      </w:pPr>
      <w:r w:rsidRPr="00652D10">
        <w:rPr>
          <w:rFonts w:ascii="Segoe UI" w:eastAsia="Times New Roman" w:hAnsi="Segoe UI" w:cs="Segoe UI"/>
          <w:color w:val="000000"/>
          <w:kern w:val="0"/>
          <w:sz w:val="21"/>
          <w:szCs w:val="21"/>
          <w:lang w:eastAsia="es-CO"/>
          <w14:ligatures w14:val="none"/>
        </w:rPr>
        <w:t> </w:t>
      </w:r>
    </w:p>
    <w:p w14:paraId="68144A56" w14:textId="77777777" w:rsidR="00652D10" w:rsidRPr="00652D10" w:rsidRDefault="00652D10" w:rsidP="00652D10">
      <w:pPr>
        <w:spacing w:after="0" w:line="240" w:lineRule="auto"/>
        <w:ind w:left="284"/>
        <w:jc w:val="both"/>
        <w:rPr>
          <w:rFonts w:ascii="Segoe UI" w:eastAsia="Times New Roman" w:hAnsi="Segoe UI" w:cs="Segoe UI"/>
          <w:color w:val="000000"/>
          <w:kern w:val="0"/>
          <w:sz w:val="21"/>
          <w:szCs w:val="21"/>
          <w:lang w:eastAsia="es-CO"/>
          <w14:ligatures w14:val="none"/>
        </w:rPr>
      </w:pPr>
      <w:r w:rsidRPr="00652D10">
        <w:rPr>
          <w:rFonts w:ascii="Segoe UI" w:eastAsia="Times New Roman" w:hAnsi="Segoe UI" w:cs="Segoe UI"/>
          <w:color w:val="000000"/>
          <w:kern w:val="0"/>
          <w:sz w:val="21"/>
          <w:szCs w:val="21"/>
          <w:lang w:eastAsia="es-CO"/>
          <w14:ligatures w14:val="none"/>
        </w:rPr>
        <w:t>«El concepto de enajenación (...) debe entenderse en su sentido natural y obvio, como la acción de “</w:t>
      </w:r>
      <w:r w:rsidRPr="00652D10">
        <w:rPr>
          <w:rFonts w:ascii="Segoe UI" w:eastAsia="Times New Roman" w:hAnsi="Segoe UI" w:cs="Segoe UI"/>
          <w:color w:val="000000"/>
          <w:kern w:val="0"/>
          <w:sz w:val="21"/>
          <w:szCs w:val="21"/>
          <w:u w:val="single"/>
          <w:lang w:eastAsia="es-CO"/>
          <w14:ligatures w14:val="none"/>
        </w:rPr>
        <w:t>pasar o transmitir a alguien el dominio de algo o algún otro derecho sobre ello</w:t>
      </w:r>
      <w:r w:rsidRPr="00652D10">
        <w:rPr>
          <w:rFonts w:ascii="Segoe UI" w:eastAsia="Times New Roman" w:hAnsi="Segoe UI" w:cs="Segoe UI"/>
          <w:color w:val="000000"/>
          <w:kern w:val="0"/>
          <w:sz w:val="21"/>
          <w:szCs w:val="21"/>
          <w:lang w:eastAsia="es-CO"/>
          <w14:ligatures w14:val="none"/>
        </w:rPr>
        <w:t>.” De otra parte, la precisión en cuanto a que tal enajenación, puede hacerse a cualquier título, es muestra inequívoca de que </w:t>
      </w:r>
      <w:r w:rsidRPr="00652D10">
        <w:rPr>
          <w:rFonts w:ascii="Segoe UI" w:eastAsia="Times New Roman" w:hAnsi="Segoe UI" w:cs="Segoe UI"/>
          <w:color w:val="000000"/>
          <w:kern w:val="0"/>
          <w:sz w:val="21"/>
          <w:szCs w:val="21"/>
          <w:u w:val="single"/>
          <w:lang w:eastAsia="es-CO"/>
          <w14:ligatures w14:val="none"/>
        </w:rPr>
        <w:t>la norma no excluye ningún negocio jurídico</w:t>
      </w:r>
      <w:r w:rsidRPr="00652D10">
        <w:rPr>
          <w:rFonts w:ascii="Segoe UI" w:eastAsia="Times New Roman" w:hAnsi="Segoe UI" w:cs="Segoe UI"/>
          <w:color w:val="000000"/>
          <w:kern w:val="0"/>
          <w:sz w:val="21"/>
          <w:szCs w:val="21"/>
          <w:lang w:eastAsia="es-CO"/>
          <w14:ligatures w14:val="none"/>
        </w:rPr>
        <w:t>, es decir, que no interesa si se hace a título gratuito u oneroso, pues lo determinante, se insiste, es que la operación produzca un traslado del dominio.</w:t>
      </w:r>
    </w:p>
    <w:p w14:paraId="6D74B40F" w14:textId="77777777" w:rsidR="00652D10" w:rsidRPr="00652D10" w:rsidRDefault="00652D10" w:rsidP="00652D10">
      <w:pPr>
        <w:spacing w:after="0" w:line="240" w:lineRule="auto"/>
        <w:ind w:left="284"/>
        <w:jc w:val="both"/>
        <w:rPr>
          <w:rFonts w:ascii="Segoe UI" w:eastAsia="Times New Roman" w:hAnsi="Segoe UI" w:cs="Segoe UI"/>
          <w:color w:val="000000"/>
          <w:kern w:val="0"/>
          <w:sz w:val="21"/>
          <w:szCs w:val="21"/>
          <w:lang w:eastAsia="es-CO"/>
          <w14:ligatures w14:val="none"/>
        </w:rPr>
      </w:pPr>
      <w:r w:rsidRPr="00652D10">
        <w:rPr>
          <w:rFonts w:ascii="Segoe UI" w:eastAsia="Times New Roman" w:hAnsi="Segoe UI" w:cs="Segoe UI"/>
          <w:color w:val="000000"/>
          <w:kern w:val="0"/>
          <w:sz w:val="21"/>
          <w:szCs w:val="21"/>
          <w:lang w:eastAsia="es-CO"/>
          <w14:ligatures w14:val="none"/>
        </w:rPr>
        <w:t> </w:t>
      </w:r>
    </w:p>
    <w:p w14:paraId="312C9617" w14:textId="77777777" w:rsidR="00652D10" w:rsidRPr="00652D10" w:rsidRDefault="00652D10" w:rsidP="00652D10">
      <w:pPr>
        <w:spacing w:after="0" w:line="240" w:lineRule="auto"/>
        <w:ind w:left="284"/>
        <w:jc w:val="both"/>
        <w:rPr>
          <w:rFonts w:ascii="Segoe UI" w:eastAsia="Times New Roman" w:hAnsi="Segoe UI" w:cs="Segoe UI"/>
          <w:color w:val="000000"/>
          <w:kern w:val="0"/>
          <w:sz w:val="21"/>
          <w:szCs w:val="21"/>
          <w:lang w:eastAsia="es-CO"/>
          <w14:ligatures w14:val="none"/>
        </w:rPr>
      </w:pPr>
      <w:r w:rsidRPr="00652D10">
        <w:rPr>
          <w:rFonts w:ascii="Segoe UI" w:eastAsia="Times New Roman" w:hAnsi="Segoe UI" w:cs="Segoe UI"/>
          <w:color w:val="000000"/>
          <w:kern w:val="0"/>
          <w:sz w:val="21"/>
          <w:szCs w:val="21"/>
          <w:lang w:eastAsia="es-CO"/>
          <w14:ligatures w14:val="none"/>
        </w:rPr>
        <w:t>(...)» (subrayado fuera de texto)</w:t>
      </w:r>
    </w:p>
    <w:p w14:paraId="1686C6E7" w14:textId="77777777" w:rsidR="00652D10" w:rsidRPr="00652D10" w:rsidRDefault="00652D10" w:rsidP="00652D10">
      <w:pPr>
        <w:spacing w:after="0" w:line="240" w:lineRule="auto"/>
        <w:jc w:val="both"/>
        <w:rPr>
          <w:rFonts w:ascii="Segoe UI" w:eastAsia="Times New Roman" w:hAnsi="Segoe UI" w:cs="Segoe UI"/>
          <w:color w:val="000000"/>
          <w:kern w:val="0"/>
          <w:sz w:val="21"/>
          <w:szCs w:val="21"/>
          <w:lang w:eastAsia="es-CO"/>
          <w14:ligatures w14:val="none"/>
        </w:rPr>
      </w:pPr>
      <w:r w:rsidRPr="00652D10">
        <w:rPr>
          <w:rFonts w:ascii="Segoe UI" w:eastAsia="Times New Roman" w:hAnsi="Segoe UI" w:cs="Segoe UI"/>
          <w:color w:val="000000"/>
          <w:kern w:val="0"/>
          <w:sz w:val="21"/>
          <w:szCs w:val="21"/>
          <w:lang w:eastAsia="es-CO"/>
          <w14:ligatures w14:val="none"/>
        </w:rPr>
        <w:t> </w:t>
      </w:r>
    </w:p>
    <w:p w14:paraId="4B893787" w14:textId="77777777" w:rsidR="00652D10" w:rsidRPr="00652D10" w:rsidRDefault="00652D10" w:rsidP="00652D10">
      <w:pPr>
        <w:spacing w:after="0" w:line="240" w:lineRule="auto"/>
        <w:jc w:val="both"/>
        <w:rPr>
          <w:rFonts w:ascii="Segoe UI" w:eastAsia="Times New Roman" w:hAnsi="Segoe UI" w:cs="Segoe UI"/>
          <w:color w:val="000000"/>
          <w:kern w:val="0"/>
          <w:sz w:val="21"/>
          <w:szCs w:val="21"/>
          <w:lang w:eastAsia="es-CO"/>
          <w14:ligatures w14:val="none"/>
        </w:rPr>
      </w:pPr>
      <w:r w:rsidRPr="00652D10">
        <w:rPr>
          <w:rFonts w:ascii="Segoe UI" w:eastAsia="Times New Roman" w:hAnsi="Segoe UI" w:cs="Segoe UI"/>
          <w:color w:val="000000"/>
          <w:kern w:val="0"/>
          <w:sz w:val="21"/>
          <w:szCs w:val="21"/>
          <w:lang w:eastAsia="es-CO"/>
          <w14:ligatures w14:val="none"/>
        </w:rPr>
        <w:t>Ahora, atendiendo al principio de legalidad tributaria, consagrado en el artículo 338 de la Constitución Política, esta Entidad debe respetar los límites establecidos por la Ley en su interpretación y aplicación. De allí que se deba acatar el tenor literal del </w:t>
      </w:r>
      <w:hyperlink r:id="rId12" w:tooltip="Estatuto Tributario CETA" w:history="1">
        <w:r w:rsidRPr="00652D10">
          <w:rPr>
            <w:rFonts w:ascii="Segoe UI" w:eastAsia="Times New Roman" w:hAnsi="Segoe UI" w:cs="Segoe UI"/>
            <w:color w:val="0645AD"/>
            <w:kern w:val="0"/>
            <w:sz w:val="21"/>
            <w:szCs w:val="21"/>
            <w:u w:val="single"/>
            <w:lang w:eastAsia="es-CO"/>
            <w14:ligatures w14:val="none"/>
          </w:rPr>
          <w:t>artículo 519</w:t>
        </w:r>
      </w:hyperlink>
      <w:r w:rsidRPr="00652D10">
        <w:rPr>
          <w:rFonts w:ascii="Segoe UI" w:eastAsia="Times New Roman" w:hAnsi="Segoe UI" w:cs="Segoe UI"/>
          <w:color w:val="000000"/>
          <w:kern w:val="0"/>
          <w:sz w:val="21"/>
          <w:szCs w:val="21"/>
          <w:lang w:eastAsia="es-CO"/>
          <w14:ligatures w14:val="none"/>
        </w:rPr>
        <w:t> del Estatuto Tributario, de conformidad con el cual la enajenación a cualquier título de inmuebles (o, en otras palabras, el traslado de su dominio) comprende la transferencia de la propiedad que de éstos se lleva a cabo a un patrimonio autónomo como consecuencia de la celebración de una fiducia mercantil (cfr. artículos 1226 y 1233 del Código de Comercio); agregando, al respecto, que no existe disposición de orden tributario que no asimile dicha operación a una enajenación para efectos fiscales, como ocurre en otros casos.</w:t>
      </w:r>
    </w:p>
    <w:p w14:paraId="6A2404F1" w14:textId="77777777" w:rsidR="00652D10" w:rsidRPr="00652D10" w:rsidRDefault="00652D10" w:rsidP="00652D10">
      <w:pPr>
        <w:spacing w:after="0" w:line="240" w:lineRule="auto"/>
        <w:jc w:val="both"/>
        <w:rPr>
          <w:rFonts w:ascii="Segoe UI" w:eastAsia="Times New Roman" w:hAnsi="Segoe UI" w:cs="Segoe UI"/>
          <w:color w:val="000000"/>
          <w:kern w:val="0"/>
          <w:sz w:val="21"/>
          <w:szCs w:val="21"/>
          <w:lang w:eastAsia="es-CO"/>
          <w14:ligatures w14:val="none"/>
        </w:rPr>
      </w:pPr>
      <w:r w:rsidRPr="00652D10">
        <w:rPr>
          <w:rFonts w:ascii="Segoe UI" w:eastAsia="Times New Roman" w:hAnsi="Segoe UI" w:cs="Segoe UI"/>
          <w:color w:val="000000"/>
          <w:kern w:val="0"/>
          <w:sz w:val="21"/>
          <w:szCs w:val="21"/>
          <w:lang w:eastAsia="es-CO"/>
          <w14:ligatures w14:val="none"/>
        </w:rPr>
        <w:t> </w:t>
      </w:r>
    </w:p>
    <w:p w14:paraId="02DE75A9" w14:textId="77777777" w:rsidR="00652D10" w:rsidRPr="00652D10" w:rsidRDefault="00652D10" w:rsidP="00652D10">
      <w:pPr>
        <w:spacing w:after="0" w:line="240" w:lineRule="auto"/>
        <w:jc w:val="both"/>
        <w:rPr>
          <w:rFonts w:ascii="Segoe UI" w:eastAsia="Times New Roman" w:hAnsi="Segoe UI" w:cs="Segoe UI"/>
          <w:color w:val="000000"/>
          <w:kern w:val="0"/>
          <w:sz w:val="21"/>
          <w:szCs w:val="21"/>
          <w:lang w:eastAsia="es-CO"/>
          <w14:ligatures w14:val="none"/>
        </w:rPr>
      </w:pPr>
      <w:r w:rsidRPr="00652D10">
        <w:rPr>
          <w:rFonts w:ascii="Segoe UI" w:eastAsia="Times New Roman" w:hAnsi="Segoe UI" w:cs="Segoe UI"/>
          <w:color w:val="000000"/>
          <w:kern w:val="0"/>
          <w:sz w:val="21"/>
          <w:szCs w:val="21"/>
          <w:lang w:eastAsia="es-CO"/>
          <w14:ligatures w14:val="none"/>
        </w:rPr>
        <w:t xml:space="preserve">Es por ello </w:t>
      </w:r>
      <w:proofErr w:type="gramStart"/>
      <w:r w:rsidRPr="00652D10">
        <w:rPr>
          <w:rFonts w:ascii="Segoe UI" w:eastAsia="Times New Roman" w:hAnsi="Segoe UI" w:cs="Segoe UI"/>
          <w:color w:val="000000"/>
          <w:kern w:val="0"/>
          <w:sz w:val="21"/>
          <w:szCs w:val="21"/>
          <w:lang w:eastAsia="es-CO"/>
          <w14:ligatures w14:val="none"/>
        </w:rPr>
        <w:t>que</w:t>
      </w:r>
      <w:proofErr w:type="gramEnd"/>
      <w:r w:rsidRPr="00652D10">
        <w:rPr>
          <w:rFonts w:ascii="Segoe UI" w:eastAsia="Times New Roman" w:hAnsi="Segoe UI" w:cs="Segoe UI"/>
          <w:color w:val="000000"/>
          <w:kern w:val="0"/>
          <w:sz w:val="21"/>
          <w:szCs w:val="21"/>
          <w:lang w:eastAsia="es-CO"/>
          <w14:ligatures w14:val="none"/>
        </w:rPr>
        <w:t>, en el contexto analizado, no se puede concluir otra cosa diferente a la causación del impuesto de timbre nacional, en tanto el valor del inmueble “sea igual o superior a veinte mil (20.000) UVT” y no haya sido sujeto a este impuesto, cuando se eleve a escritura pública el documento que contiene su enajenación, independientemente del modo y/o título que tengan lugar.</w:t>
      </w:r>
    </w:p>
    <w:p w14:paraId="2B547B49" w14:textId="77777777" w:rsidR="00652D10" w:rsidRPr="00652D10" w:rsidRDefault="00652D10" w:rsidP="00652D10">
      <w:pPr>
        <w:spacing w:after="0" w:line="240" w:lineRule="auto"/>
        <w:jc w:val="both"/>
        <w:rPr>
          <w:rFonts w:ascii="Segoe UI" w:eastAsia="Times New Roman" w:hAnsi="Segoe UI" w:cs="Segoe UI"/>
          <w:color w:val="000000"/>
          <w:kern w:val="0"/>
          <w:sz w:val="21"/>
          <w:szCs w:val="21"/>
          <w:lang w:eastAsia="es-CO"/>
          <w14:ligatures w14:val="none"/>
        </w:rPr>
      </w:pPr>
      <w:r w:rsidRPr="00652D10">
        <w:rPr>
          <w:rFonts w:ascii="Segoe UI" w:eastAsia="Times New Roman" w:hAnsi="Segoe UI" w:cs="Segoe UI"/>
          <w:color w:val="000000"/>
          <w:kern w:val="0"/>
          <w:sz w:val="21"/>
          <w:szCs w:val="21"/>
          <w:lang w:eastAsia="es-CO"/>
          <w14:ligatures w14:val="none"/>
        </w:rPr>
        <w:t> </w:t>
      </w:r>
    </w:p>
    <w:p w14:paraId="630A5D69" w14:textId="77777777" w:rsidR="00652D10" w:rsidRPr="00652D10" w:rsidRDefault="00652D10" w:rsidP="00652D10">
      <w:pPr>
        <w:spacing w:after="0" w:line="240" w:lineRule="auto"/>
        <w:jc w:val="both"/>
        <w:rPr>
          <w:rFonts w:ascii="Segoe UI" w:eastAsia="Times New Roman" w:hAnsi="Segoe UI" w:cs="Segoe UI"/>
          <w:color w:val="000000"/>
          <w:kern w:val="0"/>
          <w:sz w:val="21"/>
          <w:szCs w:val="21"/>
          <w:lang w:eastAsia="es-CO"/>
          <w14:ligatures w14:val="none"/>
        </w:rPr>
      </w:pPr>
      <w:r w:rsidRPr="00652D10">
        <w:rPr>
          <w:rFonts w:ascii="Segoe UI" w:eastAsia="Times New Roman" w:hAnsi="Segoe UI" w:cs="Segoe UI"/>
          <w:color w:val="000000"/>
          <w:kern w:val="0"/>
          <w:sz w:val="21"/>
          <w:szCs w:val="21"/>
          <w:lang w:eastAsia="es-CO"/>
          <w14:ligatures w14:val="none"/>
        </w:rPr>
        <w:t>No sobra anotar que “El principio de legalidad resulta especialmente relevante frente a la seguridad jurídica, en la medida en que es a través de la efectividad de este principio que </w:t>
      </w:r>
      <w:r w:rsidRPr="00652D10">
        <w:rPr>
          <w:rFonts w:ascii="Segoe UI" w:eastAsia="Times New Roman" w:hAnsi="Segoe UI" w:cs="Segoe UI"/>
          <w:color w:val="000000"/>
          <w:kern w:val="0"/>
          <w:sz w:val="21"/>
          <w:szCs w:val="21"/>
          <w:u w:val="single"/>
          <w:lang w:eastAsia="es-CO"/>
          <w14:ligatures w14:val="none"/>
        </w:rPr>
        <w:t>los ciudadanos pueden conocer el contenido de sus deberes económicos con el Estado</w:t>
      </w:r>
      <w:r w:rsidRPr="00652D10">
        <w:rPr>
          <w:rFonts w:ascii="Segoe UI" w:eastAsia="Times New Roman" w:hAnsi="Segoe UI" w:cs="Segoe UI"/>
          <w:color w:val="000000"/>
          <w:kern w:val="0"/>
          <w:sz w:val="21"/>
          <w:szCs w:val="21"/>
          <w:lang w:eastAsia="es-CO"/>
          <w14:ligatures w14:val="none"/>
        </w:rPr>
        <w:t>, y de esta forma, se garantiza el debido proceso cuando la existencia de reglas precisas permite la previsibilidad de las decisiones de los jueces y la administración” (subrayado fuera de texto) (cfr. Sentencia C-147/21 de la Corte Constitucional, M.P. Alejandro Linares Cantillo).</w:t>
      </w:r>
    </w:p>
    <w:p w14:paraId="1FAE7756" w14:textId="77777777" w:rsidR="00652D10" w:rsidRPr="00652D10" w:rsidRDefault="00652D10" w:rsidP="00652D10">
      <w:pPr>
        <w:spacing w:after="0" w:line="240" w:lineRule="auto"/>
        <w:jc w:val="both"/>
        <w:rPr>
          <w:rFonts w:ascii="Segoe UI" w:eastAsia="Times New Roman" w:hAnsi="Segoe UI" w:cs="Segoe UI"/>
          <w:color w:val="000000"/>
          <w:kern w:val="0"/>
          <w:sz w:val="21"/>
          <w:szCs w:val="21"/>
          <w:lang w:eastAsia="es-CO"/>
          <w14:ligatures w14:val="none"/>
        </w:rPr>
      </w:pPr>
      <w:r w:rsidRPr="00652D10">
        <w:rPr>
          <w:rFonts w:ascii="Segoe UI" w:eastAsia="Times New Roman" w:hAnsi="Segoe UI" w:cs="Segoe UI"/>
          <w:color w:val="000000"/>
          <w:kern w:val="0"/>
          <w:sz w:val="21"/>
          <w:szCs w:val="21"/>
          <w:lang w:eastAsia="es-CO"/>
          <w14:ligatures w14:val="none"/>
        </w:rPr>
        <w:t> </w:t>
      </w:r>
    </w:p>
    <w:p w14:paraId="0324F131" w14:textId="77777777" w:rsidR="00652D10" w:rsidRPr="00652D10" w:rsidRDefault="00652D10" w:rsidP="00652D10">
      <w:pPr>
        <w:spacing w:after="0" w:line="240" w:lineRule="auto"/>
        <w:jc w:val="both"/>
        <w:rPr>
          <w:rFonts w:ascii="Segoe UI" w:eastAsia="Times New Roman" w:hAnsi="Segoe UI" w:cs="Segoe UI"/>
          <w:color w:val="000000"/>
          <w:kern w:val="0"/>
          <w:sz w:val="21"/>
          <w:szCs w:val="21"/>
          <w:lang w:eastAsia="es-CO"/>
          <w14:ligatures w14:val="none"/>
        </w:rPr>
      </w:pPr>
      <w:r w:rsidRPr="00652D10">
        <w:rPr>
          <w:rFonts w:ascii="Segoe UI" w:eastAsia="Times New Roman" w:hAnsi="Segoe UI" w:cs="Segoe UI"/>
          <w:color w:val="000000"/>
          <w:kern w:val="0"/>
          <w:sz w:val="21"/>
          <w:szCs w:val="21"/>
          <w:lang w:eastAsia="es-CO"/>
          <w14:ligatures w14:val="none"/>
        </w:rPr>
        <w:t>De otra parte, en lo que se refiere al principio de transparencia fiscal, es de tener en cuenta que el </w:t>
      </w:r>
      <w:hyperlink r:id="rId13" w:tooltip="Estatuto Tributario CETA" w:history="1">
        <w:r w:rsidRPr="00652D10">
          <w:rPr>
            <w:rFonts w:ascii="Segoe UI" w:eastAsia="Times New Roman" w:hAnsi="Segoe UI" w:cs="Segoe UI"/>
            <w:color w:val="0645AD"/>
            <w:kern w:val="0"/>
            <w:sz w:val="21"/>
            <w:szCs w:val="21"/>
            <w:u w:val="single"/>
            <w:lang w:eastAsia="es-CO"/>
            <w14:ligatures w14:val="none"/>
          </w:rPr>
          <w:t>artículo 102</w:t>
        </w:r>
      </w:hyperlink>
      <w:r w:rsidRPr="00652D10">
        <w:rPr>
          <w:rFonts w:ascii="Segoe UI" w:eastAsia="Times New Roman" w:hAnsi="Segoe UI" w:cs="Segoe UI"/>
          <w:color w:val="000000"/>
          <w:kern w:val="0"/>
          <w:sz w:val="21"/>
          <w:szCs w:val="21"/>
          <w:lang w:eastAsia="es-CO"/>
          <w14:ligatures w14:val="none"/>
        </w:rPr>
        <w:t> del Estatuto Tributario lo limita exclusivamente para efectos del impuesto sobre la renta:</w:t>
      </w:r>
    </w:p>
    <w:p w14:paraId="3B459B33" w14:textId="77777777" w:rsidR="00652D10" w:rsidRPr="00652D10" w:rsidRDefault="00652D10" w:rsidP="00652D10">
      <w:pPr>
        <w:spacing w:after="0" w:line="240" w:lineRule="auto"/>
        <w:jc w:val="both"/>
        <w:rPr>
          <w:rFonts w:ascii="Segoe UI" w:eastAsia="Times New Roman" w:hAnsi="Segoe UI" w:cs="Segoe UI"/>
          <w:color w:val="000000"/>
          <w:kern w:val="0"/>
          <w:sz w:val="21"/>
          <w:szCs w:val="21"/>
          <w:lang w:eastAsia="es-CO"/>
          <w14:ligatures w14:val="none"/>
        </w:rPr>
      </w:pPr>
      <w:r w:rsidRPr="00652D10">
        <w:rPr>
          <w:rFonts w:ascii="Segoe UI" w:eastAsia="Times New Roman" w:hAnsi="Segoe UI" w:cs="Segoe UI"/>
          <w:color w:val="000000"/>
          <w:kern w:val="0"/>
          <w:sz w:val="21"/>
          <w:szCs w:val="21"/>
          <w:lang w:eastAsia="es-CO"/>
          <w14:ligatures w14:val="none"/>
        </w:rPr>
        <w:t> </w:t>
      </w:r>
    </w:p>
    <w:p w14:paraId="785FC86C" w14:textId="77777777" w:rsidR="00652D10" w:rsidRPr="00652D10" w:rsidRDefault="00652D10" w:rsidP="00652D10">
      <w:pPr>
        <w:spacing w:after="0" w:line="240" w:lineRule="auto"/>
        <w:ind w:left="284"/>
        <w:jc w:val="both"/>
        <w:rPr>
          <w:rFonts w:ascii="Segoe UI" w:eastAsia="Times New Roman" w:hAnsi="Segoe UI" w:cs="Segoe UI"/>
          <w:color w:val="000000"/>
          <w:kern w:val="0"/>
          <w:sz w:val="21"/>
          <w:szCs w:val="21"/>
          <w:lang w:eastAsia="es-CO"/>
          <w14:ligatures w14:val="none"/>
        </w:rPr>
      </w:pPr>
      <w:hyperlink r:id="rId14" w:tooltip="Estatuto Tributario CETA" w:history="1">
        <w:r w:rsidRPr="00652D10">
          <w:rPr>
            <w:rFonts w:ascii="Segoe UI" w:eastAsia="Times New Roman" w:hAnsi="Segoe UI" w:cs="Segoe UI"/>
            <w:b/>
            <w:bCs/>
            <w:color w:val="0645AD"/>
            <w:kern w:val="0"/>
            <w:sz w:val="21"/>
            <w:szCs w:val="21"/>
            <w:u w:val="single"/>
            <w:lang w:eastAsia="es-CO"/>
            <w14:ligatures w14:val="none"/>
          </w:rPr>
          <w:t>ARTÍCULO 102</w:t>
        </w:r>
      </w:hyperlink>
      <w:r w:rsidRPr="00652D10">
        <w:rPr>
          <w:rFonts w:ascii="Segoe UI" w:eastAsia="Times New Roman" w:hAnsi="Segoe UI" w:cs="Segoe UI"/>
          <w:b/>
          <w:bCs/>
          <w:color w:val="000000"/>
          <w:kern w:val="0"/>
          <w:sz w:val="21"/>
          <w:szCs w:val="21"/>
          <w:lang w:eastAsia="es-CO"/>
          <w14:ligatures w14:val="none"/>
        </w:rPr>
        <w:t>. CONTRATOS DE FIDUCIA MERCANTIL.</w:t>
      </w:r>
      <w:r w:rsidRPr="00652D10">
        <w:rPr>
          <w:rFonts w:ascii="Segoe UI" w:eastAsia="Times New Roman" w:hAnsi="Segoe UI" w:cs="Segoe UI"/>
          <w:color w:val="000000"/>
          <w:kern w:val="0"/>
          <w:sz w:val="21"/>
          <w:szCs w:val="21"/>
          <w:lang w:eastAsia="es-CO"/>
          <w14:ligatures w14:val="none"/>
        </w:rPr>
        <w:t> &lt;Artículo modificado por el artículo 81 de la Ley 223 de 1995. El nuevo texto es el siguiente:&gt; </w:t>
      </w:r>
      <w:r w:rsidRPr="00652D10">
        <w:rPr>
          <w:rFonts w:ascii="Segoe UI" w:eastAsia="Times New Roman" w:hAnsi="Segoe UI" w:cs="Segoe UI"/>
          <w:color w:val="000000"/>
          <w:kern w:val="0"/>
          <w:sz w:val="21"/>
          <w:szCs w:val="21"/>
          <w:u w:val="single"/>
          <w:lang w:eastAsia="es-CO"/>
          <w14:ligatures w14:val="none"/>
        </w:rPr>
        <w:t>Para la determinación del impuesto sobre la renta</w:t>
      </w:r>
      <w:r w:rsidRPr="00652D10">
        <w:rPr>
          <w:rFonts w:ascii="Segoe UI" w:eastAsia="Times New Roman" w:hAnsi="Segoe UI" w:cs="Segoe UI"/>
          <w:color w:val="000000"/>
          <w:kern w:val="0"/>
          <w:sz w:val="21"/>
          <w:szCs w:val="21"/>
          <w:lang w:eastAsia="es-CO"/>
          <w14:ligatures w14:val="none"/>
        </w:rPr>
        <w:t> en los contratos de fiducia mercantil se observarán las siguientes reglas:</w:t>
      </w:r>
    </w:p>
    <w:p w14:paraId="0D98C05D" w14:textId="77777777" w:rsidR="00652D10" w:rsidRPr="00652D10" w:rsidRDefault="00652D10" w:rsidP="00652D10">
      <w:pPr>
        <w:spacing w:after="0" w:line="240" w:lineRule="auto"/>
        <w:ind w:left="284"/>
        <w:jc w:val="both"/>
        <w:rPr>
          <w:rFonts w:ascii="Segoe UI" w:eastAsia="Times New Roman" w:hAnsi="Segoe UI" w:cs="Segoe UI"/>
          <w:color w:val="000000"/>
          <w:kern w:val="0"/>
          <w:sz w:val="21"/>
          <w:szCs w:val="21"/>
          <w:lang w:eastAsia="es-CO"/>
          <w14:ligatures w14:val="none"/>
        </w:rPr>
      </w:pPr>
      <w:r w:rsidRPr="00652D10">
        <w:rPr>
          <w:rFonts w:ascii="Segoe UI" w:eastAsia="Times New Roman" w:hAnsi="Segoe UI" w:cs="Segoe UI"/>
          <w:color w:val="000000"/>
          <w:kern w:val="0"/>
          <w:sz w:val="21"/>
          <w:szCs w:val="21"/>
          <w:lang w:eastAsia="es-CO"/>
          <w14:ligatures w14:val="none"/>
        </w:rPr>
        <w:t> </w:t>
      </w:r>
    </w:p>
    <w:p w14:paraId="38185D44" w14:textId="77777777" w:rsidR="00652D10" w:rsidRPr="00652D10" w:rsidRDefault="00652D10" w:rsidP="00652D10">
      <w:pPr>
        <w:spacing w:after="0" w:line="240" w:lineRule="auto"/>
        <w:ind w:left="284"/>
        <w:jc w:val="both"/>
        <w:rPr>
          <w:rFonts w:ascii="Segoe UI" w:eastAsia="Times New Roman" w:hAnsi="Segoe UI" w:cs="Segoe UI"/>
          <w:color w:val="000000"/>
          <w:kern w:val="0"/>
          <w:sz w:val="21"/>
          <w:szCs w:val="21"/>
          <w:lang w:eastAsia="es-CO"/>
          <w14:ligatures w14:val="none"/>
        </w:rPr>
      </w:pPr>
      <w:r w:rsidRPr="00652D10">
        <w:rPr>
          <w:rFonts w:ascii="Segoe UI" w:eastAsia="Times New Roman" w:hAnsi="Segoe UI" w:cs="Segoe UI"/>
          <w:color w:val="000000"/>
          <w:kern w:val="0"/>
          <w:sz w:val="21"/>
          <w:szCs w:val="21"/>
          <w:lang w:eastAsia="es-CO"/>
          <w14:ligatures w14:val="none"/>
        </w:rPr>
        <w:t>1. &lt;Numeral modificado por el artículo 127 de la Ley 1607 de 2012. El nuevo texto es el siguiente:&gt; </w:t>
      </w:r>
      <w:r w:rsidRPr="00652D10">
        <w:rPr>
          <w:rFonts w:ascii="Segoe UI" w:eastAsia="Times New Roman" w:hAnsi="Segoe UI" w:cs="Segoe UI"/>
          <w:color w:val="000000"/>
          <w:kern w:val="0"/>
          <w:sz w:val="21"/>
          <w:szCs w:val="21"/>
          <w:u w:val="single"/>
          <w:lang w:eastAsia="es-CO"/>
          <w14:ligatures w14:val="none"/>
        </w:rPr>
        <w:t>Los derechos fiduciarios tendrán el costo fiscal y las condiciones tributarias de los bienes o derechos aportados al patrimonio autónomo</w:t>
      </w:r>
      <w:r w:rsidRPr="00652D10">
        <w:rPr>
          <w:rFonts w:ascii="Segoe UI" w:eastAsia="Times New Roman" w:hAnsi="Segoe UI" w:cs="Segoe UI"/>
          <w:color w:val="000000"/>
          <w:kern w:val="0"/>
          <w:sz w:val="21"/>
          <w:szCs w:val="21"/>
          <w:lang w:eastAsia="es-CO"/>
          <w14:ligatures w14:val="none"/>
        </w:rPr>
        <w:t>. Al cierre de cada período gravable los derechos fiduciarios tendrán el tratamiento patrimonial que le corresponda a los bienes de que sea titular el patrimonio autónomo.</w:t>
      </w:r>
    </w:p>
    <w:p w14:paraId="19BEDD5C" w14:textId="77777777" w:rsidR="00652D10" w:rsidRPr="00652D10" w:rsidRDefault="00652D10" w:rsidP="00652D10">
      <w:pPr>
        <w:spacing w:after="0" w:line="240" w:lineRule="auto"/>
        <w:ind w:left="284"/>
        <w:jc w:val="both"/>
        <w:rPr>
          <w:rFonts w:ascii="Segoe UI" w:eastAsia="Times New Roman" w:hAnsi="Segoe UI" w:cs="Segoe UI"/>
          <w:color w:val="000000"/>
          <w:kern w:val="0"/>
          <w:sz w:val="21"/>
          <w:szCs w:val="21"/>
          <w:lang w:eastAsia="es-CO"/>
          <w14:ligatures w14:val="none"/>
        </w:rPr>
      </w:pPr>
      <w:r w:rsidRPr="00652D10">
        <w:rPr>
          <w:rFonts w:ascii="Segoe UI" w:eastAsia="Times New Roman" w:hAnsi="Segoe UI" w:cs="Segoe UI"/>
          <w:color w:val="000000"/>
          <w:kern w:val="0"/>
          <w:sz w:val="21"/>
          <w:szCs w:val="21"/>
          <w:lang w:eastAsia="es-CO"/>
          <w14:ligatures w14:val="none"/>
        </w:rPr>
        <w:t> </w:t>
      </w:r>
    </w:p>
    <w:p w14:paraId="4A3EDC3A" w14:textId="77777777" w:rsidR="00652D10" w:rsidRPr="00652D10" w:rsidRDefault="00652D10" w:rsidP="00652D10">
      <w:pPr>
        <w:spacing w:after="0" w:line="240" w:lineRule="auto"/>
        <w:ind w:left="284"/>
        <w:jc w:val="both"/>
        <w:rPr>
          <w:rFonts w:ascii="Segoe UI" w:eastAsia="Times New Roman" w:hAnsi="Segoe UI" w:cs="Segoe UI"/>
          <w:color w:val="000000"/>
          <w:kern w:val="0"/>
          <w:sz w:val="21"/>
          <w:szCs w:val="21"/>
          <w:lang w:eastAsia="es-CO"/>
          <w14:ligatures w14:val="none"/>
        </w:rPr>
      </w:pPr>
      <w:r w:rsidRPr="00652D10">
        <w:rPr>
          <w:rFonts w:ascii="Segoe UI" w:eastAsia="Times New Roman" w:hAnsi="Segoe UI" w:cs="Segoe UI"/>
          <w:color w:val="000000"/>
          <w:kern w:val="0"/>
          <w:sz w:val="21"/>
          <w:szCs w:val="21"/>
          <w:lang w:eastAsia="es-CO"/>
          <w14:ligatures w14:val="none"/>
        </w:rPr>
        <w:t>(…)</w:t>
      </w:r>
    </w:p>
    <w:p w14:paraId="689373AF" w14:textId="77777777" w:rsidR="00652D10" w:rsidRPr="00652D10" w:rsidRDefault="00652D10" w:rsidP="00652D10">
      <w:pPr>
        <w:spacing w:after="0" w:line="240" w:lineRule="auto"/>
        <w:ind w:left="284"/>
        <w:jc w:val="both"/>
        <w:rPr>
          <w:rFonts w:ascii="Segoe UI" w:eastAsia="Times New Roman" w:hAnsi="Segoe UI" w:cs="Segoe UI"/>
          <w:color w:val="000000"/>
          <w:kern w:val="0"/>
          <w:sz w:val="21"/>
          <w:szCs w:val="21"/>
          <w:lang w:eastAsia="es-CO"/>
          <w14:ligatures w14:val="none"/>
        </w:rPr>
      </w:pPr>
      <w:r w:rsidRPr="00652D10">
        <w:rPr>
          <w:rFonts w:ascii="Segoe UI" w:eastAsia="Times New Roman" w:hAnsi="Segoe UI" w:cs="Segoe UI"/>
          <w:color w:val="000000"/>
          <w:kern w:val="0"/>
          <w:sz w:val="21"/>
          <w:szCs w:val="21"/>
          <w:lang w:eastAsia="es-CO"/>
          <w14:ligatures w14:val="none"/>
        </w:rPr>
        <w:t> </w:t>
      </w:r>
    </w:p>
    <w:p w14:paraId="7BC9FFE0" w14:textId="77777777" w:rsidR="00652D10" w:rsidRPr="00652D10" w:rsidRDefault="00652D10" w:rsidP="00652D10">
      <w:pPr>
        <w:spacing w:after="0" w:line="240" w:lineRule="auto"/>
        <w:ind w:left="284"/>
        <w:jc w:val="both"/>
        <w:rPr>
          <w:rFonts w:ascii="Segoe UI" w:eastAsia="Times New Roman" w:hAnsi="Segoe UI" w:cs="Segoe UI"/>
          <w:color w:val="000000"/>
          <w:kern w:val="0"/>
          <w:sz w:val="21"/>
          <w:szCs w:val="21"/>
          <w:lang w:eastAsia="es-CO"/>
          <w14:ligatures w14:val="none"/>
        </w:rPr>
      </w:pPr>
      <w:r w:rsidRPr="00652D10">
        <w:rPr>
          <w:rFonts w:ascii="Segoe UI" w:eastAsia="Times New Roman" w:hAnsi="Segoe UI" w:cs="Segoe UI"/>
          <w:color w:val="000000"/>
          <w:kern w:val="0"/>
          <w:sz w:val="21"/>
          <w:szCs w:val="21"/>
          <w:lang w:eastAsia="es-CO"/>
          <w14:ligatures w14:val="none"/>
        </w:rPr>
        <w:lastRenderedPageBreak/>
        <w:t>2. &lt;Numeral modificado por el artículo 59 de la Ley 1819 de 2016. El nuevo texto es el siguiente:&gt; El </w:t>
      </w:r>
      <w:r w:rsidRPr="00652D10">
        <w:rPr>
          <w:rFonts w:ascii="Segoe UI" w:eastAsia="Times New Roman" w:hAnsi="Segoe UI" w:cs="Segoe UI"/>
          <w:color w:val="000000"/>
          <w:kern w:val="0"/>
          <w:sz w:val="21"/>
          <w:szCs w:val="21"/>
          <w:u w:val="single"/>
          <w:lang w:eastAsia="es-CO"/>
          <w14:ligatures w14:val="none"/>
        </w:rPr>
        <w:t>principio de transparencia</w:t>
      </w:r>
      <w:r w:rsidRPr="00652D10">
        <w:rPr>
          <w:rFonts w:ascii="Segoe UI" w:eastAsia="Times New Roman" w:hAnsi="Segoe UI" w:cs="Segoe UI"/>
          <w:color w:val="000000"/>
          <w:kern w:val="0"/>
          <w:sz w:val="21"/>
          <w:szCs w:val="21"/>
          <w:lang w:eastAsia="es-CO"/>
          <w14:ligatures w14:val="none"/>
        </w:rPr>
        <w:t> en los contratos de fiducia mercantil opera de la siguiente manera:</w:t>
      </w:r>
    </w:p>
    <w:p w14:paraId="0F6A2585" w14:textId="77777777" w:rsidR="00652D10" w:rsidRPr="00652D10" w:rsidRDefault="00652D10" w:rsidP="00652D10">
      <w:pPr>
        <w:spacing w:after="0" w:line="240" w:lineRule="auto"/>
        <w:ind w:left="284"/>
        <w:jc w:val="both"/>
        <w:rPr>
          <w:rFonts w:ascii="Segoe UI" w:eastAsia="Times New Roman" w:hAnsi="Segoe UI" w:cs="Segoe UI"/>
          <w:color w:val="000000"/>
          <w:kern w:val="0"/>
          <w:sz w:val="21"/>
          <w:szCs w:val="21"/>
          <w:lang w:eastAsia="es-CO"/>
          <w14:ligatures w14:val="none"/>
        </w:rPr>
      </w:pPr>
      <w:r w:rsidRPr="00652D10">
        <w:rPr>
          <w:rFonts w:ascii="Segoe UI" w:eastAsia="Times New Roman" w:hAnsi="Segoe UI" w:cs="Segoe UI"/>
          <w:color w:val="000000"/>
          <w:kern w:val="0"/>
          <w:sz w:val="21"/>
          <w:szCs w:val="21"/>
          <w:lang w:eastAsia="es-CO"/>
          <w14:ligatures w14:val="none"/>
        </w:rPr>
        <w:t> </w:t>
      </w:r>
    </w:p>
    <w:p w14:paraId="762E1D94" w14:textId="77777777" w:rsidR="00652D10" w:rsidRPr="00652D10" w:rsidRDefault="00652D10" w:rsidP="00652D10">
      <w:pPr>
        <w:spacing w:after="0" w:line="240" w:lineRule="auto"/>
        <w:ind w:left="284"/>
        <w:jc w:val="both"/>
        <w:rPr>
          <w:rFonts w:ascii="Segoe UI" w:eastAsia="Times New Roman" w:hAnsi="Segoe UI" w:cs="Segoe UI"/>
          <w:color w:val="000000"/>
          <w:kern w:val="0"/>
          <w:sz w:val="21"/>
          <w:szCs w:val="21"/>
          <w:lang w:eastAsia="es-CO"/>
          <w14:ligatures w14:val="none"/>
        </w:rPr>
      </w:pPr>
      <w:r w:rsidRPr="00652D10">
        <w:rPr>
          <w:rFonts w:ascii="Segoe UI" w:eastAsia="Times New Roman" w:hAnsi="Segoe UI" w:cs="Segoe UI"/>
          <w:color w:val="000000"/>
          <w:kern w:val="0"/>
          <w:sz w:val="21"/>
          <w:szCs w:val="21"/>
          <w:lang w:eastAsia="es-CO"/>
          <w14:ligatures w14:val="none"/>
        </w:rPr>
        <w:t>En los contratos de fiducia mercantil los beneficiarios, deberán incluir en sus declaraciones del impuesto sobre la renta y complementarios, los ingresos, costos y gastos devengados con cargo al patrimonio autónomo, en el mismo año o período gravable en que se devenguen a favor o en contra del patrimonio autónomo con las mismas condiciones tributarias, tales como fuente, naturaleza, deducibilidad y concepto, que tendrían si las actividades que las originaron fueren desarrolladas directamente por el beneficiario.</w:t>
      </w:r>
    </w:p>
    <w:p w14:paraId="6231B4CB" w14:textId="77777777" w:rsidR="00652D10" w:rsidRPr="00652D10" w:rsidRDefault="00652D10" w:rsidP="00652D10">
      <w:pPr>
        <w:spacing w:after="0" w:line="240" w:lineRule="auto"/>
        <w:ind w:left="284"/>
        <w:jc w:val="both"/>
        <w:rPr>
          <w:rFonts w:ascii="Segoe UI" w:eastAsia="Times New Roman" w:hAnsi="Segoe UI" w:cs="Segoe UI"/>
          <w:color w:val="000000"/>
          <w:kern w:val="0"/>
          <w:sz w:val="21"/>
          <w:szCs w:val="21"/>
          <w:lang w:eastAsia="es-CO"/>
          <w14:ligatures w14:val="none"/>
        </w:rPr>
      </w:pPr>
      <w:r w:rsidRPr="00652D10">
        <w:rPr>
          <w:rFonts w:ascii="Segoe UI" w:eastAsia="Times New Roman" w:hAnsi="Segoe UI" w:cs="Segoe UI"/>
          <w:color w:val="000000"/>
          <w:kern w:val="0"/>
          <w:sz w:val="21"/>
          <w:szCs w:val="21"/>
          <w:lang w:eastAsia="es-CO"/>
          <w14:ligatures w14:val="none"/>
        </w:rPr>
        <w:t> </w:t>
      </w:r>
    </w:p>
    <w:p w14:paraId="27F1BDAB" w14:textId="77777777" w:rsidR="00652D10" w:rsidRPr="00652D10" w:rsidRDefault="00652D10" w:rsidP="00652D10">
      <w:pPr>
        <w:spacing w:after="0" w:line="240" w:lineRule="auto"/>
        <w:ind w:left="284"/>
        <w:jc w:val="both"/>
        <w:rPr>
          <w:rFonts w:ascii="Segoe UI" w:eastAsia="Times New Roman" w:hAnsi="Segoe UI" w:cs="Segoe UI"/>
          <w:color w:val="000000"/>
          <w:kern w:val="0"/>
          <w:sz w:val="21"/>
          <w:szCs w:val="21"/>
          <w:lang w:eastAsia="es-CO"/>
          <w14:ligatures w14:val="none"/>
        </w:rPr>
      </w:pPr>
      <w:r w:rsidRPr="00652D10">
        <w:rPr>
          <w:rFonts w:ascii="Segoe UI" w:eastAsia="Times New Roman" w:hAnsi="Segoe UI" w:cs="Segoe UI"/>
          <w:color w:val="000000"/>
          <w:kern w:val="0"/>
          <w:sz w:val="21"/>
          <w:szCs w:val="21"/>
          <w:lang w:eastAsia="es-CO"/>
          <w14:ligatures w14:val="none"/>
        </w:rPr>
        <w:t xml:space="preserve">Cuando los beneficiarios o fideicomitentes sean </w:t>
      </w:r>
      <w:proofErr w:type="gramStart"/>
      <w:r w:rsidRPr="00652D10">
        <w:rPr>
          <w:rFonts w:ascii="Segoe UI" w:eastAsia="Times New Roman" w:hAnsi="Segoe UI" w:cs="Segoe UI"/>
          <w:color w:val="000000"/>
          <w:kern w:val="0"/>
          <w:sz w:val="21"/>
          <w:szCs w:val="21"/>
          <w:lang w:eastAsia="es-CO"/>
          <w14:ligatures w14:val="none"/>
        </w:rPr>
        <w:t>personas naturales no obligadas a llevar</w:t>
      </w:r>
      <w:proofErr w:type="gramEnd"/>
      <w:r w:rsidRPr="00652D10">
        <w:rPr>
          <w:rFonts w:ascii="Segoe UI" w:eastAsia="Times New Roman" w:hAnsi="Segoe UI" w:cs="Segoe UI"/>
          <w:color w:val="000000"/>
          <w:kern w:val="0"/>
          <w:sz w:val="21"/>
          <w:szCs w:val="21"/>
          <w:lang w:eastAsia="es-CO"/>
          <w14:ligatures w14:val="none"/>
        </w:rPr>
        <w:t xml:space="preserve"> contabilidad se observará la regla de realización prevista en el </w:t>
      </w:r>
      <w:hyperlink r:id="rId15" w:tooltip="Estatuto Tributario CETA" w:history="1">
        <w:r w:rsidRPr="00652D10">
          <w:rPr>
            <w:rFonts w:ascii="Segoe UI" w:eastAsia="Times New Roman" w:hAnsi="Segoe UI" w:cs="Segoe UI"/>
            <w:color w:val="0645AD"/>
            <w:kern w:val="0"/>
            <w:sz w:val="21"/>
            <w:szCs w:val="21"/>
            <w:u w:val="single"/>
            <w:lang w:eastAsia="es-CO"/>
            <w14:ligatures w14:val="none"/>
          </w:rPr>
          <w:t>artículo 27</w:t>
        </w:r>
      </w:hyperlink>
      <w:r w:rsidRPr="00652D10">
        <w:rPr>
          <w:rFonts w:ascii="Segoe UI" w:eastAsia="Times New Roman" w:hAnsi="Segoe UI" w:cs="Segoe UI"/>
          <w:color w:val="000000"/>
          <w:kern w:val="0"/>
          <w:sz w:val="21"/>
          <w:szCs w:val="21"/>
          <w:lang w:eastAsia="es-CO"/>
          <w14:ligatures w14:val="none"/>
        </w:rPr>
        <w:t> del Estatuto Tributario.</w:t>
      </w:r>
    </w:p>
    <w:p w14:paraId="00060E82" w14:textId="77777777" w:rsidR="00652D10" w:rsidRPr="00652D10" w:rsidRDefault="00652D10" w:rsidP="00652D10">
      <w:pPr>
        <w:spacing w:after="0" w:line="240" w:lineRule="auto"/>
        <w:ind w:left="284"/>
        <w:jc w:val="both"/>
        <w:rPr>
          <w:rFonts w:ascii="Segoe UI" w:eastAsia="Times New Roman" w:hAnsi="Segoe UI" w:cs="Segoe UI"/>
          <w:color w:val="000000"/>
          <w:kern w:val="0"/>
          <w:sz w:val="21"/>
          <w:szCs w:val="21"/>
          <w:lang w:eastAsia="es-CO"/>
          <w14:ligatures w14:val="none"/>
        </w:rPr>
      </w:pPr>
      <w:r w:rsidRPr="00652D10">
        <w:rPr>
          <w:rFonts w:ascii="Segoe UI" w:eastAsia="Times New Roman" w:hAnsi="Segoe UI" w:cs="Segoe UI"/>
          <w:color w:val="000000"/>
          <w:kern w:val="0"/>
          <w:sz w:val="21"/>
          <w:szCs w:val="21"/>
          <w:lang w:eastAsia="es-CO"/>
          <w14:ligatures w14:val="none"/>
        </w:rPr>
        <w:t> </w:t>
      </w:r>
    </w:p>
    <w:p w14:paraId="03674C59" w14:textId="77777777" w:rsidR="00652D10" w:rsidRPr="00652D10" w:rsidRDefault="00652D10" w:rsidP="00652D10">
      <w:pPr>
        <w:spacing w:after="0" w:line="240" w:lineRule="auto"/>
        <w:ind w:left="284"/>
        <w:jc w:val="both"/>
        <w:rPr>
          <w:rFonts w:ascii="Segoe UI" w:eastAsia="Times New Roman" w:hAnsi="Segoe UI" w:cs="Segoe UI"/>
          <w:color w:val="000000"/>
          <w:kern w:val="0"/>
          <w:sz w:val="21"/>
          <w:szCs w:val="21"/>
          <w:lang w:eastAsia="es-CO"/>
          <w14:ligatures w14:val="none"/>
        </w:rPr>
      </w:pPr>
      <w:r w:rsidRPr="00652D10">
        <w:rPr>
          <w:rFonts w:ascii="Segoe UI" w:eastAsia="Times New Roman" w:hAnsi="Segoe UI" w:cs="Segoe UI"/>
          <w:color w:val="000000"/>
          <w:kern w:val="0"/>
          <w:sz w:val="21"/>
          <w:szCs w:val="21"/>
          <w:lang w:eastAsia="es-CO"/>
          <w14:ligatures w14:val="none"/>
        </w:rPr>
        <w:t>(…) (subrayado fuera de texto)</w:t>
      </w:r>
    </w:p>
    <w:p w14:paraId="46078D5B" w14:textId="77777777" w:rsidR="00652D10" w:rsidRDefault="00652D10"/>
    <w:p w14:paraId="658A7193" w14:textId="77777777" w:rsidR="00652D10" w:rsidRDefault="00652D10" w:rsidP="00652D1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Así las cosas, no es posible extrapolar el mencionado principio al ámbito del impuesto de timbre nacional, al ser ajeno al mismo. En este punto, resulta apropiado destacar el siguiente aparte del Concepto de la Sala de Consulta y Servicio Civil del Consejo de Estado, C.P. Édgar González López, No. Único 00005, de junio 30 de 2022:</w:t>
      </w:r>
    </w:p>
    <w:p w14:paraId="0B34058C" w14:textId="77777777" w:rsidR="00652D10" w:rsidRDefault="00652D10" w:rsidP="00652D1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5C589F9" w14:textId="77777777" w:rsidR="00652D10" w:rsidRDefault="00652D10" w:rsidP="00652D10">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La aplicación del principio de transparencia a los casos establecidos en la ley </w:t>
      </w:r>
      <w:r>
        <w:rPr>
          <w:rFonts w:ascii="Segoe UI" w:hAnsi="Segoe UI" w:cs="Segoe UI"/>
          <w:color w:val="000000"/>
          <w:sz w:val="21"/>
          <w:szCs w:val="21"/>
          <w:u w:val="single"/>
        </w:rPr>
        <w:t>es concordante con el principio de legalidad del tributo y la restricción de la analogía en el ámbito del derecho tributario material o sustancial</w:t>
      </w:r>
      <w:r>
        <w:rPr>
          <w:rFonts w:ascii="Segoe UI" w:hAnsi="Segoe UI" w:cs="Segoe UI"/>
          <w:color w:val="000000"/>
          <w:sz w:val="21"/>
          <w:szCs w:val="21"/>
        </w:rPr>
        <w:t>, lo cual tiene como objetivo no alterar el contenido de los elementos esenciales del tributo, aspectos que deben ser determinados por una ley, ordenanza o acuerdo.</w:t>
      </w:r>
    </w:p>
    <w:p w14:paraId="664B058C" w14:textId="77777777" w:rsidR="00652D10" w:rsidRDefault="00652D10" w:rsidP="00652D10">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6720C1DF" w14:textId="77777777" w:rsidR="00652D10" w:rsidRDefault="00652D10" w:rsidP="00652D10">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La conclusión anterior, parece ser concordante con la práctica, pues, de acuerdo con lo informado por la DIAN a la Sala el 25 de mayo de 2022, </w:t>
      </w:r>
      <w:r>
        <w:rPr>
          <w:rFonts w:ascii="Segoe UI" w:hAnsi="Segoe UI" w:cs="Segoe UI"/>
          <w:color w:val="000000"/>
          <w:sz w:val="21"/>
          <w:szCs w:val="21"/>
          <w:u w:val="single"/>
        </w:rPr>
        <w:t>no existen procesos en los cuales la entidad haya aplicado el principio de transparencia a tributos diferentes al impuesto de renta y complementarios</w:t>
      </w:r>
      <w:r>
        <w:rPr>
          <w:rFonts w:ascii="Segoe UI" w:hAnsi="Segoe UI" w:cs="Segoe UI"/>
          <w:color w:val="000000"/>
          <w:sz w:val="21"/>
          <w:szCs w:val="21"/>
        </w:rPr>
        <w:t>. (subrayado fuera de texto)</w:t>
      </w:r>
    </w:p>
    <w:p w14:paraId="6EBA6512" w14:textId="77777777" w:rsidR="00652D10" w:rsidRDefault="00652D10" w:rsidP="00652D1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FC4544D" w14:textId="77777777" w:rsidR="00652D10" w:rsidRDefault="00652D10" w:rsidP="00652D1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virtud de lo anterior, </w:t>
      </w:r>
      <w:r>
        <w:rPr>
          <w:rFonts w:ascii="Segoe UI" w:hAnsi="Segoe UI" w:cs="Segoe UI"/>
          <w:b/>
          <w:bCs/>
          <w:color w:val="000000"/>
          <w:sz w:val="21"/>
          <w:szCs w:val="21"/>
        </w:rPr>
        <w:t>se confirma </w:t>
      </w:r>
      <w:r>
        <w:rPr>
          <w:rFonts w:ascii="Segoe UI" w:hAnsi="Segoe UI" w:cs="Segoe UI"/>
          <w:color w:val="000000"/>
          <w:sz w:val="21"/>
          <w:szCs w:val="21"/>
        </w:rPr>
        <w:t>lo concluido en el punto #3 del Concepto 002211 - interno 224 de febrero 24 de 2023 (Concepto General sobre el impuesto de timbre nacional con motivo de la Ley 2277 de 2022).</w:t>
      </w:r>
    </w:p>
    <w:p w14:paraId="72EA6C1B" w14:textId="77777777" w:rsidR="00652D10" w:rsidRDefault="00652D10" w:rsidP="00652D10">
      <w:pPr>
        <w:pStyle w:val="NormalWeb"/>
        <w:spacing w:before="0" w:beforeAutospacing="0" w:after="0" w:afterAutospacing="0"/>
        <w:jc w:val="both"/>
        <w:rPr>
          <w:rFonts w:ascii="Segoe UI" w:hAnsi="Segoe UI" w:cs="Segoe UI"/>
          <w:color w:val="000000"/>
          <w:sz w:val="21"/>
          <w:szCs w:val="21"/>
        </w:rPr>
      </w:pPr>
    </w:p>
    <w:p w14:paraId="2ABCCEE2" w14:textId="77777777" w:rsidR="00652D10" w:rsidRDefault="00652D10" w:rsidP="00652D10">
      <w:pPr>
        <w:pStyle w:val="NormalWeb"/>
        <w:spacing w:before="0" w:beforeAutospacing="0" w:after="0" w:afterAutospacing="0"/>
        <w:jc w:val="both"/>
        <w:rPr>
          <w:rFonts w:ascii="Segoe UI" w:hAnsi="Segoe UI" w:cs="Segoe UI"/>
          <w:color w:val="000000"/>
          <w:sz w:val="21"/>
          <w:szCs w:val="21"/>
        </w:rPr>
      </w:pPr>
    </w:p>
    <w:p w14:paraId="298B28A0" w14:textId="33A3B754" w:rsidR="00652D10" w:rsidRDefault="00652D10" w:rsidP="00652D1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los anteriores términos se resuelve su solicitud y finalmente le manifestamos que la Dirección de Impuestos y Aduanas Nacionales -DIAN-, con el fin de facilitar a los contribuyentes, usuarios y público en general el acceso directo a sus pronunciamientos doctrinarios, ha publicado en su página de internet </w:t>
      </w:r>
      <w:hyperlink r:id="rId16" w:tgtFrame="_blank" w:history="1">
        <w:r>
          <w:rPr>
            <w:rStyle w:val="Hipervnculo"/>
            <w:rFonts w:ascii="Segoe UI" w:hAnsi="Segoe UI" w:cs="Segoe UI"/>
            <w:color w:val="0645AD"/>
            <w:sz w:val="21"/>
            <w:szCs w:val="21"/>
          </w:rPr>
          <w:t>www.dian.gov.co</w:t>
        </w:r>
      </w:hyperlink>
      <w:r>
        <w:rPr>
          <w:rFonts w:ascii="Segoe UI" w:hAnsi="Segoe UI" w:cs="Segoe UI"/>
          <w:color w:val="000000"/>
          <w:sz w:val="21"/>
          <w:szCs w:val="21"/>
        </w:rPr>
        <w:t xml:space="preserve">, la base de conceptos en materia tributaria, aduanera y cambiaria expedidos desde el año 2001, la cual se puede ingresar por el ícono de “Normatividad”–“Doctrina”, dando </w:t>
      </w:r>
      <w:proofErr w:type="spellStart"/>
      <w:r>
        <w:rPr>
          <w:rFonts w:ascii="Segoe UI" w:hAnsi="Segoe UI" w:cs="Segoe UI"/>
          <w:color w:val="000000"/>
          <w:sz w:val="21"/>
          <w:szCs w:val="21"/>
        </w:rPr>
        <w:t>click</w:t>
      </w:r>
      <w:proofErr w:type="spellEnd"/>
      <w:r>
        <w:rPr>
          <w:rFonts w:ascii="Segoe UI" w:hAnsi="Segoe UI" w:cs="Segoe UI"/>
          <w:color w:val="000000"/>
          <w:sz w:val="21"/>
          <w:szCs w:val="21"/>
        </w:rPr>
        <w:t xml:space="preserve"> en el link “Doctrina Dirección de Gestión Jurídica”.</w:t>
      </w:r>
    </w:p>
    <w:p w14:paraId="5AA25871" w14:textId="77777777" w:rsidR="00652D10" w:rsidRDefault="00652D10" w:rsidP="00652D1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9120D98" w14:textId="77777777" w:rsidR="00652D10" w:rsidRPr="00652D10" w:rsidRDefault="00652D10" w:rsidP="00652D10">
      <w:pPr>
        <w:spacing w:after="0" w:line="240" w:lineRule="auto"/>
        <w:jc w:val="both"/>
        <w:rPr>
          <w:rFonts w:ascii="Segoe UI" w:eastAsia="Times New Roman" w:hAnsi="Segoe UI" w:cs="Segoe UI"/>
          <w:kern w:val="0"/>
          <w:sz w:val="21"/>
          <w:szCs w:val="21"/>
          <w:lang w:eastAsia="es-CO"/>
          <w14:ligatures w14:val="none"/>
        </w:rPr>
      </w:pPr>
      <w:r w:rsidRPr="00652D10">
        <w:rPr>
          <w:rFonts w:ascii="Segoe UI" w:eastAsia="Times New Roman" w:hAnsi="Segoe UI" w:cs="Segoe UI"/>
          <w:kern w:val="0"/>
          <w:sz w:val="21"/>
          <w:szCs w:val="21"/>
          <w:lang w:eastAsia="es-CO"/>
          <w14:ligatures w14:val="none"/>
        </w:rPr>
        <w:t>Atentamente,</w:t>
      </w:r>
    </w:p>
    <w:p w14:paraId="3E0DD4A6" w14:textId="77777777" w:rsidR="00652D10" w:rsidRDefault="00652D10" w:rsidP="00652D10">
      <w:pPr>
        <w:spacing w:after="0" w:line="240" w:lineRule="auto"/>
        <w:jc w:val="both"/>
        <w:rPr>
          <w:rFonts w:ascii="Segoe UI" w:eastAsia="Times New Roman" w:hAnsi="Segoe UI" w:cs="Segoe UI"/>
          <w:kern w:val="0"/>
          <w:sz w:val="21"/>
          <w:szCs w:val="21"/>
          <w:lang w:eastAsia="es-CO"/>
          <w14:ligatures w14:val="none"/>
        </w:rPr>
      </w:pPr>
    </w:p>
    <w:p w14:paraId="690D57C5" w14:textId="5E56ABE8" w:rsidR="00652D10" w:rsidRPr="00652D10" w:rsidRDefault="00652D10" w:rsidP="00652D10">
      <w:pPr>
        <w:spacing w:after="0" w:line="240" w:lineRule="auto"/>
        <w:jc w:val="both"/>
        <w:rPr>
          <w:rFonts w:ascii="Segoe UI" w:eastAsia="Times New Roman" w:hAnsi="Segoe UI" w:cs="Segoe UI"/>
          <w:kern w:val="0"/>
          <w:sz w:val="21"/>
          <w:szCs w:val="21"/>
          <w:lang w:eastAsia="es-CO"/>
          <w14:ligatures w14:val="none"/>
        </w:rPr>
      </w:pPr>
      <w:r w:rsidRPr="00652D10">
        <w:rPr>
          <w:rFonts w:ascii="Segoe UI" w:eastAsia="Times New Roman" w:hAnsi="Segoe UI" w:cs="Segoe UI"/>
          <w:b/>
          <w:bCs/>
          <w:kern w:val="0"/>
          <w:sz w:val="21"/>
          <w:szCs w:val="21"/>
          <w:lang w:eastAsia="es-CO"/>
          <w14:ligatures w14:val="none"/>
        </w:rPr>
        <w:t>GUSTAVO ALFREDO PERALTA FIGUEREDO</w:t>
      </w:r>
    </w:p>
    <w:p w14:paraId="3FED226B" w14:textId="77777777" w:rsidR="00652D10" w:rsidRPr="00652D10" w:rsidRDefault="00652D10" w:rsidP="00652D10">
      <w:pPr>
        <w:spacing w:after="0" w:line="240" w:lineRule="auto"/>
        <w:jc w:val="both"/>
        <w:rPr>
          <w:rFonts w:ascii="Segoe UI" w:eastAsia="Times New Roman" w:hAnsi="Segoe UI" w:cs="Segoe UI"/>
          <w:kern w:val="0"/>
          <w:sz w:val="21"/>
          <w:szCs w:val="21"/>
          <w:lang w:eastAsia="es-CO"/>
          <w14:ligatures w14:val="none"/>
        </w:rPr>
      </w:pPr>
      <w:r w:rsidRPr="00652D10">
        <w:rPr>
          <w:rFonts w:ascii="Segoe UI" w:eastAsia="Times New Roman" w:hAnsi="Segoe UI" w:cs="Segoe UI"/>
          <w:kern w:val="0"/>
          <w:sz w:val="21"/>
          <w:szCs w:val="21"/>
          <w:lang w:eastAsia="es-CO"/>
          <w14:ligatures w14:val="none"/>
        </w:rPr>
        <w:t>Director de Gestión Jurídica</w:t>
      </w:r>
    </w:p>
    <w:p w14:paraId="14A02B28" w14:textId="074E3466" w:rsidR="00652D10" w:rsidRPr="00652D10" w:rsidRDefault="00652D10" w:rsidP="00652D10">
      <w:pPr>
        <w:spacing w:after="0" w:line="240" w:lineRule="auto"/>
        <w:jc w:val="both"/>
        <w:rPr>
          <w:rFonts w:ascii="Segoe UI" w:eastAsia="Times New Roman" w:hAnsi="Segoe UI" w:cs="Segoe UI"/>
          <w:kern w:val="0"/>
          <w:sz w:val="21"/>
          <w:szCs w:val="21"/>
          <w:lang w:eastAsia="es-CO"/>
          <w14:ligatures w14:val="none"/>
        </w:rPr>
      </w:pPr>
      <w:r w:rsidRPr="00652D10">
        <w:rPr>
          <w:rFonts w:ascii="Segoe UI" w:eastAsia="Times New Roman" w:hAnsi="Segoe UI" w:cs="Segoe UI"/>
          <w:kern w:val="0"/>
          <w:sz w:val="21"/>
          <w:szCs w:val="21"/>
          <w:lang w:eastAsia="es-CO"/>
          <w14:ligatures w14:val="none"/>
        </w:rPr>
        <w:t>UAE-Dirección de Impuestos y Aduanas Nacionales</w:t>
      </w:r>
    </w:p>
    <w:p w14:paraId="25D817BC" w14:textId="77777777" w:rsidR="00652D10" w:rsidRDefault="00652D10"/>
    <w:tbl>
      <w:tblPr>
        <w:tblW w:w="0" w:type="auto"/>
        <w:tblCellSpacing w:w="0" w:type="dxa"/>
        <w:tblCellMar>
          <w:left w:w="0" w:type="dxa"/>
          <w:right w:w="0" w:type="dxa"/>
        </w:tblCellMar>
        <w:tblLook w:val="04A0" w:firstRow="1" w:lastRow="0" w:firstColumn="1" w:lastColumn="0" w:noHBand="0" w:noVBand="1"/>
      </w:tblPr>
      <w:tblGrid>
        <w:gridCol w:w="9356"/>
      </w:tblGrid>
      <w:tr w:rsidR="00652D10" w:rsidRPr="00652D10" w14:paraId="0C70C38E" w14:textId="77777777" w:rsidTr="00652D10">
        <w:trPr>
          <w:tblCellSpacing w:w="0" w:type="dxa"/>
        </w:trPr>
        <w:tc>
          <w:tcPr>
            <w:tcW w:w="9356" w:type="dxa"/>
            <w:hideMark/>
          </w:tcPr>
          <w:p w14:paraId="0FB270C4" w14:textId="77777777" w:rsidR="00652D10" w:rsidRDefault="00652D10"/>
          <w:tbl>
            <w:tblPr>
              <w:tblW w:w="14355" w:type="dxa"/>
              <w:tblCellSpacing w:w="0" w:type="dxa"/>
              <w:tblCellMar>
                <w:left w:w="0" w:type="dxa"/>
                <w:right w:w="0" w:type="dxa"/>
              </w:tblCellMar>
              <w:tblLook w:val="04A0" w:firstRow="1" w:lastRow="0" w:firstColumn="1" w:lastColumn="0" w:noHBand="0" w:noVBand="1"/>
            </w:tblPr>
            <w:tblGrid>
              <w:gridCol w:w="14355"/>
            </w:tblGrid>
            <w:tr w:rsidR="00652D10" w:rsidRPr="00652D10" w14:paraId="25A40726" w14:textId="77777777">
              <w:trPr>
                <w:tblCellSpacing w:w="0" w:type="dxa"/>
              </w:trPr>
              <w:tc>
                <w:tcPr>
                  <w:tcW w:w="0" w:type="auto"/>
                  <w:shd w:val="clear" w:color="auto" w:fill="FFFFFF"/>
                  <w:tcMar>
                    <w:top w:w="30" w:type="dxa"/>
                    <w:left w:w="30" w:type="dxa"/>
                    <w:bottom w:w="30" w:type="dxa"/>
                    <w:right w:w="30" w:type="dxa"/>
                  </w:tcMar>
                  <w:vAlign w:val="center"/>
                  <w:hideMark/>
                </w:tcPr>
                <w:p w14:paraId="03B08326" w14:textId="3DB52305" w:rsidR="00652D10" w:rsidRPr="00652D10" w:rsidRDefault="00652D10" w:rsidP="00652D10">
                  <w:pPr>
                    <w:spacing w:after="0" w:line="240" w:lineRule="auto"/>
                    <w:jc w:val="both"/>
                    <w:rPr>
                      <w:rFonts w:ascii="Segoe UI" w:eastAsia="Times New Roman" w:hAnsi="Segoe UI" w:cs="Segoe UI"/>
                      <w:kern w:val="0"/>
                      <w:sz w:val="21"/>
                      <w:szCs w:val="21"/>
                      <w:lang w:eastAsia="es-CO"/>
                      <w14:ligatures w14:val="none"/>
                    </w:rPr>
                  </w:pPr>
                </w:p>
              </w:tc>
            </w:tr>
          </w:tbl>
          <w:p w14:paraId="20B2F514" w14:textId="77777777" w:rsidR="00652D10" w:rsidRPr="00652D10" w:rsidRDefault="00652D10" w:rsidP="00652D10">
            <w:pPr>
              <w:spacing w:after="0" w:line="240" w:lineRule="auto"/>
              <w:rPr>
                <w:rFonts w:eastAsia="Times New Roman" w:cs="Times New Roman"/>
                <w:kern w:val="0"/>
                <w:szCs w:val="24"/>
                <w:lang w:eastAsia="es-CO"/>
                <w14:ligatures w14:val="none"/>
              </w:rPr>
            </w:pPr>
          </w:p>
        </w:tc>
      </w:tr>
    </w:tbl>
    <w:p w14:paraId="5D0AD668" w14:textId="77777777" w:rsidR="00652D10" w:rsidRPr="00652D10" w:rsidRDefault="00652D10" w:rsidP="00652D10">
      <w:pPr>
        <w:spacing w:after="0" w:line="240" w:lineRule="auto"/>
        <w:rPr>
          <w:rFonts w:eastAsia="Times New Roman" w:cs="Times New Roman"/>
          <w:vanish/>
          <w:kern w:val="0"/>
          <w:szCs w:val="24"/>
          <w:lang w:eastAsia="es-CO"/>
          <w14:ligatures w14:val="none"/>
        </w:rPr>
      </w:pPr>
    </w:p>
    <w:tbl>
      <w:tblPr>
        <w:tblW w:w="0" w:type="auto"/>
        <w:tblCellSpacing w:w="0" w:type="dxa"/>
        <w:tblCellMar>
          <w:left w:w="0" w:type="dxa"/>
          <w:right w:w="0" w:type="dxa"/>
        </w:tblCellMar>
        <w:tblLook w:val="04A0" w:firstRow="1" w:lastRow="0" w:firstColumn="1" w:lastColumn="0" w:noHBand="0" w:noVBand="1"/>
      </w:tblPr>
      <w:tblGrid>
        <w:gridCol w:w="120"/>
      </w:tblGrid>
      <w:tr w:rsidR="00652D10" w:rsidRPr="00652D10" w14:paraId="3DFA01AC" w14:textId="77777777" w:rsidTr="00652D10">
        <w:trPr>
          <w:trHeight w:val="444"/>
          <w:tblCellSpacing w:w="0" w:type="dxa"/>
        </w:trPr>
        <w:tc>
          <w:tcPr>
            <w:tcW w:w="120" w:type="dxa"/>
            <w:shd w:val="clear" w:color="auto" w:fill="FFFFFF"/>
            <w:hideMark/>
          </w:tcPr>
          <w:p w14:paraId="03D039FD" w14:textId="77777777" w:rsidR="00652D10" w:rsidRPr="00652D10" w:rsidRDefault="00652D10" w:rsidP="00652D10">
            <w:pPr>
              <w:spacing w:after="0" w:line="240" w:lineRule="auto"/>
              <w:rPr>
                <w:rFonts w:ascii="Segoe UI" w:eastAsia="Times New Roman" w:hAnsi="Segoe UI" w:cs="Segoe UI"/>
                <w:color w:val="000000"/>
                <w:kern w:val="0"/>
                <w:sz w:val="27"/>
                <w:szCs w:val="27"/>
                <w:lang w:eastAsia="es-CO"/>
                <w14:ligatures w14:val="none"/>
              </w:rPr>
            </w:pPr>
            <w:r w:rsidRPr="00652D10">
              <w:rPr>
                <w:rFonts w:ascii="Segoe UI" w:eastAsia="Times New Roman" w:hAnsi="Segoe UI" w:cs="Segoe UI"/>
                <w:noProof/>
                <w:color w:val="000000"/>
                <w:kern w:val="0"/>
                <w:sz w:val="27"/>
                <w:szCs w:val="27"/>
                <w:lang w:eastAsia="es-CO"/>
                <w14:ligatures w14:val="none"/>
              </w:rPr>
              <w:drawing>
                <wp:inline distT="0" distB="0" distL="0" distR="0" wp14:anchorId="3B1F092A" wp14:editId="30AF5664">
                  <wp:extent cx="76200" cy="7620"/>
                  <wp:effectExtent l="0" t="0" r="0" b="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 cy="7620"/>
                          </a:xfrm>
                          <a:prstGeom prst="rect">
                            <a:avLst/>
                          </a:prstGeom>
                          <a:noFill/>
                          <a:ln>
                            <a:noFill/>
                          </a:ln>
                        </pic:spPr>
                      </pic:pic>
                    </a:graphicData>
                  </a:graphic>
                </wp:inline>
              </w:drawing>
            </w:r>
          </w:p>
          <w:p w14:paraId="664D4918" w14:textId="77777777" w:rsidR="00652D10" w:rsidRPr="00652D10" w:rsidRDefault="00652D10" w:rsidP="00652D10">
            <w:pPr>
              <w:spacing w:after="0" w:line="240" w:lineRule="auto"/>
              <w:rPr>
                <w:rFonts w:eastAsia="Times New Roman" w:cs="Times New Roman"/>
                <w:kern w:val="0"/>
                <w:szCs w:val="24"/>
                <w:lang w:eastAsia="es-CO"/>
                <w14:ligatures w14:val="none"/>
              </w:rPr>
            </w:pPr>
            <w:r w:rsidRPr="00652D10">
              <w:rPr>
                <w:rFonts w:eastAsia="Times New Roman" w:cs="Times New Roman"/>
                <w:kern w:val="0"/>
                <w:szCs w:val="24"/>
                <w:lang w:eastAsia="es-CO"/>
                <w14:ligatures w14:val="none"/>
              </w:rPr>
              <w:br/>
            </w:r>
          </w:p>
        </w:tc>
      </w:tr>
    </w:tbl>
    <w:p w14:paraId="339E150E"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D10"/>
    <w:rsid w:val="000F3837"/>
    <w:rsid w:val="001E311E"/>
    <w:rsid w:val="00434AE6"/>
    <w:rsid w:val="005D25EE"/>
    <w:rsid w:val="00652D10"/>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92570"/>
  <w15:chartTrackingRefBased/>
  <w15:docId w15:val="{5D9133C6-47A2-4C1B-9148-33C7F06FA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52D10"/>
    <w:pPr>
      <w:spacing w:before="100" w:beforeAutospacing="1" w:after="100" w:afterAutospacing="1" w:line="240" w:lineRule="auto"/>
    </w:pPr>
    <w:rPr>
      <w:rFonts w:eastAsia="Times New Roman" w:cs="Times New Roman"/>
      <w:kern w:val="0"/>
      <w:szCs w:val="24"/>
      <w:lang w:eastAsia="es-CO"/>
      <w14:ligatures w14:val="none"/>
    </w:rPr>
  </w:style>
  <w:style w:type="character" w:styleId="Hipervnculo">
    <w:name w:val="Hyperlink"/>
    <w:basedOn w:val="Fuentedeprrafopredeter"/>
    <w:uiPriority w:val="99"/>
    <w:semiHidden/>
    <w:unhideWhenUsed/>
    <w:rsid w:val="00652D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507199">
      <w:bodyDiv w:val="1"/>
      <w:marLeft w:val="0"/>
      <w:marRight w:val="0"/>
      <w:marTop w:val="0"/>
      <w:marBottom w:val="0"/>
      <w:divBdr>
        <w:top w:val="none" w:sz="0" w:space="0" w:color="auto"/>
        <w:left w:val="none" w:sz="0" w:space="0" w:color="auto"/>
        <w:bottom w:val="none" w:sz="0" w:space="0" w:color="auto"/>
        <w:right w:val="none" w:sz="0" w:space="0" w:color="auto"/>
      </w:divBdr>
    </w:div>
    <w:div w:id="698286576">
      <w:bodyDiv w:val="1"/>
      <w:marLeft w:val="0"/>
      <w:marRight w:val="0"/>
      <w:marTop w:val="0"/>
      <w:marBottom w:val="0"/>
      <w:divBdr>
        <w:top w:val="none" w:sz="0" w:space="0" w:color="auto"/>
        <w:left w:val="none" w:sz="0" w:space="0" w:color="auto"/>
        <w:bottom w:val="none" w:sz="0" w:space="0" w:color="auto"/>
        <w:right w:val="none" w:sz="0" w:space="0" w:color="auto"/>
      </w:divBdr>
    </w:div>
    <w:div w:id="1045641787">
      <w:bodyDiv w:val="1"/>
      <w:marLeft w:val="0"/>
      <w:marRight w:val="0"/>
      <w:marTop w:val="0"/>
      <w:marBottom w:val="0"/>
      <w:divBdr>
        <w:top w:val="none" w:sz="0" w:space="0" w:color="auto"/>
        <w:left w:val="none" w:sz="0" w:space="0" w:color="auto"/>
        <w:bottom w:val="none" w:sz="0" w:space="0" w:color="auto"/>
        <w:right w:val="none" w:sz="0" w:space="0" w:color="auto"/>
      </w:divBdr>
    </w:div>
    <w:div w:id="1365329447">
      <w:bodyDiv w:val="1"/>
      <w:marLeft w:val="0"/>
      <w:marRight w:val="0"/>
      <w:marTop w:val="0"/>
      <w:marBottom w:val="0"/>
      <w:divBdr>
        <w:top w:val="none" w:sz="0" w:space="0" w:color="auto"/>
        <w:left w:val="none" w:sz="0" w:space="0" w:color="auto"/>
        <w:bottom w:val="none" w:sz="0" w:space="0" w:color="auto"/>
        <w:right w:val="none" w:sz="0" w:space="0" w:color="auto"/>
      </w:divBdr>
    </w:div>
    <w:div w:id="193497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647" TargetMode="External"/><Relationship Id="rId13" Type="http://schemas.openxmlformats.org/officeDocument/2006/relationships/hyperlink" Target="https://www.ceta.org.co/html/vista_de_un_articulo.asp?Norma=148"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eta.org.co/html/vista_de_un_articulo.asp?Norma=647" TargetMode="External"/><Relationship Id="rId12" Type="http://schemas.openxmlformats.org/officeDocument/2006/relationships/hyperlink" Target="https://www.ceta.org.co/html/vista_de_un_articulo.asp?Norma=647" TargetMode="External"/><Relationship Id="rId17" Type="http://schemas.openxmlformats.org/officeDocument/2006/relationships/image" Target="media/image1.gif"/><Relationship Id="rId2" Type="http://schemas.openxmlformats.org/officeDocument/2006/relationships/settings" Target="settings.xml"/><Relationship Id="rId16" Type="http://schemas.openxmlformats.org/officeDocument/2006/relationships/hyperlink" Target="http://www.dian.gov.co/" TargetMode="External"/><Relationship Id="rId1" Type="http://schemas.openxmlformats.org/officeDocument/2006/relationships/styles" Target="styles.xml"/><Relationship Id="rId6" Type="http://schemas.openxmlformats.org/officeDocument/2006/relationships/hyperlink" Target="https://www.ceta.org.co/html/vista_de_un_articulo.asp?Norma=148" TargetMode="External"/><Relationship Id="rId11" Type="http://schemas.openxmlformats.org/officeDocument/2006/relationships/hyperlink" Target="https://www.ceta.org.co/html/vista_de_un_articulo.asp?Norma=647" TargetMode="External"/><Relationship Id="rId5" Type="http://schemas.openxmlformats.org/officeDocument/2006/relationships/hyperlink" Target="https://www.ceta.org.co/html/vista_de_un_articulo.asp?Norma=647" TargetMode="External"/><Relationship Id="rId15" Type="http://schemas.openxmlformats.org/officeDocument/2006/relationships/hyperlink" Target="https://www.ceta.org.co/html/vista_de_un_articulo.asp?Norma=57" TargetMode="External"/><Relationship Id="rId10" Type="http://schemas.openxmlformats.org/officeDocument/2006/relationships/hyperlink" Target="https://www.ceta.org.co/html/vista_de_un_articulo.asp?Norma=54" TargetMode="External"/><Relationship Id="rId19" Type="http://schemas.openxmlformats.org/officeDocument/2006/relationships/theme" Target="theme/theme1.xml"/><Relationship Id="rId4" Type="http://schemas.openxmlformats.org/officeDocument/2006/relationships/hyperlink" Target="https://www.ceta.org.co/html/vista_de_un_articulo.asp?Norma=148" TargetMode="External"/><Relationship Id="rId9" Type="http://schemas.openxmlformats.org/officeDocument/2006/relationships/hyperlink" Target="https://www.ceta.org.co/html/vista_de_un_articulo.asp?Norma=647" TargetMode="External"/><Relationship Id="rId14" Type="http://schemas.openxmlformats.org/officeDocument/2006/relationships/hyperlink" Target="https://www.ceta.org.co/html/vista_de_un_articulo.asp?Norma=14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2098</Words>
  <Characters>11540</Characters>
  <Application>Microsoft Office Word</Application>
  <DocSecurity>0</DocSecurity>
  <Lines>96</Lines>
  <Paragraphs>27</Paragraphs>
  <ScaleCrop>false</ScaleCrop>
  <Company/>
  <LinksUpToDate>false</LinksUpToDate>
  <CharactersWithSpaces>13611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2023-08-10T17:19:00Z</dcterms:created>
  <dcterms:modified xsi:type="dcterms:W3CDTF">2023-08-10T17:22:00Z</dcterms:modified>
</cp:coreProperties>
</file>