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9FD" w14:textId="77777777" w:rsidR="002F3F02" w:rsidRDefault="002F3F02"/>
    <w:p w14:paraId="0880268F" w14:textId="77777777" w:rsidR="000B119E" w:rsidRDefault="000B119E"/>
    <w:p w14:paraId="2A9EF410" w14:textId="77777777" w:rsidR="000B119E" w:rsidRDefault="000B119E"/>
    <w:p w14:paraId="0F041A77" w14:textId="77777777" w:rsidR="000B119E" w:rsidRDefault="000B119E"/>
    <w:p w14:paraId="47A0FCB1" w14:textId="77777777" w:rsidR="000B119E" w:rsidRDefault="000B119E"/>
    <w:p w14:paraId="48E83F68" w14:textId="77777777" w:rsid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64C958AC" w14:textId="77777777" w:rsid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43960F15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0DB033C0" w14:textId="77777777" w:rsidR="000B119E" w:rsidRPr="000B119E" w:rsidRDefault="000B119E" w:rsidP="000B119E">
      <w:pPr>
        <w:spacing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 xml:space="preserve">CONCEPTO </w:t>
      </w:r>
      <w:proofErr w:type="spellStart"/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Nº</w:t>
      </w:r>
      <w:proofErr w:type="spellEnd"/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 xml:space="preserve"> 1116 [006214]</w:t>
      </w:r>
    </w:p>
    <w:p w14:paraId="3BBDF224" w14:textId="77777777" w:rsidR="000B119E" w:rsidRPr="000B119E" w:rsidRDefault="000B119E" w:rsidP="000B119E">
      <w:pPr>
        <w:spacing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25-10-2023</w:t>
      </w:r>
    </w:p>
    <w:p w14:paraId="00FF1B0F" w14:textId="77777777" w:rsidR="000B119E" w:rsidRPr="000B119E" w:rsidRDefault="000B119E" w:rsidP="000B119E">
      <w:pPr>
        <w:spacing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DIAN</w:t>
      </w:r>
    </w:p>
    <w:p w14:paraId="55BDC8F8" w14:textId="2ED69539" w:rsidR="000B119E" w:rsidRPr="000B119E" w:rsidRDefault="000B119E" w:rsidP="000B119E">
      <w:pPr>
        <w:spacing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6CD3A69D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EABB625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100208192-1116</w:t>
      </w:r>
    </w:p>
    <w:p w14:paraId="6C776C80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Bogotá, D.C.</w:t>
      </w:r>
    </w:p>
    <w:p w14:paraId="3C8A5A25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5147"/>
      </w:tblGrid>
      <w:tr w:rsidR="000B119E" w:rsidRPr="000B119E" w14:paraId="0E458817" w14:textId="77777777" w:rsidTr="000B119E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109CC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419"/>
                <w14:ligatures w14:val="none"/>
              </w:rPr>
              <w:t>Tema: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18E1A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Procedimiento tributario</w:t>
            </w:r>
          </w:p>
        </w:tc>
      </w:tr>
      <w:tr w:rsidR="000B119E" w:rsidRPr="000B119E" w14:paraId="44418F86" w14:textId="77777777" w:rsidTr="000B119E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28B96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419"/>
                <w14:ligatures w14:val="none"/>
              </w:rPr>
              <w:t>Descriptores: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1B9EE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Información exógena</w:t>
            </w:r>
          </w:p>
          <w:p w14:paraId="29B6C165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Información exógena – obligados</w:t>
            </w:r>
          </w:p>
          <w:p w14:paraId="632602AD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Obligación de informar</w:t>
            </w:r>
          </w:p>
        </w:tc>
      </w:tr>
      <w:tr w:rsidR="000B119E" w:rsidRPr="000B119E" w14:paraId="4F39176B" w14:textId="77777777" w:rsidTr="000B119E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BD801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419"/>
                <w14:ligatures w14:val="none"/>
              </w:rPr>
              <w:t>Fuentes formales: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A6D6B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hyperlink r:id="rId5" w:tooltip="Estatuto Tributario CETA" w:history="1">
              <w:r w:rsidRPr="000B119E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419"/>
                  <w14:ligatures w14:val="none"/>
                </w:rPr>
                <w:t>Artículo 683</w:t>
              </w:r>
            </w:hyperlink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del Estatuto Tributario</w:t>
            </w:r>
          </w:p>
          <w:p w14:paraId="36144730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Artículo 1.2.4.16. del Decreto 1625 de 2016</w:t>
            </w:r>
          </w:p>
          <w:p w14:paraId="42FBC172" w14:textId="77777777" w:rsidR="000B119E" w:rsidRPr="000B119E" w:rsidRDefault="000B119E" w:rsidP="000B119E">
            <w:pPr>
              <w:spacing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0B119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Artículo 1° de la Resolución DIAN 1255 de 2022</w:t>
            </w:r>
          </w:p>
        </w:tc>
      </w:tr>
    </w:tbl>
    <w:p w14:paraId="5C443804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025CA9E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4DAEF16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Cordial saludo,</w:t>
      </w:r>
    </w:p>
    <w:p w14:paraId="5E12D0BE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12DEFA3E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6" w:anchor="cite_note-1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vertAlign w:val="superscript"/>
            <w:lang w:eastAsia="es-419"/>
            <w14:ligatures w14:val="none"/>
          </w:rPr>
          <w:t>1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 En este sentido, la doctrina emitida será de carácter general, no se referirá a asuntos particulares y se someterá a lo consagrado en el artículo 131 de la Ley 2010 de 2019</w:t>
      </w:r>
      <w:hyperlink r:id="rId7" w:anchor="cite_note-2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vertAlign w:val="superscript"/>
            <w:lang w:eastAsia="es-419"/>
            <w14:ligatures w14:val="none"/>
          </w:rPr>
          <w:t>2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</w:t>
      </w:r>
    </w:p>
    <w:p w14:paraId="597C84F9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CED0274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CD75A05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6FB33622" w14:textId="4B83DD8D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PROBLEMA JURÍDICO</w:t>
      </w:r>
    </w:p>
    <w:p w14:paraId="49309FDA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9713E71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¿Están obligadas a suministrar información tributaria a la DIAN las personas naturales bajo la calidad de agentes de retención si por error actuaron como tales?</w:t>
      </w:r>
    </w:p>
    <w:p w14:paraId="3875637F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A76CEF0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TESIS JURÍDICA</w:t>
      </w:r>
    </w:p>
    <w:p w14:paraId="0AED91D3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7000DD0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Las personas naturales, que por error actuaron como agentes de retención, no están obligadas a suministrar información tributaria a la DIAN bajo dicha calidad. Esto, sin perjuicio de que la misma persona natural esté obligada bajo otras circunstancias.</w:t>
      </w:r>
    </w:p>
    <w:p w14:paraId="381ECD50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0B74D5B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lastRenderedPageBreak/>
        <w:t>FUNDAMENTACIÓN</w:t>
      </w:r>
    </w:p>
    <w:p w14:paraId="631F66FC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6BEC3F6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Para desarrollar el problema jurídico planteado se tomará como referencia la Resolución DIAN 1255 de 2022, por la cual se establece el grupo de obligados a suministrar información tributaria a la DIAN por el año gravable 2023 y en cuyo artículo 1° dispone:</w:t>
      </w:r>
    </w:p>
    <w:p w14:paraId="5B3B93C4" w14:textId="5BEF7AAE" w:rsidR="000B119E" w:rsidRPr="000B119E" w:rsidRDefault="000B119E" w:rsidP="000B119E">
      <w:pPr>
        <w:spacing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br/>
      </w:r>
      <w:r>
        <w:rPr>
          <w:rFonts w:ascii="Segoe UI" w:hAnsi="Segoe UI" w:cs="Segoe UI"/>
          <w:color w:val="000000"/>
          <w:sz w:val="21"/>
          <w:szCs w:val="21"/>
        </w:rPr>
        <w:t>Deberán suministrar información, los siguientes obligados: (…)</w:t>
      </w:r>
    </w:p>
    <w:p w14:paraId="17A0A24B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87ED3CB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f) Las personas naturales y sus asimiladas (…) </w:t>
      </w:r>
      <w:r>
        <w:rPr>
          <w:rFonts w:ascii="Segoe UI" w:hAnsi="Segoe UI" w:cs="Segoe UI"/>
          <w:color w:val="000000"/>
          <w:sz w:val="21"/>
          <w:szCs w:val="21"/>
          <w:u w:val="single"/>
        </w:rPr>
        <w:t>obligados a practicar retenciones y autorretenciones</w:t>
      </w:r>
      <w:r>
        <w:rPr>
          <w:rFonts w:ascii="Segoe UI" w:hAnsi="Segoe UI" w:cs="Segoe UI"/>
          <w:color w:val="000000"/>
          <w:sz w:val="21"/>
          <w:szCs w:val="21"/>
        </w:rPr>
        <w:t> en la fuente a título del impuesto sobre la renta, impuesto sobre las ventas (IVA) y Timbre, durante el año gravable 2023.</w:t>
      </w:r>
    </w:p>
    <w:p w14:paraId="048FBD3C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95B59E7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(…) (Subrayado fuera de texto)</w:t>
      </w:r>
    </w:p>
    <w:p w14:paraId="6094A1BF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10E0A62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 desprende de lo anterior que aquellos </w:t>
      </w:r>
      <w:r>
        <w:rPr>
          <w:rFonts w:ascii="Segoe UI" w:hAnsi="Segoe UI" w:cs="Segoe UI"/>
          <w:color w:val="000000"/>
          <w:sz w:val="21"/>
          <w:szCs w:val="21"/>
          <w:u w:val="single"/>
        </w:rPr>
        <w:t>obligados</w:t>
      </w:r>
      <w:r>
        <w:rPr>
          <w:rFonts w:ascii="Segoe UI" w:hAnsi="Segoe UI" w:cs="Segoe UI"/>
          <w:color w:val="000000"/>
          <w:sz w:val="21"/>
          <w:szCs w:val="21"/>
        </w:rPr>
        <w:t> a practicar retenciones y autorretenciones en la fuente a título de ciertos impuestos están igualmente obligados a suministrar información tributaria. Por ende, la circunstancia que origina el deber tributario -objeto de análisis- gira en torno a la calidad del sujeto y no de su actividad</w:t>
      </w:r>
      <w:hyperlink r:id="rId8" w:anchor="cite_note-3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  <w:vertAlign w:val="superscript"/>
          </w:rPr>
          <w:t>3</w:t>
        </w:r>
      </w:hyperlink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7D9EE6B4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0EAB44F0" w14:textId="6E24BBAE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Así las cosas, si la persona natural actuó como agente de retención, no estando obligada a ello</w:t>
      </w:r>
      <w:hyperlink r:id="rId9" w:anchor="cite_note-4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  <w:vertAlign w:val="superscript"/>
          </w:rPr>
          <w:t>4</w:t>
        </w:r>
      </w:hyperlink>
      <w:r>
        <w:rPr>
          <w:rFonts w:ascii="Segoe UI" w:hAnsi="Segoe UI" w:cs="Segoe UI"/>
          <w:color w:val="000000"/>
          <w:sz w:val="21"/>
          <w:szCs w:val="21"/>
        </w:rPr>
        <w:t>, es de colegir que tampoco debería estar obligada a suministrar información tributaria </w:t>
      </w:r>
      <w:r>
        <w:rPr>
          <w:rFonts w:ascii="Segoe UI" w:hAnsi="Segoe UI" w:cs="Segoe UI"/>
          <w:color w:val="000000"/>
          <w:sz w:val="21"/>
          <w:szCs w:val="21"/>
          <w:u w:val="single"/>
        </w:rPr>
        <w:t>bajo la calidad de agente de retención</w:t>
      </w:r>
      <w:r>
        <w:rPr>
          <w:rFonts w:ascii="Segoe UI" w:hAnsi="Segoe UI" w:cs="Segoe UI"/>
          <w:color w:val="000000"/>
          <w:sz w:val="21"/>
          <w:szCs w:val="21"/>
        </w:rPr>
        <w:t>, en los términos de la respectiva Resolución (salvo ésta disponga lo contrario), considerando -entre otras cosas- que:</w:t>
      </w:r>
    </w:p>
    <w:p w14:paraId="5B8056F2" w14:textId="77777777" w:rsidR="000B119E" w:rsidRDefault="000B119E" w:rsidP="000B119E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5945EC0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i) La aplicación recta de las leyes debe estar presidida por un relevante espíritu de justicia, como lo instaura el </w:t>
      </w:r>
      <w:hyperlink r:id="rId10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683</w:t>
        </w:r>
      </w:hyperlink>
      <w:r>
        <w:rPr>
          <w:rFonts w:ascii="Segoe UI" w:hAnsi="Segoe UI" w:cs="Segoe UI"/>
          <w:color w:val="000000"/>
          <w:sz w:val="21"/>
          <w:szCs w:val="21"/>
        </w:rPr>
        <w:t> del Estatuto Tributario. Al respecto, aunque la persona natural haya practicado retenciones en la fuente, en estricto sentido no tenía dicha obligación.</w:t>
      </w:r>
    </w:p>
    <w:p w14:paraId="0803C79E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40DA00A" w14:textId="77777777" w:rsidR="000B119E" w:rsidRDefault="000B119E" w:rsidP="000B119E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</w:rPr>
        <w:t>ii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) Las retenciones indebidamente practicadas pueden ser objeto de reintegro, tal y como lo regula el artículo 1.2.4.16. del Decreto 1625 de 2016. Carecería entonces de sentido exigir el reporte de una información que no obedece a lo previsto por la Ley, a sabiendas de que el afectado con la retención puede exigir su reintegro.</w:t>
      </w:r>
    </w:p>
    <w:p w14:paraId="67814D18" w14:textId="77777777" w:rsidR="000B119E" w:rsidRDefault="000B119E" w:rsidP="000B119E">
      <w:pPr>
        <w:spacing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4683465" w14:textId="66778B8D" w:rsid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 todo caso, la persona natural que por error actuó como agente de retención deberá evaluar si está obligada a suministrar información tributaria bajo las demás circunstancias que disponga para ello la Administración Tributaria a través de la respectiva Resolución.</w:t>
      </w:r>
    </w:p>
    <w:p w14:paraId="68E635BC" w14:textId="77777777" w:rsid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25541239" w14:textId="4CAECC73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11" w:tgtFrame="_blank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https://normograma.dian.gov.co/dian/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</w:t>
      </w:r>
    </w:p>
    <w:p w14:paraId="254BEBDA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6CA3C72F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Atentamente,</w:t>
      </w:r>
    </w:p>
    <w:p w14:paraId="621D50BB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19AEFD1D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6930F994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ALFREDO RAMÍREZ CASTAÑEDA</w:t>
      </w:r>
    </w:p>
    <w:p w14:paraId="16E39DE0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Subdirector de Normativa y Doctrina</w:t>
      </w:r>
    </w:p>
    <w:p w14:paraId="352C5E90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Dirección de Gestión Jurídica</w:t>
      </w:r>
    </w:p>
    <w:p w14:paraId="02347908" w14:textId="77777777" w:rsidR="000B119E" w:rsidRPr="000B119E" w:rsidRDefault="000B119E" w:rsidP="000B119E">
      <w:pPr>
        <w:spacing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proofErr w:type="spellStart"/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U.A.E</w:t>
      </w:r>
      <w:proofErr w:type="spellEnd"/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 Dirección de Impuestos y Aduanas Nacionales – DIAN</w:t>
      </w:r>
    </w:p>
    <w:p w14:paraId="3213DCA8" w14:textId="77777777" w:rsidR="000B119E" w:rsidRPr="000B119E" w:rsidRDefault="000B119E" w:rsidP="000B119E">
      <w:pPr>
        <w:spacing w:after="285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</w:pPr>
      <w:r w:rsidRPr="000B119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Notas al pie</w:t>
      </w:r>
    </w:p>
    <w:p w14:paraId="0925E0A9" w14:textId="18FDC27A" w:rsidR="000B119E" w:rsidRDefault="000B119E">
      <w:r>
        <w:t>______________________________________________________________________________</w:t>
      </w:r>
    </w:p>
    <w:p w14:paraId="31E77E55" w14:textId="77777777" w:rsidR="000B119E" w:rsidRPr="000B119E" w:rsidRDefault="000B119E" w:rsidP="000B1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12" w:anchor="cite_ref-1" w:tooltip="Volver arriba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De conformidad con el numeral 4 del artículo 56 del Decreto 1742 de 2020 y el artículo 7 de la Resolución DIAN 91 de 2021.</w:t>
      </w:r>
    </w:p>
    <w:p w14:paraId="18E65A06" w14:textId="77777777" w:rsidR="000B119E" w:rsidRPr="000B119E" w:rsidRDefault="000B119E" w:rsidP="000B1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13" w:anchor="cite_ref-2" w:tooltip="Volver arriba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De conformidad con el numeral 1 del artículo 56 del Decreto 1742 de 2020 y el artículo 7-1 de la Resolución DIAN 91 de 2021.</w:t>
      </w:r>
    </w:p>
    <w:p w14:paraId="5818552C" w14:textId="77777777" w:rsidR="000B119E" w:rsidRPr="000B119E" w:rsidRDefault="000B119E" w:rsidP="000B1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14" w:anchor="cite_ref-3" w:tooltip="Volver arriba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En el Oficio 903011 - interno 827 de julio 8 de 2020 se indicó que los agentes de retención están obligados a suministrar información exógena, inclusive cuando no hayan practicado retenciones en la fuente.</w:t>
      </w:r>
    </w:p>
    <w:p w14:paraId="38884D48" w14:textId="77777777" w:rsidR="000B119E" w:rsidRPr="000B119E" w:rsidRDefault="000B119E" w:rsidP="000B1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15" w:anchor="cite_ref-4" w:tooltip="Volver arriba" w:history="1">
        <w:r w:rsidRPr="000B119E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 xml:space="preserve"> A modo de ejemplo, el artículo 368-2 del Estatuto Tributario señala que “Las personas naturales que tengan la calidad de comerciantes y que en el año inmediatamente anterior tuvieren un patrimonio bruto o unos ingresos brutos superiores a 30.000 </w:t>
      </w:r>
      <w:proofErr w:type="spellStart"/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UVT</w:t>
      </w:r>
      <w:proofErr w:type="spellEnd"/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 xml:space="preserve"> también </w:t>
      </w: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deberán practicar retención en la fuente</w:t>
      </w:r>
      <w:r w:rsidRPr="000B119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sobre los pagos o abonos en cuenta que efectúen por los conceptos a los cuales se refieren los artículos 392, 395 y 401, a las tarifas y según las disposiciones vigentes sobre cada uno de ellos” (subrayado fuera de texto).</w:t>
      </w:r>
    </w:p>
    <w:p w14:paraId="61E84BB7" w14:textId="77777777" w:rsidR="000B119E" w:rsidRDefault="000B119E"/>
    <w:sectPr w:rsidR="000B119E" w:rsidSect="00DE361E"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3252867"/>
    <w:multiLevelType w:val="multilevel"/>
    <w:tmpl w:val="4394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684355">
    <w:abstractNumId w:val="0"/>
  </w:num>
  <w:num w:numId="2" w16cid:durableId="19634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9E"/>
    <w:rsid w:val="000B119E"/>
    <w:rsid w:val="002F3F02"/>
    <w:rsid w:val="004A489D"/>
    <w:rsid w:val="004F1D2E"/>
    <w:rsid w:val="005173B2"/>
    <w:rsid w:val="005B14BF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  <w:rsid w:val="00D65024"/>
    <w:rsid w:val="00D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858D"/>
  <w15:chartTrackingRefBased/>
  <w15:docId w15:val="{0C44D85E-C47E-4066-B9D8-7969A4A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11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s-419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B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documento.asp?DocumentoID=50470" TargetMode="External"/><Relationship Id="rId13" Type="http://schemas.openxmlformats.org/officeDocument/2006/relationships/hyperlink" Target="https://www.ceta.org.co/html/vista_de_un_documento.asp?DocumentoID=50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documento.asp?DocumentoID=50470" TargetMode="External"/><Relationship Id="rId12" Type="http://schemas.openxmlformats.org/officeDocument/2006/relationships/hyperlink" Target="https://www.ceta.org.co/html/vista_de_un_documento.asp?DocumentoID=504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documento.asp?DocumentoID=50470" TargetMode="External"/><Relationship Id="rId11" Type="http://schemas.openxmlformats.org/officeDocument/2006/relationships/hyperlink" Target="https://normograma.dian.gov.co/dian/" TargetMode="External"/><Relationship Id="rId5" Type="http://schemas.openxmlformats.org/officeDocument/2006/relationships/hyperlink" Target="https://www.ceta.org.co/html/vista_de_un_articulo.asp?Norma=850" TargetMode="External"/><Relationship Id="rId15" Type="http://schemas.openxmlformats.org/officeDocument/2006/relationships/hyperlink" Target="https://www.ceta.org.co/html/vista_de_un_documento.asp?DocumentoID=50470" TargetMode="External"/><Relationship Id="rId10" Type="http://schemas.openxmlformats.org/officeDocument/2006/relationships/hyperlink" Target="https://www.ceta.org.co/html/vista_de_un_articulo.asp?Norma=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documento.asp?DocumentoID=50470" TargetMode="External"/><Relationship Id="rId14" Type="http://schemas.openxmlformats.org/officeDocument/2006/relationships/hyperlink" Target="https://www.ceta.org.co/html/vista_de_un_documento.asp?DocumentoID=5047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945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Lopez</dc:creator>
  <cp:keywords/>
  <dc:description/>
  <cp:lastModifiedBy>Diana Alexandra Orozco Lopez</cp:lastModifiedBy>
  <cp:revision>1</cp:revision>
  <dcterms:created xsi:type="dcterms:W3CDTF">2023-11-28T19:47:00Z</dcterms:created>
  <dcterms:modified xsi:type="dcterms:W3CDTF">2023-11-28T19:56:00Z</dcterms:modified>
</cp:coreProperties>
</file>