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3B569" w14:textId="77777777" w:rsidR="002F3F02" w:rsidRDefault="002F3F02" w:rsidP="00AE0545"/>
    <w:p w14:paraId="051BFDE7" w14:textId="77777777" w:rsidR="00AE0545" w:rsidRDefault="00AE0545" w:rsidP="00AE0545">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 xml:space="preserve">CONCEPTO </w:t>
      </w:r>
      <w:proofErr w:type="spellStart"/>
      <w:r>
        <w:rPr>
          <w:rFonts w:ascii="Segoe UI" w:hAnsi="Segoe UI" w:cs="Segoe UI"/>
          <w:b/>
          <w:bCs/>
          <w:color w:val="000000"/>
          <w:sz w:val="21"/>
          <w:szCs w:val="21"/>
        </w:rPr>
        <w:t>Nº</w:t>
      </w:r>
      <w:proofErr w:type="spellEnd"/>
      <w:r>
        <w:rPr>
          <w:rFonts w:ascii="Segoe UI" w:hAnsi="Segoe UI" w:cs="Segoe UI"/>
          <w:b/>
          <w:bCs/>
          <w:color w:val="000000"/>
          <w:sz w:val="21"/>
          <w:szCs w:val="21"/>
        </w:rPr>
        <w:t xml:space="preserve"> 1046 [016796]</w:t>
      </w:r>
    </w:p>
    <w:p w14:paraId="1DE84C27" w14:textId="77777777" w:rsidR="00AE0545" w:rsidRDefault="00AE0545" w:rsidP="00AE0545">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02-10-2023</w:t>
      </w:r>
    </w:p>
    <w:p w14:paraId="73BE47B6" w14:textId="77777777" w:rsidR="00AE0545" w:rsidRDefault="00AE0545" w:rsidP="00AE0545">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DIAN</w:t>
      </w:r>
    </w:p>
    <w:p w14:paraId="65D1FF43" w14:textId="77777777" w:rsidR="00AE0545" w:rsidRDefault="00AE0545" w:rsidP="00AE054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43A87C7" w14:textId="77777777" w:rsidR="00AE0545" w:rsidRDefault="00AE0545" w:rsidP="00AE054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477C05A" w14:textId="77777777" w:rsidR="00AE0545" w:rsidRDefault="00AE0545" w:rsidP="00AE054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100208192-1046</w:t>
      </w:r>
    </w:p>
    <w:p w14:paraId="511AF51E" w14:textId="77777777" w:rsidR="00AE0545" w:rsidRDefault="00AE0545" w:rsidP="00AE054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Bogotá, D.C.</w:t>
      </w:r>
    </w:p>
    <w:p w14:paraId="123A5120" w14:textId="77777777" w:rsidR="00AE0545" w:rsidRDefault="00AE0545" w:rsidP="00AE054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246E834" w14:textId="77777777" w:rsidR="00AE0545" w:rsidRDefault="00AE0545" w:rsidP="00AE0545">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Tema:</w:t>
      </w:r>
      <w:r>
        <w:rPr>
          <w:rFonts w:ascii="Segoe UI" w:hAnsi="Segoe UI" w:cs="Segoe UI"/>
          <w:color w:val="000000"/>
          <w:sz w:val="21"/>
          <w:szCs w:val="21"/>
        </w:rPr>
        <w:t> Procedimiento tributario</w:t>
      </w:r>
    </w:p>
    <w:p w14:paraId="5546F9D7" w14:textId="77777777" w:rsidR="00AE0545" w:rsidRDefault="00AE0545" w:rsidP="00AE0545">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Descriptores:</w:t>
      </w:r>
      <w:r>
        <w:rPr>
          <w:rFonts w:ascii="Segoe UI" w:hAnsi="Segoe UI" w:cs="Segoe UI"/>
          <w:color w:val="000000"/>
          <w:sz w:val="21"/>
          <w:szCs w:val="21"/>
        </w:rPr>
        <w:t> Sanciones</w:t>
      </w:r>
    </w:p>
    <w:p w14:paraId="1EEB9CFA" w14:textId="77777777" w:rsidR="00AE0545" w:rsidRDefault="00AE0545" w:rsidP="00AE0545">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Fuentes formales:</w:t>
      </w:r>
      <w:r>
        <w:rPr>
          <w:rFonts w:ascii="Segoe UI" w:hAnsi="Segoe UI" w:cs="Segoe UI"/>
          <w:color w:val="000000"/>
          <w:sz w:val="21"/>
          <w:szCs w:val="21"/>
        </w:rPr>
        <w:t> </w:t>
      </w:r>
      <w:hyperlink r:id="rId5" w:tooltip="Estatuto Tributario CETA" w:history="1">
        <w:r>
          <w:rPr>
            <w:rStyle w:val="Hipervnculo"/>
            <w:rFonts w:ascii="Segoe UI" w:eastAsiaTheme="majorEastAsia" w:hAnsi="Segoe UI" w:cs="Segoe UI"/>
            <w:color w:val="0645AD"/>
            <w:sz w:val="21"/>
            <w:szCs w:val="21"/>
          </w:rPr>
          <w:t>Artículo 616-1</w:t>
        </w:r>
      </w:hyperlink>
      <w:r>
        <w:rPr>
          <w:rFonts w:ascii="Segoe UI" w:hAnsi="Segoe UI" w:cs="Segoe UI"/>
          <w:color w:val="000000"/>
          <w:sz w:val="21"/>
          <w:szCs w:val="21"/>
        </w:rPr>
        <w:t> del Estatuto Tributario</w:t>
      </w:r>
    </w:p>
    <w:p w14:paraId="4FF1DD90" w14:textId="77777777" w:rsidR="00AE0545" w:rsidRDefault="00AE0545" w:rsidP="00AE054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CCDC6BD" w14:textId="77777777" w:rsidR="00AE0545" w:rsidRDefault="00AE0545" w:rsidP="00AE054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Cordial saludo</w:t>
      </w:r>
    </w:p>
    <w:p w14:paraId="4D4E09F1" w14:textId="77777777" w:rsidR="00AE0545" w:rsidRDefault="00AE0545" w:rsidP="00AE054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5E02EC1" w14:textId="77777777" w:rsidR="00AE0545" w:rsidRDefault="00AE0545" w:rsidP="00AE054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conformidad con los artículos 56 del Decreto 1742 de 2020 y 7-1 de la Resolución DIAN No. 91 de 2021,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 DIAN. Por consiguiente, no corresponde a este Despacho, en ejercicio de las funciones descritas anteriormente, prestar asesoría específica para atender casos particulares, ni juzgar o calificar las decisiones tomadas por otras dependencias o entidades.</w:t>
      </w:r>
    </w:p>
    <w:p w14:paraId="446E718A" w14:textId="77777777" w:rsidR="00AE0545" w:rsidRDefault="00AE0545" w:rsidP="00AE054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C06834A" w14:textId="77777777" w:rsidR="00AE0545" w:rsidRDefault="00AE0545" w:rsidP="00AE0545">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PROBLEMA JURÍDICO</w:t>
      </w:r>
    </w:p>
    <w:p w14:paraId="00E784A7" w14:textId="77777777" w:rsidR="00AE0545" w:rsidRDefault="00AE0545" w:rsidP="00AE054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CD8BB2E" w14:textId="77777777" w:rsidR="00AE0545" w:rsidRDefault="00AE0545" w:rsidP="00AE054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¿Puede la Administración Tributaria imponer, en la actualidad, las sanciones de que trata el inciso 3° del </w:t>
      </w:r>
      <w:hyperlink r:id="rId6" w:tooltip="Estatuto Tributario CETA" w:history="1">
        <w:r>
          <w:rPr>
            <w:rStyle w:val="Hipervnculo"/>
            <w:rFonts w:ascii="Segoe UI" w:eastAsiaTheme="majorEastAsia" w:hAnsi="Segoe UI" w:cs="Segoe UI"/>
            <w:color w:val="0645AD"/>
            <w:sz w:val="21"/>
            <w:szCs w:val="21"/>
          </w:rPr>
          <w:t>artículo 616-1</w:t>
        </w:r>
      </w:hyperlink>
      <w:r>
        <w:rPr>
          <w:rFonts w:ascii="Segoe UI" w:hAnsi="Segoe UI" w:cs="Segoe UI"/>
          <w:color w:val="000000"/>
          <w:sz w:val="21"/>
          <w:szCs w:val="21"/>
        </w:rPr>
        <w:t> del Estatuto Tributario a las infracciones cometidas en relación con los nuevos documentos que hacen parte del sistema de facturación?</w:t>
      </w:r>
    </w:p>
    <w:p w14:paraId="3191BC9D" w14:textId="77777777" w:rsidR="00AE0545" w:rsidRDefault="00AE0545" w:rsidP="00AE054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EFD9D5D" w14:textId="77777777" w:rsidR="00AE0545" w:rsidRDefault="00AE0545" w:rsidP="00AE0545">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TESIS JURÍDICA</w:t>
      </w:r>
    </w:p>
    <w:p w14:paraId="228AD9D2" w14:textId="77777777" w:rsidR="00AE0545" w:rsidRDefault="00AE0545" w:rsidP="00AE054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3D30962" w14:textId="77777777" w:rsidR="00AE0545" w:rsidRDefault="00AE0545" w:rsidP="00AE054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Administración Tributaria no puede imponer, en la actualidad, las sanciones de que trata el inciso 3° del </w:t>
      </w:r>
      <w:hyperlink r:id="rId7" w:tooltip="Estatuto Tributario CETA" w:history="1">
        <w:r>
          <w:rPr>
            <w:rStyle w:val="Hipervnculo"/>
            <w:rFonts w:ascii="Segoe UI" w:eastAsiaTheme="majorEastAsia" w:hAnsi="Segoe UI" w:cs="Segoe UI"/>
            <w:color w:val="0645AD"/>
            <w:sz w:val="21"/>
            <w:szCs w:val="21"/>
          </w:rPr>
          <w:t>artículo 616-1</w:t>
        </w:r>
      </w:hyperlink>
      <w:r>
        <w:rPr>
          <w:rFonts w:ascii="Segoe UI" w:hAnsi="Segoe UI" w:cs="Segoe UI"/>
          <w:color w:val="000000"/>
          <w:sz w:val="21"/>
          <w:szCs w:val="21"/>
        </w:rPr>
        <w:t> del Estatuto Tributario a las infracciones cometidas en relación con los nuevos documentos que hacen parte del sistema de facturación. Esto, teniendo en cuenta lo previsto en el parágrafo transitorio de la mencionada disposición.</w:t>
      </w:r>
    </w:p>
    <w:p w14:paraId="121BC201" w14:textId="77777777" w:rsidR="00AE0545" w:rsidRDefault="00AE0545" w:rsidP="00AE054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DEE6C31" w14:textId="77777777" w:rsidR="00AE0545" w:rsidRDefault="00AE0545" w:rsidP="00AE0545">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FUNDAMENTACIÓN</w:t>
      </w:r>
    </w:p>
    <w:p w14:paraId="4EB966BF" w14:textId="77777777" w:rsidR="00AE0545" w:rsidRDefault="00AE0545" w:rsidP="00AE054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9A78A26" w14:textId="77777777" w:rsidR="00AE0545" w:rsidRDefault="00AE0545" w:rsidP="00AE054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w:t>
      </w:r>
      <w:hyperlink r:id="rId8" w:tooltip="Estatuto Tributario CETA" w:history="1">
        <w:r>
          <w:rPr>
            <w:rStyle w:val="Hipervnculo"/>
            <w:rFonts w:ascii="Segoe UI" w:eastAsiaTheme="majorEastAsia" w:hAnsi="Segoe UI" w:cs="Segoe UI"/>
            <w:color w:val="0645AD"/>
            <w:sz w:val="21"/>
            <w:szCs w:val="21"/>
          </w:rPr>
          <w:t>artículo 616-1</w:t>
        </w:r>
      </w:hyperlink>
      <w:r>
        <w:rPr>
          <w:rFonts w:ascii="Segoe UI" w:hAnsi="Segoe UI" w:cs="Segoe UI"/>
          <w:color w:val="000000"/>
          <w:sz w:val="21"/>
          <w:szCs w:val="21"/>
        </w:rPr>
        <w:t> del Estatuto Tributario, modificado por el artículo 13 de la Ley 2155 de 2021, dispone en su inciso 3° y parágrafo transitorio:</w:t>
      </w:r>
    </w:p>
    <w:p w14:paraId="6B6BA8B2" w14:textId="77777777" w:rsidR="00AE0545" w:rsidRDefault="00AE0545" w:rsidP="00AE054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C33AD27" w14:textId="77777777" w:rsidR="00AE0545" w:rsidRDefault="00AE0545" w:rsidP="00AE054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u w:val="single"/>
        </w:rPr>
        <w:t>Salvo que exista una sanción específica</w:t>
      </w:r>
      <w:r>
        <w:rPr>
          <w:rFonts w:ascii="Segoe UI" w:hAnsi="Segoe UI" w:cs="Segoe UI"/>
          <w:color w:val="000000"/>
          <w:sz w:val="21"/>
          <w:szCs w:val="21"/>
        </w:rPr>
        <w:t>, la no transmisión en debida forma de los documentos del sistema de facturación dará lugar a la sanción establecida en el </w:t>
      </w:r>
      <w:hyperlink r:id="rId9" w:tooltip="Estatuto Tributario CETA" w:history="1">
        <w:r>
          <w:rPr>
            <w:rStyle w:val="Hipervnculo"/>
            <w:rFonts w:ascii="Segoe UI" w:eastAsiaTheme="majorEastAsia" w:hAnsi="Segoe UI" w:cs="Segoe UI"/>
            <w:color w:val="0645AD"/>
            <w:sz w:val="21"/>
            <w:szCs w:val="21"/>
          </w:rPr>
          <w:t>artículo 651</w:t>
        </w:r>
      </w:hyperlink>
      <w:r>
        <w:rPr>
          <w:rFonts w:ascii="Segoe UI" w:hAnsi="Segoe UI" w:cs="Segoe UI"/>
          <w:color w:val="000000"/>
          <w:sz w:val="21"/>
          <w:szCs w:val="21"/>
        </w:rPr>
        <w:t> del Estatuto Tributario. La expedición de los documentos que hacen parte del sistema de facturación sin los requisitos establecidos dará lugar a la sanción establecida en el </w:t>
      </w:r>
      <w:hyperlink r:id="rId10" w:tooltip="Estatuto Tributario CETA" w:history="1">
        <w:r>
          <w:rPr>
            <w:rStyle w:val="Hipervnculo"/>
            <w:rFonts w:ascii="Segoe UI" w:eastAsiaTheme="majorEastAsia" w:hAnsi="Segoe UI" w:cs="Segoe UI"/>
            <w:color w:val="0645AD"/>
            <w:sz w:val="21"/>
            <w:szCs w:val="21"/>
          </w:rPr>
          <w:t>artículo 652</w:t>
        </w:r>
      </w:hyperlink>
      <w:r>
        <w:rPr>
          <w:rFonts w:ascii="Segoe UI" w:hAnsi="Segoe UI" w:cs="Segoe UI"/>
          <w:color w:val="000000"/>
          <w:sz w:val="21"/>
          <w:szCs w:val="21"/>
        </w:rPr>
        <w:t> del Estatuto Tributario y la no expedición de los documentos que hacen parte del sistema de facturación dará lugar a la sanción prevista en el </w:t>
      </w:r>
      <w:hyperlink r:id="rId11" w:tooltip="Estatuto Tributario CETA" w:history="1">
        <w:r>
          <w:rPr>
            <w:rStyle w:val="Hipervnculo"/>
            <w:rFonts w:ascii="Segoe UI" w:eastAsiaTheme="majorEastAsia" w:hAnsi="Segoe UI" w:cs="Segoe UI"/>
            <w:color w:val="0645AD"/>
            <w:sz w:val="21"/>
            <w:szCs w:val="21"/>
          </w:rPr>
          <w:t>artículo 652-1</w:t>
        </w:r>
      </w:hyperlink>
      <w:r>
        <w:rPr>
          <w:rFonts w:ascii="Segoe UI" w:hAnsi="Segoe UI" w:cs="Segoe UI"/>
          <w:color w:val="000000"/>
          <w:sz w:val="21"/>
          <w:szCs w:val="21"/>
        </w:rPr>
        <w:t> del Estatuto Tributario.</w:t>
      </w:r>
    </w:p>
    <w:p w14:paraId="058667A5" w14:textId="77777777" w:rsidR="00AE0545" w:rsidRDefault="00AE0545" w:rsidP="00AE054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042DA72" w14:textId="77777777" w:rsidR="00AE0545" w:rsidRDefault="00AE0545" w:rsidP="00AE054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lastRenderedPageBreak/>
        <w:t>(…)</w:t>
      </w:r>
    </w:p>
    <w:p w14:paraId="72EE10B4" w14:textId="77777777" w:rsidR="00AE0545" w:rsidRDefault="00AE0545" w:rsidP="00AE0545"/>
    <w:p w14:paraId="2CEC09DF" w14:textId="77777777" w:rsidR="00AE0545" w:rsidRDefault="00AE0545" w:rsidP="00AE0545">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PARÁGRAFO TRANSITORIO.</w:t>
      </w:r>
      <w:r>
        <w:rPr>
          <w:rFonts w:ascii="Segoe UI" w:hAnsi="Segoe UI" w:cs="Segoe UI"/>
          <w:color w:val="000000"/>
          <w:sz w:val="21"/>
          <w:szCs w:val="21"/>
        </w:rPr>
        <w:t> Mientras se expide la reglamentación del sistema de facturación </w:t>
      </w:r>
      <w:r>
        <w:rPr>
          <w:rFonts w:ascii="Segoe UI" w:hAnsi="Segoe UI" w:cs="Segoe UI"/>
          <w:color w:val="000000"/>
          <w:sz w:val="21"/>
          <w:szCs w:val="21"/>
          <w:u w:val="single"/>
        </w:rPr>
        <w:t>aplicarán las disposiciones que regulan la materia antes de la entrada en vigencia de la presente ley</w:t>
      </w:r>
      <w:r>
        <w:rPr>
          <w:rFonts w:ascii="Segoe UI" w:hAnsi="Segoe UI" w:cs="Segoe UI"/>
          <w:color w:val="000000"/>
          <w:sz w:val="21"/>
          <w:szCs w:val="21"/>
        </w:rPr>
        <w:t>. (subrayado fuera de texto)</w:t>
      </w:r>
    </w:p>
    <w:p w14:paraId="764375D8" w14:textId="77777777" w:rsidR="00AE0545" w:rsidRDefault="00AE0545" w:rsidP="00AE054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50CC466" w14:textId="77777777" w:rsidR="00AE0545" w:rsidRDefault="00AE0545" w:rsidP="00AE054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Considerando que, a la fecha, no ha sido expedida la totalidad de la reglamentación</w:t>
      </w:r>
      <w:hyperlink r:id="rId12" w:anchor="cite_note-1" w:history="1">
        <w:r>
          <w:rPr>
            <w:rStyle w:val="Hipervnculo"/>
            <w:rFonts w:ascii="Segoe UI" w:eastAsiaTheme="majorEastAsia" w:hAnsi="Segoe UI" w:cs="Segoe UI"/>
            <w:color w:val="0645AD"/>
            <w:sz w:val="21"/>
            <w:szCs w:val="21"/>
            <w:vertAlign w:val="superscript"/>
          </w:rPr>
          <w:t>1</w:t>
        </w:r>
      </w:hyperlink>
      <w:r>
        <w:rPr>
          <w:rFonts w:ascii="Segoe UI" w:hAnsi="Segoe UI" w:cs="Segoe UI"/>
          <w:color w:val="000000"/>
          <w:sz w:val="21"/>
          <w:szCs w:val="21"/>
        </w:rPr>
        <w:t> del nuevo sistema de facturación, para esta Subdirección no son aplicables las sanciones contempladas en el inciso 3° de la reseñada norma a las infracciones de que trata este mismo inciso en relación con los nuevos documentos que hacen parte del sistema de facturación. Así las cosas, en el entretanto debe aplicarse el régimen sancionatorio existente con anterioridad a la Ley 2155 de 2021</w:t>
      </w:r>
      <w:hyperlink r:id="rId13" w:anchor="cite_note-2" w:history="1">
        <w:r>
          <w:rPr>
            <w:rStyle w:val="Hipervnculo"/>
            <w:rFonts w:ascii="Segoe UI" w:eastAsiaTheme="majorEastAsia" w:hAnsi="Segoe UI" w:cs="Segoe UI"/>
            <w:color w:val="0645AD"/>
            <w:sz w:val="21"/>
            <w:szCs w:val="21"/>
            <w:vertAlign w:val="superscript"/>
          </w:rPr>
          <w:t>2</w:t>
        </w:r>
      </w:hyperlink>
      <w:r>
        <w:rPr>
          <w:rFonts w:ascii="Segoe UI" w:hAnsi="Segoe UI" w:cs="Segoe UI"/>
          <w:color w:val="000000"/>
          <w:sz w:val="21"/>
          <w:szCs w:val="21"/>
        </w:rPr>
        <w:t>, frente a los nuevos hechos sancionables incorporados por esta Ley.</w:t>
      </w:r>
    </w:p>
    <w:p w14:paraId="25D74A4F" w14:textId="77777777" w:rsidR="00AE0545" w:rsidRDefault="00AE0545" w:rsidP="00AE054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FEF3401" w14:textId="77777777" w:rsidR="00AE0545" w:rsidRDefault="00AE0545" w:rsidP="00AE054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Atentamente,</w:t>
      </w:r>
    </w:p>
    <w:p w14:paraId="16AB0CAB" w14:textId="77777777" w:rsidR="00AE0545" w:rsidRDefault="00AE0545" w:rsidP="00AE054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B11AACD" w14:textId="77777777" w:rsidR="00AE0545" w:rsidRDefault="00AE0545" w:rsidP="00AE054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FD25A88" w14:textId="77777777" w:rsidR="00AE0545" w:rsidRDefault="00AE0545" w:rsidP="00AE0545">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ALFREDO RAMÍREZ CASTAÑEDA</w:t>
      </w:r>
    </w:p>
    <w:p w14:paraId="33E7E800" w14:textId="77777777" w:rsidR="00AE0545" w:rsidRDefault="00AE0545" w:rsidP="00AE054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Subdirector de Normativa y Doctrina</w:t>
      </w:r>
    </w:p>
    <w:p w14:paraId="62BC249C" w14:textId="77777777" w:rsidR="00AE0545" w:rsidRDefault="00AE0545" w:rsidP="00AE054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Dirección de Gestión Jurídica</w:t>
      </w:r>
    </w:p>
    <w:p w14:paraId="66D561FD" w14:textId="77777777" w:rsidR="00AE0545" w:rsidRDefault="00AE0545" w:rsidP="00AE0545">
      <w:pPr>
        <w:pStyle w:val="NormalWeb"/>
        <w:spacing w:before="0" w:beforeAutospacing="0" w:after="0" w:afterAutospacing="0"/>
        <w:jc w:val="both"/>
        <w:rPr>
          <w:rFonts w:ascii="Segoe UI" w:hAnsi="Segoe UI" w:cs="Segoe UI"/>
          <w:color w:val="000000"/>
          <w:sz w:val="21"/>
          <w:szCs w:val="21"/>
        </w:rPr>
      </w:pPr>
      <w:proofErr w:type="spellStart"/>
      <w:r>
        <w:rPr>
          <w:rFonts w:ascii="Segoe UI" w:hAnsi="Segoe UI" w:cs="Segoe UI"/>
          <w:color w:val="000000"/>
          <w:sz w:val="21"/>
          <w:szCs w:val="21"/>
        </w:rPr>
        <w:t>UAE</w:t>
      </w:r>
      <w:proofErr w:type="spellEnd"/>
      <w:r>
        <w:rPr>
          <w:rFonts w:ascii="Segoe UI" w:hAnsi="Segoe UI" w:cs="Segoe UI"/>
          <w:color w:val="000000"/>
          <w:sz w:val="21"/>
          <w:szCs w:val="21"/>
        </w:rPr>
        <w:t>-Dirección de Impuestos y Aduanas Nacionales</w:t>
      </w:r>
    </w:p>
    <w:p w14:paraId="231D27A4" w14:textId="77777777" w:rsidR="00AE0545" w:rsidRDefault="00AE0545" w:rsidP="00AE054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2B46E95" w14:textId="24398A3D" w:rsidR="00AE0545" w:rsidRPr="00AE0545" w:rsidRDefault="00AE0545" w:rsidP="00AE0545">
      <w:pPr>
        <w:pStyle w:val="Ttulo3"/>
        <w:spacing w:before="0" w:beforeAutospacing="0" w:after="285" w:afterAutospacing="0"/>
        <w:jc w:val="both"/>
        <w:rPr>
          <w:rFonts w:ascii="Segoe UI" w:hAnsi="Segoe UI" w:cs="Segoe UI"/>
          <w:color w:val="000000"/>
          <w:sz w:val="21"/>
          <w:szCs w:val="21"/>
        </w:rPr>
      </w:pPr>
      <w:r>
        <w:rPr>
          <w:rFonts w:ascii="Segoe UI" w:hAnsi="Segoe UI" w:cs="Segoe UI"/>
          <w:color w:val="000000"/>
          <w:sz w:val="21"/>
          <w:szCs w:val="21"/>
        </w:rPr>
        <w:t>Notas al pie</w:t>
      </w:r>
    </w:p>
    <w:p w14:paraId="341DAE92" w14:textId="2E33FCD3" w:rsidR="00AE0545" w:rsidRDefault="00AE0545" w:rsidP="00AE0545">
      <w:r>
        <w:t>______________________________________________________________________________</w:t>
      </w:r>
    </w:p>
    <w:p w14:paraId="42FA9B29" w14:textId="77777777" w:rsidR="00AE0545" w:rsidRDefault="00AE0545" w:rsidP="00AE0545">
      <w:pPr>
        <w:numPr>
          <w:ilvl w:val="0"/>
          <w:numId w:val="3"/>
        </w:numPr>
        <w:shd w:val="clear" w:color="auto" w:fill="FFFFFF"/>
        <w:spacing w:before="100" w:beforeAutospacing="1" w:after="100" w:afterAutospacing="1" w:line="240" w:lineRule="auto"/>
        <w:rPr>
          <w:rFonts w:ascii="Segoe UI" w:hAnsi="Segoe UI" w:cs="Segoe UI"/>
          <w:color w:val="000000"/>
          <w:sz w:val="21"/>
          <w:szCs w:val="21"/>
        </w:rPr>
      </w:pPr>
      <w:hyperlink r:id="rId14" w:anchor="cite_ref-1" w:tooltip="Volver arriba" w:history="1">
        <w:r>
          <w:rPr>
            <w:rStyle w:val="Hipervnculo"/>
            <w:rFonts w:ascii="Segoe UI" w:hAnsi="Segoe UI" w:cs="Segoe UI"/>
            <w:color w:val="0645AD"/>
            <w:sz w:val="21"/>
            <w:szCs w:val="21"/>
          </w:rPr>
          <w:t>↑</w:t>
        </w:r>
      </w:hyperlink>
      <w:r>
        <w:rPr>
          <w:rFonts w:ascii="Segoe UI" w:hAnsi="Segoe UI" w:cs="Segoe UI"/>
          <w:color w:val="000000"/>
          <w:sz w:val="21"/>
          <w:szCs w:val="21"/>
        </w:rPr>
        <w:t> </w:t>
      </w:r>
      <w:r>
        <w:rPr>
          <w:rStyle w:val="reference-text"/>
          <w:rFonts w:ascii="Segoe UI" w:hAnsi="Segoe UI" w:cs="Segoe UI"/>
          <w:color w:val="000000"/>
          <w:sz w:val="21"/>
          <w:szCs w:val="21"/>
        </w:rPr>
        <w:t>Pese a que el 29 de marzo de 2023 se publicó el Decreto 442 de 2023 por el cual se reglamenta parcialmente el artículo 616-1 del Estatuto Tributario, entre otras disposiciones, la DIAN aún no ha expedido el respectivo acto administrativo que sustituya la Resolución 42 de 2020 (por la cual se desarrollan los sistemas de facturación, los proveedores tecnológicos, el registro de la factura electrónica de venta como título valor, se expide el anexo técnico de factura electrónica de venta y se dictan otras disposiciones en materia de sistemas de facturación), de conformidad con lo previsto en el parágrafo 1° del citado artículo 616-1.</w:t>
      </w:r>
    </w:p>
    <w:p w14:paraId="231F5E72" w14:textId="77777777" w:rsidR="00AE0545" w:rsidRDefault="00AE0545" w:rsidP="00AE0545">
      <w:pPr>
        <w:numPr>
          <w:ilvl w:val="0"/>
          <w:numId w:val="3"/>
        </w:numPr>
        <w:shd w:val="clear" w:color="auto" w:fill="FFFFFF"/>
        <w:spacing w:before="100" w:beforeAutospacing="1" w:after="100" w:afterAutospacing="1" w:line="240" w:lineRule="auto"/>
        <w:rPr>
          <w:rFonts w:ascii="Segoe UI" w:hAnsi="Segoe UI" w:cs="Segoe UI"/>
          <w:color w:val="000000"/>
          <w:sz w:val="21"/>
          <w:szCs w:val="21"/>
        </w:rPr>
      </w:pPr>
      <w:hyperlink r:id="rId15" w:anchor="cite_ref-2" w:tooltip="Volver arriba" w:history="1">
        <w:r>
          <w:rPr>
            <w:rStyle w:val="Hipervnculo"/>
            <w:rFonts w:ascii="Segoe UI" w:hAnsi="Segoe UI" w:cs="Segoe UI"/>
            <w:color w:val="0645AD"/>
            <w:sz w:val="21"/>
            <w:szCs w:val="21"/>
          </w:rPr>
          <w:t>↑</w:t>
        </w:r>
      </w:hyperlink>
      <w:r>
        <w:rPr>
          <w:rFonts w:ascii="Segoe UI" w:hAnsi="Segoe UI" w:cs="Segoe UI"/>
          <w:color w:val="000000"/>
          <w:sz w:val="21"/>
          <w:szCs w:val="21"/>
        </w:rPr>
        <w:t> </w:t>
      </w:r>
      <w:r>
        <w:rPr>
          <w:rStyle w:val="reference-text"/>
          <w:rFonts w:ascii="Segoe UI" w:hAnsi="Segoe UI" w:cs="Segoe UI"/>
          <w:color w:val="000000"/>
          <w:sz w:val="21"/>
          <w:szCs w:val="21"/>
        </w:rPr>
        <w:t>Se sugiere examinar, entre otras disposiciones, los artículos 652 (sanción por expedir facturas sin requisitos), 652-1 (sanción por no facturar), 657 (sanción de clausura del establecimiento) y 771-2 (procedencia de costos, deducciones e impuestos descontables) del Estatuto Tributario.</w:t>
      </w:r>
    </w:p>
    <w:p w14:paraId="45AA33B8" w14:textId="77777777" w:rsidR="00AE0545" w:rsidRPr="00AE0545" w:rsidRDefault="00AE0545" w:rsidP="00AE0545"/>
    <w:sectPr w:rsidR="00AE0545" w:rsidRPr="00AE0545" w:rsidSect="00AE0545">
      <w:pgSz w:w="12242" w:h="15842" w:code="1"/>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47A74"/>
    <w:multiLevelType w:val="multilevel"/>
    <w:tmpl w:val="05526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9B340B6"/>
    <w:multiLevelType w:val="multilevel"/>
    <w:tmpl w:val="6B5E71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0684355">
    <w:abstractNumId w:val="1"/>
  </w:num>
  <w:num w:numId="2" w16cid:durableId="1083985853">
    <w:abstractNumId w:val="2"/>
  </w:num>
  <w:num w:numId="3" w16cid:durableId="1062409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45"/>
    <w:rsid w:val="002F3F02"/>
    <w:rsid w:val="004A489D"/>
    <w:rsid w:val="004F1D2E"/>
    <w:rsid w:val="005173B2"/>
    <w:rsid w:val="005B14BF"/>
    <w:rsid w:val="00840411"/>
    <w:rsid w:val="00885E73"/>
    <w:rsid w:val="009705EC"/>
    <w:rsid w:val="00A613E5"/>
    <w:rsid w:val="00A91F78"/>
    <w:rsid w:val="00AE0545"/>
    <w:rsid w:val="00AE7AD8"/>
    <w:rsid w:val="00B21583"/>
    <w:rsid w:val="00B76269"/>
    <w:rsid w:val="00BE074B"/>
    <w:rsid w:val="00CA1F22"/>
    <w:rsid w:val="00CC19F3"/>
    <w:rsid w:val="00CC2D9A"/>
    <w:rsid w:val="00D65024"/>
    <w:rsid w:val="00DE36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D8582"/>
  <w15:chartTrackingRefBased/>
  <w15:docId w15:val="{A0513FE9-CEBB-4E78-BE43-33E99F44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kern w:val="2"/>
        <w:sz w:val="24"/>
        <w:szCs w:val="24"/>
        <w:lang w:val="es-419"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AE0545"/>
    <w:pPr>
      <w:spacing w:before="100" w:beforeAutospacing="1" w:after="100" w:afterAutospacing="1" w:line="240" w:lineRule="auto"/>
      <w:jc w:val="left"/>
      <w:outlineLvl w:val="2"/>
    </w:pPr>
    <w:rPr>
      <w:rFonts w:ascii="Times New Roman" w:eastAsia="Times New Roman" w:hAnsi="Times New Roman" w:cs="Times New Roman"/>
      <w:b/>
      <w:bCs/>
      <w:kern w:val="0"/>
      <w:sz w:val="27"/>
      <w:szCs w:val="27"/>
      <w:lang w:eastAsia="es-419"/>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character" w:customStyle="1" w:styleId="Ttulo3Car">
    <w:name w:val="Título 3 Car"/>
    <w:basedOn w:val="Fuentedeprrafopredeter"/>
    <w:link w:val="Ttulo3"/>
    <w:uiPriority w:val="9"/>
    <w:rsid w:val="00AE0545"/>
    <w:rPr>
      <w:rFonts w:ascii="Times New Roman" w:eastAsia="Times New Roman" w:hAnsi="Times New Roman" w:cs="Times New Roman"/>
      <w:b/>
      <w:bCs/>
      <w:kern w:val="0"/>
      <w:sz w:val="27"/>
      <w:szCs w:val="27"/>
      <w:lang w:eastAsia="es-419"/>
      <w14:ligatures w14:val="none"/>
    </w:rPr>
  </w:style>
  <w:style w:type="paragraph" w:styleId="NormalWeb">
    <w:name w:val="Normal (Web)"/>
    <w:basedOn w:val="Normal"/>
    <w:uiPriority w:val="99"/>
    <w:semiHidden/>
    <w:unhideWhenUsed/>
    <w:rsid w:val="00AE0545"/>
    <w:pPr>
      <w:spacing w:before="100" w:beforeAutospacing="1" w:after="100" w:afterAutospacing="1" w:line="240" w:lineRule="auto"/>
      <w:jc w:val="left"/>
    </w:pPr>
    <w:rPr>
      <w:rFonts w:ascii="Times New Roman" w:eastAsia="Times New Roman" w:hAnsi="Times New Roman" w:cs="Times New Roman"/>
      <w:kern w:val="0"/>
      <w:lang w:eastAsia="es-419"/>
      <w14:ligatures w14:val="none"/>
    </w:rPr>
  </w:style>
  <w:style w:type="character" w:styleId="Hipervnculo">
    <w:name w:val="Hyperlink"/>
    <w:basedOn w:val="Fuentedeprrafopredeter"/>
    <w:uiPriority w:val="99"/>
    <w:semiHidden/>
    <w:unhideWhenUsed/>
    <w:rsid w:val="00AE0545"/>
    <w:rPr>
      <w:color w:val="0000FF"/>
      <w:u w:val="single"/>
    </w:rPr>
  </w:style>
  <w:style w:type="character" w:customStyle="1" w:styleId="reference-text">
    <w:name w:val="reference-text"/>
    <w:basedOn w:val="Fuentedeprrafopredeter"/>
    <w:rsid w:val="00AE0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12185">
      <w:bodyDiv w:val="1"/>
      <w:marLeft w:val="0"/>
      <w:marRight w:val="0"/>
      <w:marTop w:val="0"/>
      <w:marBottom w:val="0"/>
      <w:divBdr>
        <w:top w:val="none" w:sz="0" w:space="0" w:color="auto"/>
        <w:left w:val="none" w:sz="0" w:space="0" w:color="auto"/>
        <w:bottom w:val="none" w:sz="0" w:space="0" w:color="auto"/>
        <w:right w:val="none" w:sz="0" w:space="0" w:color="auto"/>
      </w:divBdr>
    </w:div>
    <w:div w:id="1072896486">
      <w:bodyDiv w:val="1"/>
      <w:marLeft w:val="0"/>
      <w:marRight w:val="0"/>
      <w:marTop w:val="0"/>
      <w:marBottom w:val="0"/>
      <w:divBdr>
        <w:top w:val="none" w:sz="0" w:space="0" w:color="auto"/>
        <w:left w:val="none" w:sz="0" w:space="0" w:color="auto"/>
        <w:bottom w:val="none" w:sz="0" w:space="0" w:color="auto"/>
        <w:right w:val="none" w:sz="0" w:space="0" w:color="auto"/>
      </w:divBdr>
    </w:div>
    <w:div w:id="1306204989">
      <w:bodyDiv w:val="1"/>
      <w:marLeft w:val="0"/>
      <w:marRight w:val="0"/>
      <w:marTop w:val="0"/>
      <w:marBottom w:val="0"/>
      <w:divBdr>
        <w:top w:val="none" w:sz="0" w:space="0" w:color="auto"/>
        <w:left w:val="none" w:sz="0" w:space="0" w:color="auto"/>
        <w:bottom w:val="none" w:sz="0" w:space="0" w:color="auto"/>
        <w:right w:val="none" w:sz="0" w:space="0" w:color="auto"/>
      </w:divBdr>
    </w:div>
    <w:div w:id="1361589918">
      <w:bodyDiv w:val="1"/>
      <w:marLeft w:val="0"/>
      <w:marRight w:val="0"/>
      <w:marTop w:val="0"/>
      <w:marBottom w:val="0"/>
      <w:divBdr>
        <w:top w:val="none" w:sz="0" w:space="0" w:color="auto"/>
        <w:left w:val="none" w:sz="0" w:space="0" w:color="auto"/>
        <w:bottom w:val="none" w:sz="0" w:space="0" w:color="auto"/>
        <w:right w:val="none" w:sz="0" w:space="0" w:color="auto"/>
      </w:divBdr>
    </w:div>
    <w:div w:id="198018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58" TargetMode="External"/><Relationship Id="rId13" Type="http://schemas.openxmlformats.org/officeDocument/2006/relationships/hyperlink" Target="https://www.ceta.org.co/html/vista_de_un_documento.asp?DocumentoID=49272" TargetMode="External"/><Relationship Id="rId3" Type="http://schemas.openxmlformats.org/officeDocument/2006/relationships/settings" Target="settings.xml"/><Relationship Id="rId7" Type="http://schemas.openxmlformats.org/officeDocument/2006/relationships/hyperlink" Target="https://www.ceta.org.co/html/vista_de_un_articulo.asp?Norma=758" TargetMode="External"/><Relationship Id="rId12" Type="http://schemas.openxmlformats.org/officeDocument/2006/relationships/hyperlink" Target="https://www.ceta.org.co/html/vista_de_un_documento.asp?DocumentoID=4927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eta.org.co/html/vista_de_un_articulo.asp?Norma=758" TargetMode="External"/><Relationship Id="rId11" Type="http://schemas.openxmlformats.org/officeDocument/2006/relationships/hyperlink" Target="https://www.ceta.org.co/html/vista_de_un_articulo.asp?Norma=812" TargetMode="External"/><Relationship Id="rId5" Type="http://schemas.openxmlformats.org/officeDocument/2006/relationships/hyperlink" Target="https://www.ceta.org.co/html/vista_de_un_articulo.asp?Norma=758" TargetMode="External"/><Relationship Id="rId15" Type="http://schemas.openxmlformats.org/officeDocument/2006/relationships/hyperlink" Target="https://www.ceta.org.co/html/vista_de_un_documento.asp?DocumentoID=49272" TargetMode="External"/><Relationship Id="rId10" Type="http://schemas.openxmlformats.org/officeDocument/2006/relationships/hyperlink" Target="https://www.ceta.org.co/html/vista_de_un_articulo.asp?Norma=811"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810" TargetMode="External"/><Relationship Id="rId14" Type="http://schemas.openxmlformats.org/officeDocument/2006/relationships/hyperlink" Target="https://www.ceta.org.co/html/vista_de_un_documento.asp?DocumentoID=4927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828</Words>
  <Characters>4556</Characters>
  <Application>Microsoft Office Word</Application>
  <DocSecurity>0</DocSecurity>
  <Lines>37</Lines>
  <Paragraphs>10</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Notas al pie</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2023-10-24T16:45:00Z</dcterms:created>
  <dcterms:modified xsi:type="dcterms:W3CDTF">2023-10-24T17:03:00Z</dcterms:modified>
</cp:coreProperties>
</file>