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9E90" w14:textId="77777777" w:rsidR="00766683" w:rsidRPr="00766683" w:rsidRDefault="00766683" w:rsidP="00766683">
      <w:pPr>
        <w:shd w:val="clear" w:color="auto" w:fill="FFFFFF"/>
        <w:spacing w:after="150" w:line="240" w:lineRule="auto"/>
        <w:jc w:val="center"/>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color w:val="0000FF"/>
          <w:kern w:val="0"/>
          <w:lang w:val="es-CO" w:eastAsia="es-419"/>
          <w14:ligatures w14:val="none"/>
        </w:rPr>
        <w:t xml:space="preserve">OFICIO </w:t>
      </w:r>
      <w:proofErr w:type="spellStart"/>
      <w:r w:rsidRPr="00766683">
        <w:rPr>
          <w:rFonts w:ascii="Times New Roman" w:eastAsia="Times New Roman" w:hAnsi="Times New Roman" w:cs="Times New Roman"/>
          <w:b/>
          <w:bCs/>
          <w:color w:val="0000FF"/>
          <w:kern w:val="0"/>
          <w:lang w:val="es-CO" w:eastAsia="es-419"/>
          <w14:ligatures w14:val="none"/>
        </w:rPr>
        <w:t>Nº</w:t>
      </w:r>
      <w:proofErr w:type="spellEnd"/>
      <w:r w:rsidRPr="00766683">
        <w:rPr>
          <w:rFonts w:ascii="Times New Roman" w:eastAsia="Times New Roman" w:hAnsi="Times New Roman" w:cs="Times New Roman"/>
          <w:b/>
          <w:bCs/>
          <w:color w:val="0000FF"/>
          <w:kern w:val="0"/>
          <w:lang w:val="es-CO" w:eastAsia="es-419"/>
          <w14:ligatures w14:val="none"/>
        </w:rPr>
        <w:t xml:space="preserve"> 0053 [900369]</w:t>
      </w:r>
    </w:p>
    <w:p w14:paraId="6BA5CA2F" w14:textId="77777777" w:rsidR="00766683" w:rsidRPr="00766683" w:rsidRDefault="00766683" w:rsidP="00766683">
      <w:pPr>
        <w:shd w:val="clear" w:color="auto" w:fill="FFFFFF"/>
        <w:spacing w:after="150" w:line="240" w:lineRule="auto"/>
        <w:jc w:val="center"/>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color w:val="0000FF"/>
          <w:kern w:val="0"/>
          <w:lang w:val="es-CO" w:eastAsia="es-419"/>
          <w14:ligatures w14:val="none"/>
        </w:rPr>
        <w:t>21-01-2021</w:t>
      </w:r>
    </w:p>
    <w:p w14:paraId="524A5F0A" w14:textId="77777777" w:rsidR="00766683" w:rsidRPr="00766683" w:rsidRDefault="00766683" w:rsidP="00766683">
      <w:pPr>
        <w:shd w:val="clear" w:color="auto" w:fill="FFFFFF"/>
        <w:spacing w:after="150" w:line="240" w:lineRule="auto"/>
        <w:jc w:val="center"/>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color w:val="0000FF"/>
          <w:kern w:val="0"/>
          <w:lang w:val="es-CO" w:eastAsia="es-419"/>
          <w14:ligatures w14:val="none"/>
        </w:rPr>
        <w:t>DIAN</w:t>
      </w:r>
    </w:p>
    <w:p w14:paraId="0A2CE71E"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77AB0D43"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7828B959"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Subdirección de Gestión Normativa y Doctrina</w:t>
      </w:r>
    </w:p>
    <w:p w14:paraId="4D5B8ED5"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100208221-0053</w:t>
      </w:r>
    </w:p>
    <w:p w14:paraId="4C8352D3"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Bogotá, D.C.</w:t>
      </w:r>
    </w:p>
    <w:p w14:paraId="650D5380"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4B493017" w14:textId="77777777" w:rsidR="00766683" w:rsidRPr="00766683" w:rsidRDefault="00766683" w:rsidP="00766683">
      <w:pPr>
        <w:shd w:val="clear" w:color="auto" w:fill="FFFFFF"/>
        <w:spacing w:after="285"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3"/>
        <w:gridCol w:w="270"/>
        <w:gridCol w:w="270"/>
        <w:gridCol w:w="6569"/>
      </w:tblGrid>
      <w:tr w:rsidR="00766683" w:rsidRPr="00766683" w14:paraId="6701499C" w14:textId="77777777" w:rsidTr="00766683">
        <w:tc>
          <w:tcPr>
            <w:tcW w:w="0" w:type="auto"/>
            <w:shd w:val="clear" w:color="auto" w:fill="FFFFFF"/>
            <w:tcMar>
              <w:top w:w="0" w:type="dxa"/>
              <w:left w:w="105" w:type="dxa"/>
              <w:bottom w:w="0" w:type="dxa"/>
              <w:right w:w="105" w:type="dxa"/>
            </w:tcMar>
            <w:hideMark/>
          </w:tcPr>
          <w:p w14:paraId="51C6ACFC"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color w:val="555555"/>
                <w:kern w:val="0"/>
                <w:lang w:val="es-CO" w:eastAsia="es-419"/>
                <w14:ligatures w14:val="none"/>
              </w:rPr>
              <w:t>Tema</w:t>
            </w:r>
          </w:p>
        </w:tc>
        <w:tc>
          <w:tcPr>
            <w:tcW w:w="0" w:type="auto"/>
            <w:shd w:val="clear" w:color="auto" w:fill="FFFFFF"/>
            <w:tcMar>
              <w:top w:w="0" w:type="dxa"/>
              <w:left w:w="105" w:type="dxa"/>
              <w:bottom w:w="0" w:type="dxa"/>
              <w:right w:w="105" w:type="dxa"/>
            </w:tcMar>
            <w:hideMark/>
          </w:tcPr>
          <w:p w14:paraId="4DE71617"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tc>
        <w:tc>
          <w:tcPr>
            <w:tcW w:w="0" w:type="auto"/>
            <w:shd w:val="clear" w:color="auto" w:fill="FFFFFF"/>
            <w:tcMar>
              <w:top w:w="0" w:type="dxa"/>
              <w:left w:w="105" w:type="dxa"/>
              <w:bottom w:w="0" w:type="dxa"/>
              <w:right w:w="105" w:type="dxa"/>
            </w:tcMar>
            <w:hideMark/>
          </w:tcPr>
          <w:p w14:paraId="35474254"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tc>
        <w:tc>
          <w:tcPr>
            <w:tcW w:w="0" w:type="auto"/>
            <w:shd w:val="clear" w:color="auto" w:fill="FFFFFF"/>
            <w:tcMar>
              <w:top w:w="0" w:type="dxa"/>
              <w:left w:w="105" w:type="dxa"/>
              <w:bottom w:w="0" w:type="dxa"/>
              <w:right w:w="105" w:type="dxa"/>
            </w:tcMar>
            <w:hideMark/>
          </w:tcPr>
          <w:p w14:paraId="09C85F6B"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val="es-CO" w:eastAsia="es-419"/>
                <w14:ligatures w14:val="none"/>
              </w:rPr>
              <w:t>Factura Electrónica de Venta</w:t>
            </w:r>
          </w:p>
        </w:tc>
      </w:tr>
      <w:tr w:rsidR="00766683" w:rsidRPr="00766683" w14:paraId="0A40C496" w14:textId="77777777" w:rsidTr="00766683">
        <w:tc>
          <w:tcPr>
            <w:tcW w:w="0" w:type="auto"/>
            <w:shd w:val="clear" w:color="auto" w:fill="FFFFFF"/>
            <w:tcMar>
              <w:top w:w="0" w:type="dxa"/>
              <w:left w:w="105" w:type="dxa"/>
              <w:bottom w:w="0" w:type="dxa"/>
              <w:right w:w="105" w:type="dxa"/>
            </w:tcMar>
            <w:hideMark/>
          </w:tcPr>
          <w:p w14:paraId="3771D949"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color w:val="555555"/>
                <w:kern w:val="0"/>
                <w:lang w:val="es-CO" w:eastAsia="es-419"/>
                <w14:ligatures w14:val="none"/>
              </w:rPr>
              <w:t>Descriptores</w:t>
            </w:r>
          </w:p>
        </w:tc>
        <w:tc>
          <w:tcPr>
            <w:tcW w:w="0" w:type="auto"/>
            <w:shd w:val="clear" w:color="auto" w:fill="FFFFFF"/>
            <w:tcMar>
              <w:top w:w="0" w:type="dxa"/>
              <w:left w:w="105" w:type="dxa"/>
              <w:bottom w:w="0" w:type="dxa"/>
              <w:right w:w="105" w:type="dxa"/>
            </w:tcMar>
            <w:hideMark/>
          </w:tcPr>
          <w:p w14:paraId="25A9A9C7"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tc>
        <w:tc>
          <w:tcPr>
            <w:tcW w:w="0" w:type="auto"/>
            <w:shd w:val="clear" w:color="auto" w:fill="FFFFFF"/>
            <w:tcMar>
              <w:top w:w="0" w:type="dxa"/>
              <w:left w:w="105" w:type="dxa"/>
              <w:bottom w:w="0" w:type="dxa"/>
              <w:right w:w="105" w:type="dxa"/>
            </w:tcMar>
            <w:hideMark/>
          </w:tcPr>
          <w:p w14:paraId="78E2EC1D"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tc>
        <w:tc>
          <w:tcPr>
            <w:tcW w:w="0" w:type="auto"/>
            <w:shd w:val="clear" w:color="auto" w:fill="FFFFFF"/>
            <w:tcMar>
              <w:top w:w="0" w:type="dxa"/>
              <w:left w:w="105" w:type="dxa"/>
              <w:bottom w:w="0" w:type="dxa"/>
              <w:right w:w="105" w:type="dxa"/>
            </w:tcMar>
            <w:hideMark/>
          </w:tcPr>
          <w:p w14:paraId="348916E9"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val="es-CO" w:eastAsia="es-419"/>
                <w14:ligatures w14:val="none"/>
              </w:rPr>
              <w:t>Documento equivalente a la factura</w:t>
            </w:r>
          </w:p>
        </w:tc>
      </w:tr>
      <w:tr w:rsidR="00766683" w:rsidRPr="00766683" w14:paraId="1E281AF6" w14:textId="77777777" w:rsidTr="00766683">
        <w:tc>
          <w:tcPr>
            <w:tcW w:w="0" w:type="auto"/>
            <w:shd w:val="clear" w:color="auto" w:fill="FFFFFF"/>
            <w:tcMar>
              <w:top w:w="0" w:type="dxa"/>
              <w:left w:w="105" w:type="dxa"/>
              <w:bottom w:w="0" w:type="dxa"/>
              <w:right w:w="105" w:type="dxa"/>
            </w:tcMar>
            <w:hideMark/>
          </w:tcPr>
          <w:p w14:paraId="71C25D18"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color w:val="555555"/>
                <w:kern w:val="0"/>
                <w:lang w:val="es-CO" w:eastAsia="es-419"/>
                <w14:ligatures w14:val="none"/>
              </w:rPr>
              <w:t>Fuentes formales</w:t>
            </w:r>
          </w:p>
        </w:tc>
        <w:tc>
          <w:tcPr>
            <w:tcW w:w="0" w:type="auto"/>
            <w:shd w:val="clear" w:color="auto" w:fill="FFFFFF"/>
            <w:tcMar>
              <w:top w:w="0" w:type="dxa"/>
              <w:left w:w="105" w:type="dxa"/>
              <w:bottom w:w="0" w:type="dxa"/>
              <w:right w:w="105" w:type="dxa"/>
            </w:tcMar>
            <w:hideMark/>
          </w:tcPr>
          <w:p w14:paraId="487A612C"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tc>
        <w:tc>
          <w:tcPr>
            <w:tcW w:w="0" w:type="auto"/>
            <w:shd w:val="clear" w:color="auto" w:fill="FFFFFF"/>
            <w:tcMar>
              <w:top w:w="0" w:type="dxa"/>
              <w:left w:w="105" w:type="dxa"/>
              <w:bottom w:w="0" w:type="dxa"/>
              <w:right w:w="105" w:type="dxa"/>
            </w:tcMar>
            <w:hideMark/>
          </w:tcPr>
          <w:p w14:paraId="19EEADC7"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tc>
        <w:tc>
          <w:tcPr>
            <w:tcW w:w="0" w:type="auto"/>
            <w:shd w:val="clear" w:color="auto" w:fill="FFFFFF"/>
            <w:tcMar>
              <w:top w:w="0" w:type="dxa"/>
              <w:left w:w="105" w:type="dxa"/>
              <w:bottom w:w="0" w:type="dxa"/>
              <w:right w:w="105" w:type="dxa"/>
            </w:tcMar>
            <w:hideMark/>
          </w:tcPr>
          <w:p w14:paraId="748D6822" w14:textId="77777777" w:rsidR="00766683" w:rsidRPr="00766683" w:rsidRDefault="00766683" w:rsidP="00766683">
            <w:pPr>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val="es-CO" w:eastAsia="es-419"/>
                <w14:ligatures w14:val="none"/>
              </w:rPr>
              <w:t>Artículo 1.6.1.4.6 del Decreto Único Reglamentario 1625 de 2016</w:t>
            </w:r>
          </w:p>
          <w:p w14:paraId="6FE0CD12" w14:textId="77777777" w:rsidR="00766683" w:rsidRPr="00766683" w:rsidRDefault="00766683" w:rsidP="00766683">
            <w:pPr>
              <w:spacing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val="es-CO" w:eastAsia="es-419"/>
                <w14:ligatures w14:val="none"/>
              </w:rPr>
              <w:t>Artículos 10 y 13 de la Resolución 000042 de 2020</w:t>
            </w:r>
          </w:p>
        </w:tc>
      </w:tr>
    </w:tbl>
    <w:p w14:paraId="039F06BE"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06D2636B"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503CC2C8"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Cordial saludo,</w:t>
      </w:r>
    </w:p>
    <w:p w14:paraId="4609545D"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6EF6483A"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93DCE1B"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5318D785"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Mediante el radicado de la referencia, el peticionario formula las siguientes preguntas relativas a la facturación electrónica para los operadores de juegos de suerte y azar en la modalidad de juegos localizados:</w:t>
      </w:r>
    </w:p>
    <w:p w14:paraId="7B10F0F0"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53F82F68"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1. ¿Los operadores están obligados a facturar electrónicamente?</w:t>
      </w:r>
    </w:p>
    <w:p w14:paraId="733F8B4F"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2. ¿El documento equivalente, para reporte diario de ingresos sigue vigente?</w:t>
      </w:r>
    </w:p>
    <w:p w14:paraId="67D0506E"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3. En caso de estar obligados a facturar electrónicamente, ¿a quién se le emitiría la factura, cómo sería el reporte?</w:t>
      </w:r>
    </w:p>
    <w:p w14:paraId="3DAA7A2E"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501E17F8"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Al respecto, este despacho precisa lo siguiente:</w:t>
      </w:r>
    </w:p>
    <w:p w14:paraId="2D8A5618"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lastRenderedPageBreak/>
        <w:t> </w:t>
      </w:r>
    </w:p>
    <w:p w14:paraId="2F1597C2"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En relación con la obligación de expedir factura electrónica de venta como se precisó en el Oficio 901634 de mayo de 2020:</w:t>
      </w:r>
    </w:p>
    <w:p w14:paraId="6A6BBA6D"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41DBD658"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 xml:space="preserve">“(…) los sistemas de facturación vigentes son: i) factura de venta y </w:t>
      </w:r>
      <w:proofErr w:type="spellStart"/>
      <w:r w:rsidRPr="00766683">
        <w:rPr>
          <w:rFonts w:ascii="Times New Roman" w:eastAsia="Times New Roman" w:hAnsi="Times New Roman" w:cs="Times New Roman"/>
          <w:i/>
          <w:iCs/>
          <w:color w:val="000000"/>
          <w:kern w:val="0"/>
          <w:lang w:val="es-CO" w:eastAsia="es-419"/>
          <w14:ligatures w14:val="none"/>
        </w:rPr>
        <w:t>ii</w:t>
      </w:r>
      <w:proofErr w:type="spellEnd"/>
      <w:r w:rsidRPr="00766683">
        <w:rPr>
          <w:rFonts w:ascii="Times New Roman" w:eastAsia="Times New Roman" w:hAnsi="Times New Roman" w:cs="Times New Roman"/>
          <w:i/>
          <w:iCs/>
          <w:color w:val="000000"/>
          <w:kern w:val="0"/>
          <w:lang w:val="es-CO" w:eastAsia="es-419"/>
          <w14:ligatures w14:val="none"/>
        </w:rPr>
        <w:t>) documentos equivalentes, así lo dispone el artículo 616-1 del Estatuto Tributario, precisando que se considera factura de venta para todos los efectos, la factura de talonario o de papel y la factura electrónica. Igualmente, se informa que el Gobierno nacional reglamentó los mencionados sistemas en el Decreto 358 de 2020, el cual sustituyó el Título IV del Decreto 1625 de 2016, en cuyo artículo 1.6.1.4.6. se listan los documentos equivalentes vigentes.</w:t>
      </w:r>
    </w:p>
    <w:p w14:paraId="29BAB347"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7A7C854E"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i/>
          <w:iCs/>
          <w:color w:val="000000"/>
          <w:kern w:val="0"/>
          <w:lang w:val="es-CO" w:eastAsia="es-419"/>
          <w14:ligatures w14:val="none"/>
        </w:rPr>
        <w:t>Se tiene entonces, que la factura electrónica de venta es el medio preferente de expedición de la factura de venta y todos los sujetos obligados a facturar que no tengan dentro de la legislación vigente un documento equivalente, deberán implementarla.</w:t>
      </w:r>
      <w:r w:rsidRPr="00766683">
        <w:rPr>
          <w:rFonts w:ascii="Times New Roman" w:eastAsia="Times New Roman" w:hAnsi="Times New Roman" w:cs="Times New Roman"/>
          <w:i/>
          <w:iCs/>
          <w:color w:val="000000"/>
          <w:kern w:val="0"/>
          <w:lang w:val="es-CO" w:eastAsia="es-419"/>
          <w14:ligatures w14:val="none"/>
        </w:rPr>
        <w:t>(…).” </w:t>
      </w:r>
      <w:r w:rsidRPr="00766683">
        <w:rPr>
          <w:rFonts w:ascii="Times New Roman" w:eastAsia="Times New Roman" w:hAnsi="Times New Roman" w:cs="Times New Roman"/>
          <w:color w:val="000000"/>
          <w:kern w:val="0"/>
          <w:lang w:val="es-CO" w:eastAsia="es-419"/>
          <w14:ligatures w14:val="none"/>
        </w:rPr>
        <w:t>(Resaltado fuera de texto).</w:t>
      </w:r>
    </w:p>
    <w:p w14:paraId="1612EB5D"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6EDC0328"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Ahora bien, de conformidad con el artículo 1.6.1.4.6. de Decreto Único Reglamentario 1625 de 2016, con las modificaciones introducidas por el Decreto 358 de 2020, y el artículo 13 de la Resolución 000042 de 2020, </w:t>
      </w:r>
      <w:r w:rsidRPr="00766683">
        <w:rPr>
          <w:rFonts w:ascii="Times New Roman" w:eastAsia="Times New Roman" w:hAnsi="Times New Roman" w:cs="Times New Roman"/>
          <w:b/>
          <w:bCs/>
          <w:color w:val="000000"/>
          <w:kern w:val="0"/>
          <w:lang w:val="es-CO" w:eastAsia="es-419"/>
          <w14:ligatures w14:val="none"/>
        </w:rPr>
        <w:t>los documentos allí establecidos son los que actualmente se consideran como documentos equivalentes a la factura de venta debiendo cumplir con los requisitos señalados en las nuevas disposiciones</w:t>
      </w:r>
      <w:r w:rsidRPr="00766683">
        <w:rPr>
          <w:rFonts w:ascii="Times New Roman" w:eastAsia="Times New Roman" w:hAnsi="Times New Roman" w:cs="Times New Roman"/>
          <w:color w:val="000000"/>
          <w:kern w:val="0"/>
          <w:lang w:val="es-CO" w:eastAsia="es-419"/>
          <w14:ligatures w14:val="none"/>
        </w:rPr>
        <w:t>.</w:t>
      </w:r>
    </w:p>
    <w:p w14:paraId="09721477"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7887C150"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Respecto al documento equivalente para los operadores de juegos localizados, dichas normas establecen:</w:t>
      </w:r>
    </w:p>
    <w:p w14:paraId="0B102116"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04D208C3"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i/>
          <w:iCs/>
          <w:color w:val="000000"/>
          <w:kern w:val="0"/>
          <w:lang w:val="es-CO" w:eastAsia="es-419"/>
          <w14:ligatures w14:val="none"/>
        </w:rPr>
        <w:t>“Decreto 1625 de 2916 (sic).</w:t>
      </w:r>
    </w:p>
    <w:p w14:paraId="08A6C40F"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00BC352A"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i/>
          <w:iCs/>
          <w:color w:val="000000"/>
          <w:kern w:val="0"/>
          <w:lang w:val="es-CO" w:eastAsia="es-419"/>
          <w14:ligatures w14:val="none"/>
        </w:rPr>
        <w:t>Artículo 1.6.1.4.6. Documentos equivalentes a la factura de venta</w:t>
      </w:r>
      <w:r w:rsidRPr="00766683">
        <w:rPr>
          <w:rFonts w:ascii="Times New Roman" w:eastAsia="Times New Roman" w:hAnsi="Times New Roman" w:cs="Times New Roman"/>
          <w:i/>
          <w:iCs/>
          <w:color w:val="000000"/>
          <w:kern w:val="0"/>
          <w:lang w:val="es-CO" w:eastAsia="es-419"/>
          <w14:ligatures w14:val="none"/>
        </w:rPr>
        <w:t>. Son documentos equivalentes a la factura de venta los siguientes:</w:t>
      </w:r>
    </w:p>
    <w:p w14:paraId="4F504B32"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5661AD2F"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 </w:t>
      </w:r>
      <w:r w:rsidRPr="00766683">
        <w:rPr>
          <w:rFonts w:ascii="Times New Roman" w:eastAsia="Times New Roman" w:hAnsi="Times New Roman" w:cs="Times New Roman"/>
          <w:b/>
          <w:bCs/>
          <w:i/>
          <w:iCs/>
          <w:color w:val="000000"/>
          <w:kern w:val="0"/>
          <w:lang w:val="es-CO" w:eastAsia="es-419"/>
          <w14:ligatures w14:val="none"/>
        </w:rPr>
        <w:t>6. El documento en juegos localizados</w:t>
      </w:r>
      <w:r w:rsidRPr="00766683">
        <w:rPr>
          <w:rFonts w:ascii="Times New Roman" w:eastAsia="Times New Roman" w:hAnsi="Times New Roman" w:cs="Times New Roman"/>
          <w:i/>
          <w:iCs/>
          <w:color w:val="000000"/>
          <w:kern w:val="0"/>
          <w:lang w:val="es-CO" w:eastAsia="es-419"/>
          <w14:ligatures w14:val="none"/>
        </w:rPr>
        <w:t>. </w:t>
      </w:r>
      <w:r w:rsidRPr="00766683">
        <w:rPr>
          <w:rFonts w:ascii="Times New Roman" w:eastAsia="Times New Roman" w:hAnsi="Times New Roman" w:cs="Times New Roman"/>
          <w:i/>
          <w:iCs/>
          <w:color w:val="000000"/>
          <w:kern w:val="0"/>
          <w:u w:val="single"/>
          <w:lang w:val="es-CO" w:eastAsia="es-419"/>
          <w14:ligatures w14:val="none"/>
        </w:rPr>
        <w:t>El documento en juegos localizados lo podrán expedir los sujetos obligados a facturar</w:t>
      </w:r>
      <w:r w:rsidRPr="00766683">
        <w:rPr>
          <w:rFonts w:ascii="Times New Roman" w:eastAsia="Times New Roman" w:hAnsi="Times New Roman" w:cs="Times New Roman"/>
          <w:i/>
          <w:iCs/>
          <w:color w:val="000000"/>
          <w:kern w:val="0"/>
          <w:lang w:val="es-CO" w:eastAsia="es-419"/>
          <w14:ligatures w14:val="none"/>
        </w:rPr>
        <w:t> </w:t>
      </w:r>
      <w:r w:rsidRPr="00766683">
        <w:rPr>
          <w:rFonts w:ascii="Times New Roman" w:eastAsia="Times New Roman" w:hAnsi="Times New Roman" w:cs="Times New Roman"/>
          <w:b/>
          <w:bCs/>
          <w:i/>
          <w:iCs/>
          <w:color w:val="000000"/>
          <w:kern w:val="0"/>
          <w:lang w:val="es-CO" w:eastAsia="es-419"/>
          <w14:ligatures w14:val="none"/>
        </w:rPr>
        <w:t xml:space="preserve">por los ingresos que obtengan como operadores en los juegos localizados tales como máquinas tragamonedas, bingos, video-bingos, </w:t>
      </w:r>
      <w:proofErr w:type="spellStart"/>
      <w:r w:rsidRPr="00766683">
        <w:rPr>
          <w:rFonts w:ascii="Times New Roman" w:eastAsia="Times New Roman" w:hAnsi="Times New Roman" w:cs="Times New Roman"/>
          <w:b/>
          <w:bCs/>
          <w:i/>
          <w:iCs/>
          <w:color w:val="000000"/>
          <w:kern w:val="0"/>
          <w:lang w:val="es-CO" w:eastAsia="es-419"/>
          <w14:ligatures w14:val="none"/>
        </w:rPr>
        <w:t>esferódromos</w:t>
      </w:r>
      <w:proofErr w:type="spellEnd"/>
      <w:r w:rsidRPr="00766683">
        <w:rPr>
          <w:rFonts w:ascii="Times New Roman" w:eastAsia="Times New Roman" w:hAnsi="Times New Roman" w:cs="Times New Roman"/>
          <w:b/>
          <w:bCs/>
          <w:i/>
          <w:iCs/>
          <w:color w:val="000000"/>
          <w:kern w:val="0"/>
          <w:lang w:val="es-CO" w:eastAsia="es-419"/>
          <w14:ligatures w14:val="none"/>
        </w:rPr>
        <w:t>, los operados en casino y similares</w:t>
      </w:r>
      <w:r w:rsidRPr="00766683">
        <w:rPr>
          <w:rFonts w:ascii="Times New Roman" w:eastAsia="Times New Roman" w:hAnsi="Times New Roman" w:cs="Times New Roman"/>
          <w:i/>
          <w:iCs/>
          <w:color w:val="000000"/>
          <w:kern w:val="0"/>
          <w:lang w:val="es-CO" w:eastAsia="es-419"/>
          <w14:ligatures w14:val="none"/>
        </w:rPr>
        <w:t>; (…)” (Subrayado y resaltado fuera de texto)</w:t>
      </w:r>
    </w:p>
    <w:p w14:paraId="7C3DB837"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66D11582"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i/>
          <w:iCs/>
          <w:color w:val="000000"/>
          <w:kern w:val="0"/>
          <w:lang w:val="es-CO" w:eastAsia="es-419"/>
          <w14:ligatures w14:val="none"/>
        </w:rPr>
        <w:t>“Resolución 000042 de 2020.</w:t>
      </w:r>
    </w:p>
    <w:p w14:paraId="7E32FC0E"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04FCB181"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i/>
          <w:iCs/>
          <w:color w:val="000000"/>
          <w:kern w:val="0"/>
          <w:lang w:val="es-CO" w:eastAsia="es-419"/>
          <w14:ligatures w14:val="none"/>
        </w:rPr>
        <w:t>“ARTÍCULO 13. Documentos equivalentes a la factura de venta y sus requisitos. </w:t>
      </w:r>
      <w:r w:rsidRPr="00766683">
        <w:rPr>
          <w:rFonts w:ascii="Times New Roman" w:eastAsia="Times New Roman" w:hAnsi="Times New Roman" w:cs="Times New Roman"/>
          <w:i/>
          <w:iCs/>
          <w:color w:val="000000"/>
          <w:kern w:val="0"/>
          <w:u w:val="single"/>
          <w:lang w:val="es-CO" w:eastAsia="es-419"/>
          <w14:ligatures w14:val="none"/>
        </w:rPr>
        <w:t>Los documentos equivalentes a la factura de</w:t>
      </w:r>
      <w:r w:rsidRPr="00766683">
        <w:rPr>
          <w:rFonts w:ascii="Times New Roman" w:eastAsia="Times New Roman" w:hAnsi="Times New Roman" w:cs="Times New Roman"/>
          <w:i/>
          <w:iCs/>
          <w:color w:val="000000"/>
          <w:kern w:val="0"/>
          <w:lang w:val="es-CO" w:eastAsia="es-419"/>
          <w14:ligatures w14:val="none"/>
        </w:rPr>
        <w:t> venta establecidos en el artículo 1.6.1.4.6. del Decreto 1625 de 2016, Único Reglamentario en Materia Tributaria </w:t>
      </w:r>
      <w:r w:rsidRPr="00766683">
        <w:rPr>
          <w:rFonts w:ascii="Times New Roman" w:eastAsia="Times New Roman" w:hAnsi="Times New Roman" w:cs="Times New Roman"/>
          <w:i/>
          <w:iCs/>
          <w:color w:val="000000"/>
          <w:kern w:val="0"/>
          <w:u w:val="single"/>
          <w:lang w:val="es-CO" w:eastAsia="es-419"/>
          <w14:ligatures w14:val="none"/>
        </w:rPr>
        <w:t>deberán expedirse con el cumplimiento de los requisitos de los literales b), d), e) y g) del artículo 617 del Estatuto Tributario </w:t>
      </w:r>
      <w:r w:rsidRPr="00766683">
        <w:rPr>
          <w:rFonts w:ascii="Times New Roman" w:eastAsia="Times New Roman" w:hAnsi="Times New Roman" w:cs="Times New Roman"/>
          <w:b/>
          <w:bCs/>
          <w:i/>
          <w:iCs/>
          <w:color w:val="000000"/>
          <w:kern w:val="0"/>
          <w:u w:val="single"/>
          <w:lang w:val="es-CO" w:eastAsia="es-419"/>
          <w14:ligatures w14:val="none"/>
        </w:rPr>
        <w:t>y de conformidad con los siguientes requisitos para cada uno de los documentos en desarrollo de la facultad dispuesta en el parágrafo 2 del artículo 616-1 del mismo Estatuto</w:t>
      </w:r>
      <w:r w:rsidRPr="00766683">
        <w:rPr>
          <w:rFonts w:ascii="Times New Roman" w:eastAsia="Times New Roman" w:hAnsi="Times New Roman" w:cs="Times New Roman"/>
          <w:i/>
          <w:iCs/>
          <w:color w:val="000000"/>
          <w:kern w:val="0"/>
          <w:lang w:val="es-CO" w:eastAsia="es-419"/>
          <w14:ligatures w14:val="none"/>
        </w:rPr>
        <w:t>, así:</w:t>
      </w:r>
    </w:p>
    <w:p w14:paraId="6D32649F"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414B21E5"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i/>
          <w:iCs/>
          <w:color w:val="000000"/>
          <w:kern w:val="0"/>
          <w:lang w:val="es-CO" w:eastAsia="es-419"/>
          <w14:ligatures w14:val="none"/>
        </w:rPr>
        <w:t>“</w:t>
      </w:r>
      <w:r w:rsidRPr="00766683">
        <w:rPr>
          <w:rFonts w:ascii="Times New Roman" w:eastAsia="Times New Roman" w:hAnsi="Times New Roman" w:cs="Times New Roman"/>
          <w:i/>
          <w:iCs/>
          <w:color w:val="000000"/>
          <w:kern w:val="0"/>
          <w:lang w:val="es-CO" w:eastAsia="es-419"/>
          <w14:ligatures w14:val="none"/>
        </w:rPr>
        <w:t>(…) </w:t>
      </w:r>
      <w:r w:rsidRPr="00766683">
        <w:rPr>
          <w:rFonts w:ascii="Times New Roman" w:eastAsia="Times New Roman" w:hAnsi="Times New Roman" w:cs="Times New Roman"/>
          <w:b/>
          <w:bCs/>
          <w:i/>
          <w:iCs/>
          <w:color w:val="000000"/>
          <w:kern w:val="0"/>
          <w:lang w:val="es-CO" w:eastAsia="es-419"/>
          <w14:ligatures w14:val="none"/>
        </w:rPr>
        <w:t>6. El documento en juegos localizados. </w:t>
      </w:r>
      <w:r w:rsidRPr="00766683">
        <w:rPr>
          <w:rFonts w:ascii="Times New Roman" w:eastAsia="Times New Roman" w:hAnsi="Times New Roman" w:cs="Times New Roman"/>
          <w:i/>
          <w:iCs/>
          <w:color w:val="000000"/>
          <w:kern w:val="0"/>
          <w:lang w:val="es-CO" w:eastAsia="es-419"/>
          <w14:ligatures w14:val="none"/>
        </w:rPr>
        <w:t xml:space="preserve">El documento en juegos localizados lo podrán expedir los sujetos obligados a facturar por los ingresos que obtengan como operadores en los juegos localizados tales como máquinas tragamonedas, bingos, video-bingos, </w:t>
      </w:r>
      <w:proofErr w:type="spellStart"/>
      <w:r w:rsidRPr="00766683">
        <w:rPr>
          <w:rFonts w:ascii="Times New Roman" w:eastAsia="Times New Roman" w:hAnsi="Times New Roman" w:cs="Times New Roman"/>
          <w:i/>
          <w:iCs/>
          <w:color w:val="000000"/>
          <w:kern w:val="0"/>
          <w:lang w:val="es-CO" w:eastAsia="es-419"/>
          <w14:ligatures w14:val="none"/>
        </w:rPr>
        <w:t>esferódromos</w:t>
      </w:r>
      <w:proofErr w:type="spellEnd"/>
      <w:r w:rsidRPr="00766683">
        <w:rPr>
          <w:rFonts w:ascii="Times New Roman" w:eastAsia="Times New Roman" w:hAnsi="Times New Roman" w:cs="Times New Roman"/>
          <w:i/>
          <w:iCs/>
          <w:color w:val="000000"/>
          <w:kern w:val="0"/>
          <w:lang w:val="es-CO" w:eastAsia="es-419"/>
          <w14:ligatures w14:val="none"/>
        </w:rPr>
        <w:t>, los operados en casino y similares; cumpliendo con los siguientes requisitos:</w:t>
      </w:r>
    </w:p>
    <w:p w14:paraId="7A602B06"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565F8767"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a). </w:t>
      </w:r>
      <w:r w:rsidRPr="00766683">
        <w:rPr>
          <w:rFonts w:ascii="Times New Roman" w:eastAsia="Times New Roman" w:hAnsi="Times New Roman" w:cs="Times New Roman"/>
          <w:i/>
          <w:iCs/>
          <w:color w:val="000000"/>
          <w:kern w:val="0"/>
          <w:u w:val="single"/>
          <w:lang w:val="es-CO" w:eastAsia="es-419"/>
          <w14:ligatures w14:val="none"/>
        </w:rPr>
        <w:t>Denominación expresa como documento en juegos localizados - relación diaria de control de ventas.</w:t>
      </w:r>
    </w:p>
    <w:p w14:paraId="29DA6EEF"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b). De conformidad con lo establecido en el literal b) del artículo 617 del Estatuto Tributario, deberán contener apellidos y nombre o razón social y Número de Identificación Tributaria (</w:t>
      </w:r>
      <w:proofErr w:type="spellStart"/>
      <w:r w:rsidRPr="00766683">
        <w:rPr>
          <w:rFonts w:ascii="Times New Roman" w:eastAsia="Times New Roman" w:hAnsi="Times New Roman" w:cs="Times New Roman"/>
          <w:i/>
          <w:iCs/>
          <w:color w:val="000000"/>
          <w:kern w:val="0"/>
          <w:lang w:val="es-CO" w:eastAsia="es-419"/>
          <w14:ligatures w14:val="none"/>
        </w:rPr>
        <w:t>NIT</w:t>
      </w:r>
      <w:proofErr w:type="spellEnd"/>
      <w:r w:rsidRPr="00766683">
        <w:rPr>
          <w:rFonts w:ascii="Times New Roman" w:eastAsia="Times New Roman" w:hAnsi="Times New Roman" w:cs="Times New Roman"/>
          <w:i/>
          <w:iCs/>
          <w:color w:val="000000"/>
          <w:kern w:val="0"/>
          <w:lang w:val="es-CO" w:eastAsia="es-419"/>
          <w14:ligatures w14:val="none"/>
        </w:rPr>
        <w:t>) de quien presta el servicio.</w:t>
      </w:r>
    </w:p>
    <w:p w14:paraId="3BDE8B9C"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c). De conformidad con lo establecido en el literal d) del artículo 617 del Estatuto Tributario, llevar un número que corresponda a un sistema interno de numeración consecutiva.</w:t>
      </w:r>
    </w:p>
    <w:p w14:paraId="639EAFC5"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d). De conformidad con lo establecido en el literal e) del artículo 617 del Estatuto Tributario, </w:t>
      </w:r>
      <w:r w:rsidRPr="00766683">
        <w:rPr>
          <w:rFonts w:ascii="Times New Roman" w:eastAsia="Times New Roman" w:hAnsi="Times New Roman" w:cs="Times New Roman"/>
          <w:i/>
          <w:iCs/>
          <w:color w:val="000000"/>
          <w:kern w:val="0"/>
          <w:u w:val="single"/>
          <w:lang w:val="es-CO" w:eastAsia="es-419"/>
          <w14:ligatures w14:val="none"/>
        </w:rPr>
        <w:t>fecha y hora del documento en juegos localizados - relación diaria de control de ventas.</w:t>
      </w:r>
    </w:p>
    <w:p w14:paraId="59C9F913"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e). Número de instrumentos de juego y discriminación e identificación de cada una de las máquinas o juego.</w:t>
      </w:r>
    </w:p>
    <w:p w14:paraId="346525F2"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f). </w:t>
      </w:r>
      <w:r w:rsidRPr="00766683">
        <w:rPr>
          <w:rFonts w:ascii="Times New Roman" w:eastAsia="Times New Roman" w:hAnsi="Times New Roman" w:cs="Times New Roman"/>
          <w:i/>
          <w:iCs/>
          <w:color w:val="000000"/>
          <w:kern w:val="0"/>
          <w:u w:val="single"/>
          <w:lang w:val="es-CO" w:eastAsia="es-419"/>
          <w14:ligatures w14:val="none"/>
        </w:rPr>
        <w:t>Dirección en que se encuentra el establecimiento, en caso de ser virtual suministrar la dirección de internet y la dirección IP</w:t>
      </w:r>
      <w:r w:rsidRPr="00766683">
        <w:rPr>
          <w:rFonts w:ascii="Times New Roman" w:eastAsia="Times New Roman" w:hAnsi="Times New Roman" w:cs="Times New Roman"/>
          <w:i/>
          <w:iCs/>
          <w:color w:val="000000"/>
          <w:kern w:val="0"/>
          <w:lang w:val="es-CO" w:eastAsia="es-419"/>
          <w14:ligatures w14:val="none"/>
        </w:rPr>
        <w:t>.</w:t>
      </w:r>
    </w:p>
    <w:p w14:paraId="276D78CD"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g). Valor de la base o depósito en dinero y valor de lo pagado en cada una de las maquinas o juego.</w:t>
      </w:r>
    </w:p>
    <w:p w14:paraId="2DC019AE"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h). De conformidad con lo establecido en el literal g) del artículo 617 del Estatuto Tributario, valor diario por cada instrumento de juego y discriminación e identificación de cada una de las máquinas o juego.</w:t>
      </w:r>
    </w:p>
    <w:p w14:paraId="3DA5ED72"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i). Valor del Impuesto sobre las Ventas (IVA) en el último documento resumen en juegos localizados - relación diaria de control de ventas del período que se declara.</w:t>
      </w:r>
    </w:p>
    <w:p w14:paraId="219301F6" w14:textId="77777777" w:rsidR="00766683" w:rsidRPr="00766683" w:rsidRDefault="00766683" w:rsidP="00766683">
      <w:pPr>
        <w:shd w:val="clear" w:color="auto" w:fill="FFFFFF"/>
        <w:spacing w:after="150" w:line="240" w:lineRule="auto"/>
        <w:ind w:left="285"/>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i/>
          <w:iCs/>
          <w:color w:val="000000"/>
          <w:kern w:val="0"/>
          <w:lang w:val="es-CO" w:eastAsia="es-419"/>
          <w14:ligatures w14:val="none"/>
        </w:rPr>
        <w:t>j). Apellidos y nombre o razón social y Número de Identificación Tributaria (</w:t>
      </w:r>
      <w:proofErr w:type="spellStart"/>
      <w:r w:rsidRPr="00766683">
        <w:rPr>
          <w:rFonts w:ascii="Times New Roman" w:eastAsia="Times New Roman" w:hAnsi="Times New Roman" w:cs="Times New Roman"/>
          <w:i/>
          <w:iCs/>
          <w:color w:val="000000"/>
          <w:kern w:val="0"/>
          <w:lang w:val="es-CO" w:eastAsia="es-419"/>
          <w14:ligatures w14:val="none"/>
        </w:rPr>
        <w:t>NIT</w:t>
      </w:r>
      <w:proofErr w:type="spellEnd"/>
      <w:r w:rsidRPr="00766683">
        <w:rPr>
          <w:rFonts w:ascii="Times New Roman" w:eastAsia="Times New Roman" w:hAnsi="Times New Roman" w:cs="Times New Roman"/>
          <w:i/>
          <w:iCs/>
          <w:color w:val="000000"/>
          <w:kern w:val="0"/>
          <w:lang w:val="es-CO" w:eastAsia="es-419"/>
          <w14:ligatures w14:val="none"/>
        </w:rPr>
        <w:t>), del fabricante del software y el nombre del software, para los casos en que el documento equivalente se genere y expida a través de un sistema informático.” (Subrayado fuera de texto)</w:t>
      </w:r>
    </w:p>
    <w:p w14:paraId="1FBF0227"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7DC24617"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En este sentido, de acuerdo con la normatividad vigente, el </w:t>
      </w:r>
      <w:r w:rsidRPr="00766683">
        <w:rPr>
          <w:rFonts w:ascii="Times New Roman" w:eastAsia="Times New Roman" w:hAnsi="Times New Roman" w:cs="Times New Roman"/>
          <w:i/>
          <w:iCs/>
          <w:color w:val="000000"/>
          <w:kern w:val="0"/>
          <w:lang w:val="es-CO" w:eastAsia="es-419"/>
          <w14:ligatures w14:val="none"/>
        </w:rPr>
        <w:t>“Documento en juegos localizados” </w:t>
      </w:r>
      <w:r w:rsidRPr="00766683">
        <w:rPr>
          <w:rFonts w:ascii="Times New Roman" w:eastAsia="Times New Roman" w:hAnsi="Times New Roman" w:cs="Times New Roman"/>
          <w:color w:val="000000"/>
          <w:kern w:val="0"/>
          <w:lang w:val="es-CO" w:eastAsia="es-419"/>
          <w14:ligatures w14:val="none"/>
        </w:rPr>
        <w:t xml:space="preserve">con los requisitos que señala la norma en cita, se considera documento equivalente a la factura, razón por la cual su correcta expedición suple la obligación de expedir factura de venta. Este documento debe quedar en el establecimiento de comercio a disposición de la DIAN. Una vez la entidad fije las condiciones técnicas y tecnológicas el mismo deberá ser transmitido electrónicamente, según dispone el parágrafo del artículo 1.6.1.4.14 del Decreto 1625 de 2016 en armonía con el parágrafo 2 del artículo 13 de la </w:t>
      </w:r>
      <w:proofErr w:type="spellStart"/>
      <w:r w:rsidRPr="00766683">
        <w:rPr>
          <w:rFonts w:ascii="Times New Roman" w:eastAsia="Times New Roman" w:hAnsi="Times New Roman" w:cs="Times New Roman"/>
          <w:color w:val="000000"/>
          <w:kern w:val="0"/>
          <w:lang w:val="es-CO" w:eastAsia="es-419"/>
          <w14:ligatures w14:val="none"/>
        </w:rPr>
        <w:t>Resolción</w:t>
      </w:r>
      <w:proofErr w:type="spellEnd"/>
      <w:r w:rsidRPr="00766683">
        <w:rPr>
          <w:rFonts w:ascii="Times New Roman" w:eastAsia="Times New Roman" w:hAnsi="Times New Roman" w:cs="Times New Roman"/>
          <w:color w:val="000000"/>
          <w:kern w:val="0"/>
          <w:lang w:val="es-CO" w:eastAsia="es-419"/>
          <w14:ligatures w14:val="none"/>
        </w:rPr>
        <w:t xml:space="preserve"> (sic) 000042 de 2020.</w:t>
      </w:r>
    </w:p>
    <w:p w14:paraId="2107DBD7"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458987C5"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Téngase en cuenta que todos los documentos equivalentes a la factura de venta podrán ser electrónicos una vez entre en vigor el documento equivalente electrónico, tal como lo dispone el numeral 13 del artículo 13 de la Resolución 000042 de 2020.</w:t>
      </w:r>
    </w:p>
    <w:p w14:paraId="482A610A"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1CD9999F"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En todo caso, </w:t>
      </w:r>
      <w:r w:rsidRPr="00766683">
        <w:rPr>
          <w:rFonts w:ascii="Times New Roman" w:eastAsia="Times New Roman" w:hAnsi="Times New Roman" w:cs="Times New Roman"/>
          <w:b/>
          <w:bCs/>
          <w:color w:val="000000"/>
          <w:kern w:val="0"/>
          <w:lang w:val="es-CO" w:eastAsia="es-419"/>
          <w14:ligatures w14:val="none"/>
        </w:rPr>
        <w:t>el obligado a facturar, debe expedir factura electrónica de venta cuando se trate de operaciones diferentes a las que se encuentran cubiertas, en este caso, por el “documento en juegos localizados”, según se desprende del artículo 10 de la Resolución 00042 de 2020. </w:t>
      </w:r>
      <w:r w:rsidRPr="00766683">
        <w:rPr>
          <w:rFonts w:ascii="Times New Roman" w:eastAsia="Times New Roman" w:hAnsi="Times New Roman" w:cs="Times New Roman"/>
          <w:color w:val="000000"/>
          <w:kern w:val="0"/>
          <w:lang w:val="es-CO" w:eastAsia="es-419"/>
          <w14:ligatures w14:val="none"/>
        </w:rPr>
        <w:t>Para tal efecto el obligado a facturar electrónicamente debe atender al calendario de implementación previsto en el artículo 20 de la misma resolución y las que la modifican o adicionan.</w:t>
      </w:r>
    </w:p>
    <w:p w14:paraId="62E72C32"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59976649"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5" w:history="1">
        <w:r w:rsidRPr="00766683">
          <w:rPr>
            <w:rFonts w:ascii="Times New Roman" w:eastAsia="Times New Roman" w:hAnsi="Times New Roman" w:cs="Times New Roman"/>
            <w:color w:val="0563C1"/>
            <w:kern w:val="0"/>
            <w:u w:val="single"/>
            <w:lang w:val="es-CO" w:eastAsia="es-419"/>
            <w14:ligatures w14:val="none"/>
          </w:rPr>
          <w:t>www.dian.gov.co</w:t>
        </w:r>
      </w:hyperlink>
      <w:r w:rsidRPr="00766683">
        <w:rPr>
          <w:rFonts w:ascii="Times New Roman" w:eastAsia="Times New Roman" w:hAnsi="Times New Roman" w:cs="Times New Roman"/>
          <w:color w:val="000000"/>
          <w:kern w:val="0"/>
          <w:lang w:val="es-CO" w:eastAsia="es-419"/>
          <w14:ligatures w14:val="none"/>
        </w:rPr>
        <w:t xml:space="preserve">, la base de conceptos en materia tributaria, aduanera y cambiaria expedidos desde el año 2001, la cual se puede ingresar por el ícono de “Normatividad”–“Doctrina”–, dando </w:t>
      </w:r>
      <w:proofErr w:type="spellStart"/>
      <w:r w:rsidRPr="00766683">
        <w:rPr>
          <w:rFonts w:ascii="Times New Roman" w:eastAsia="Times New Roman" w:hAnsi="Times New Roman" w:cs="Times New Roman"/>
          <w:color w:val="000000"/>
          <w:kern w:val="0"/>
          <w:lang w:val="es-CO" w:eastAsia="es-419"/>
          <w14:ligatures w14:val="none"/>
        </w:rPr>
        <w:t>click</w:t>
      </w:r>
      <w:proofErr w:type="spellEnd"/>
      <w:r w:rsidRPr="00766683">
        <w:rPr>
          <w:rFonts w:ascii="Times New Roman" w:eastAsia="Times New Roman" w:hAnsi="Times New Roman" w:cs="Times New Roman"/>
          <w:color w:val="000000"/>
          <w:kern w:val="0"/>
          <w:lang w:val="es-CO" w:eastAsia="es-419"/>
          <w14:ligatures w14:val="none"/>
        </w:rPr>
        <w:t xml:space="preserve"> en el link “Doctrina Dirección de Gestión Jurídica”.</w:t>
      </w:r>
    </w:p>
    <w:p w14:paraId="203BDC7B"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33862BFB"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Atentamente,</w:t>
      </w:r>
    </w:p>
    <w:p w14:paraId="3D521918"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1199908D"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555555"/>
          <w:kern w:val="0"/>
          <w:lang w:eastAsia="es-419"/>
          <w14:ligatures w14:val="none"/>
        </w:rPr>
        <w:t> </w:t>
      </w:r>
    </w:p>
    <w:p w14:paraId="4B4B3B1A"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b/>
          <w:bCs/>
          <w:color w:val="000000"/>
          <w:kern w:val="0"/>
          <w:lang w:val="es-CO" w:eastAsia="es-419"/>
          <w14:ligatures w14:val="none"/>
        </w:rPr>
        <w:t>PABLO EMILIO MENDOZA VELILLA</w:t>
      </w:r>
    </w:p>
    <w:p w14:paraId="20273208"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Subdirector de Gestión Normativa y Doctrina</w:t>
      </w:r>
    </w:p>
    <w:p w14:paraId="1AB731BA" w14:textId="77777777" w:rsidR="00766683" w:rsidRPr="00766683" w:rsidRDefault="00766683" w:rsidP="00766683">
      <w:pPr>
        <w:shd w:val="clear" w:color="auto" w:fill="FFFFFF"/>
        <w:spacing w:after="150" w:line="240" w:lineRule="auto"/>
        <w:rPr>
          <w:rFonts w:ascii="Times New Roman" w:eastAsia="Times New Roman" w:hAnsi="Times New Roman" w:cs="Times New Roman"/>
          <w:color w:val="555555"/>
          <w:kern w:val="0"/>
          <w:lang w:eastAsia="es-419"/>
          <w14:ligatures w14:val="none"/>
        </w:rPr>
      </w:pPr>
      <w:r w:rsidRPr="00766683">
        <w:rPr>
          <w:rFonts w:ascii="Times New Roman" w:eastAsia="Times New Roman" w:hAnsi="Times New Roman" w:cs="Times New Roman"/>
          <w:color w:val="000000"/>
          <w:kern w:val="0"/>
          <w:lang w:val="es-CO" w:eastAsia="es-419"/>
          <w14:ligatures w14:val="none"/>
        </w:rPr>
        <w:t>Dirección de Gestión Jurídica</w:t>
      </w:r>
    </w:p>
    <w:p w14:paraId="00FB77BA" w14:textId="77777777" w:rsidR="00766683" w:rsidRPr="00766683" w:rsidRDefault="00766683" w:rsidP="00766683">
      <w:pPr>
        <w:shd w:val="clear" w:color="auto" w:fill="FFFFFF"/>
        <w:spacing w:line="240" w:lineRule="auto"/>
        <w:rPr>
          <w:rFonts w:ascii="Times New Roman" w:eastAsia="Times New Roman" w:hAnsi="Times New Roman" w:cs="Times New Roman"/>
          <w:color w:val="555555"/>
          <w:kern w:val="0"/>
          <w:lang w:eastAsia="es-419"/>
          <w14:ligatures w14:val="none"/>
        </w:rPr>
      </w:pPr>
      <w:proofErr w:type="spellStart"/>
      <w:r w:rsidRPr="00766683">
        <w:rPr>
          <w:rFonts w:ascii="Times New Roman" w:eastAsia="Times New Roman" w:hAnsi="Times New Roman" w:cs="Times New Roman"/>
          <w:color w:val="000000"/>
          <w:kern w:val="0"/>
          <w:lang w:val="es-CO" w:eastAsia="es-419"/>
          <w14:ligatures w14:val="none"/>
        </w:rPr>
        <w:t>UAE</w:t>
      </w:r>
      <w:proofErr w:type="spellEnd"/>
      <w:r w:rsidRPr="00766683">
        <w:rPr>
          <w:rFonts w:ascii="Times New Roman" w:eastAsia="Times New Roman" w:hAnsi="Times New Roman" w:cs="Times New Roman"/>
          <w:color w:val="000000"/>
          <w:kern w:val="0"/>
          <w:lang w:val="es-CO" w:eastAsia="es-419"/>
          <w14:ligatures w14:val="none"/>
        </w:rPr>
        <w:t>-DIAN</w:t>
      </w:r>
    </w:p>
    <w:p w14:paraId="3DC810C4" w14:textId="77777777" w:rsidR="002F3F02" w:rsidRPr="00766683" w:rsidRDefault="002F3F02" w:rsidP="00766683">
      <w:pPr>
        <w:rPr>
          <w:rFonts w:ascii="Times New Roman" w:hAnsi="Times New Roman" w:cs="Times New Roman"/>
        </w:rPr>
      </w:pPr>
    </w:p>
    <w:sectPr w:rsidR="002F3F02" w:rsidRPr="00766683"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83"/>
    <w:rsid w:val="002F3F02"/>
    <w:rsid w:val="004A489D"/>
    <w:rsid w:val="004F1D2E"/>
    <w:rsid w:val="005173B2"/>
    <w:rsid w:val="005B14BF"/>
    <w:rsid w:val="00766683"/>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17E2"/>
  <w15:chartTrackingRefBased/>
  <w15:docId w15:val="{D8293426-FDC2-435B-8E3F-E45EF81D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1250</Words>
  <Characters>6879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Lopez</dc:creator>
  <cp:keywords/>
  <dc:description/>
  <cp:lastModifiedBy>Diana Alexandra Orozco Lopez</cp:lastModifiedBy>
  <cp:revision>1</cp:revision>
  <dcterms:created xsi:type="dcterms:W3CDTF">2023-11-11T23:58:00Z</dcterms:created>
  <dcterms:modified xsi:type="dcterms:W3CDTF">2023-11-12T00:34:00Z</dcterms:modified>
</cp:coreProperties>
</file>