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93B4" w14:textId="77777777" w:rsidR="00B52694" w:rsidRPr="00B52694" w:rsidRDefault="00B52694" w:rsidP="00B52694">
      <w:pPr>
        <w:shd w:val="clear" w:color="auto" w:fill="FFFFFF"/>
        <w:spacing w:after="150" w:line="360" w:lineRule="auto"/>
        <w:jc w:val="center"/>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 xml:space="preserve">CONCEPTO </w:t>
      </w:r>
      <w:proofErr w:type="spellStart"/>
      <w:r w:rsidRPr="00B52694">
        <w:rPr>
          <w:rFonts w:eastAsia="Times New Roman" w:cs="Times New Roman"/>
          <w:b/>
          <w:bCs/>
          <w:kern w:val="0"/>
          <w:szCs w:val="24"/>
          <w:lang w:eastAsia="es-CO"/>
          <w14:ligatures w14:val="none"/>
        </w:rPr>
        <w:t>Nº</w:t>
      </w:r>
      <w:proofErr w:type="spellEnd"/>
      <w:r w:rsidRPr="00B52694">
        <w:rPr>
          <w:rFonts w:eastAsia="Times New Roman" w:cs="Times New Roman"/>
          <w:b/>
          <w:bCs/>
          <w:kern w:val="0"/>
          <w:szCs w:val="24"/>
          <w:lang w:eastAsia="es-CO"/>
          <w14:ligatures w14:val="none"/>
        </w:rPr>
        <w:t xml:space="preserve"> 973 [015007]</w:t>
      </w:r>
    </w:p>
    <w:p w14:paraId="6AD94E02" w14:textId="77777777" w:rsidR="00B52694" w:rsidRPr="00B52694" w:rsidRDefault="00B52694" w:rsidP="00B52694">
      <w:pPr>
        <w:shd w:val="clear" w:color="auto" w:fill="FFFFFF"/>
        <w:spacing w:after="150" w:line="360" w:lineRule="auto"/>
        <w:jc w:val="center"/>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13-09-2023</w:t>
      </w:r>
    </w:p>
    <w:p w14:paraId="2D92990A" w14:textId="77777777" w:rsidR="00B52694" w:rsidRPr="00B52694" w:rsidRDefault="00B52694" w:rsidP="00B52694">
      <w:pPr>
        <w:shd w:val="clear" w:color="auto" w:fill="FFFFFF"/>
        <w:spacing w:after="150" w:line="360" w:lineRule="auto"/>
        <w:jc w:val="center"/>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DIAN</w:t>
      </w:r>
    </w:p>
    <w:p w14:paraId="6C05E747"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3986760B"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766B6985"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100208192-973</w:t>
      </w:r>
    </w:p>
    <w:p w14:paraId="11BC183E"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Bogotá, D.C.</w:t>
      </w:r>
    </w:p>
    <w:p w14:paraId="77FABEFD"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697DE027"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Señores</w:t>
      </w:r>
    </w:p>
    <w:p w14:paraId="1D0D15E8"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CONTRIBUYENTES</w:t>
      </w:r>
    </w:p>
    <w:p w14:paraId="1A0E21AD"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juridicanormativa@dian.gov.co</w:t>
      </w:r>
    </w:p>
    <w:p w14:paraId="2B2EACC3"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38A6702F"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Ref.:</w:t>
      </w:r>
      <w:r w:rsidRPr="00B52694">
        <w:rPr>
          <w:rFonts w:eastAsia="Times New Roman" w:cs="Times New Roman"/>
          <w:kern w:val="0"/>
          <w:szCs w:val="24"/>
          <w:lang w:eastAsia="es-CO"/>
          <w14:ligatures w14:val="none"/>
        </w:rPr>
        <w:t> Adición al Concepto General sobre el impuesto sobre la renta a cargo de las personas naturales con motivo de la Ley 2277 de 2022</w:t>
      </w:r>
    </w:p>
    <w:p w14:paraId="642A8F84"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3"/>
        <w:gridCol w:w="4986"/>
      </w:tblGrid>
      <w:tr w:rsidR="00B52694" w:rsidRPr="00B52694" w14:paraId="2E05752C" w14:textId="77777777" w:rsidTr="00B52694">
        <w:tc>
          <w:tcPr>
            <w:tcW w:w="0" w:type="auto"/>
            <w:shd w:val="clear" w:color="auto" w:fill="FFFFFF"/>
            <w:tcMar>
              <w:top w:w="0" w:type="dxa"/>
              <w:left w:w="0" w:type="dxa"/>
              <w:bottom w:w="0" w:type="dxa"/>
              <w:right w:w="0" w:type="dxa"/>
            </w:tcMar>
            <w:hideMark/>
          </w:tcPr>
          <w:p w14:paraId="4FD0AFFE" w14:textId="77777777" w:rsidR="00B52694" w:rsidRPr="00B52694" w:rsidRDefault="00B52694" w:rsidP="00B52694">
            <w:pPr>
              <w:spacing w:after="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Tema:</w:t>
            </w:r>
          </w:p>
        </w:tc>
        <w:tc>
          <w:tcPr>
            <w:tcW w:w="0" w:type="auto"/>
            <w:shd w:val="clear" w:color="auto" w:fill="FFFFFF"/>
            <w:tcMar>
              <w:top w:w="0" w:type="dxa"/>
              <w:left w:w="0" w:type="dxa"/>
              <w:bottom w:w="0" w:type="dxa"/>
              <w:right w:w="0" w:type="dxa"/>
            </w:tcMar>
            <w:hideMark/>
          </w:tcPr>
          <w:p w14:paraId="13FC727A" w14:textId="77777777" w:rsidR="00B52694" w:rsidRPr="00B52694" w:rsidRDefault="00B52694" w:rsidP="00B52694">
            <w:pPr>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Impuesto sobre la renta y complementarios</w:t>
            </w:r>
          </w:p>
          <w:p w14:paraId="56C06592" w14:textId="77777777" w:rsidR="00B52694" w:rsidRPr="00B52694" w:rsidRDefault="00B52694" w:rsidP="00B52694">
            <w:pPr>
              <w:spacing w:after="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Retención en la fuente</w:t>
            </w:r>
          </w:p>
        </w:tc>
      </w:tr>
      <w:tr w:rsidR="00B52694" w:rsidRPr="00B52694" w14:paraId="1BB13A26" w14:textId="77777777" w:rsidTr="00B52694">
        <w:tc>
          <w:tcPr>
            <w:tcW w:w="0" w:type="auto"/>
            <w:shd w:val="clear" w:color="auto" w:fill="FFFFFF"/>
            <w:tcMar>
              <w:top w:w="0" w:type="dxa"/>
              <w:left w:w="0" w:type="dxa"/>
              <w:bottom w:w="0" w:type="dxa"/>
              <w:right w:w="0" w:type="dxa"/>
            </w:tcMar>
            <w:hideMark/>
          </w:tcPr>
          <w:p w14:paraId="226CD860" w14:textId="77777777" w:rsidR="00B52694" w:rsidRPr="00B52694" w:rsidRDefault="00B52694" w:rsidP="00B52694">
            <w:pPr>
              <w:spacing w:after="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Descriptores:</w:t>
            </w:r>
          </w:p>
        </w:tc>
        <w:tc>
          <w:tcPr>
            <w:tcW w:w="0" w:type="auto"/>
            <w:shd w:val="clear" w:color="auto" w:fill="FFFFFF"/>
            <w:tcMar>
              <w:top w:w="0" w:type="dxa"/>
              <w:left w:w="0" w:type="dxa"/>
              <w:bottom w:w="0" w:type="dxa"/>
              <w:right w:w="0" w:type="dxa"/>
            </w:tcMar>
            <w:hideMark/>
          </w:tcPr>
          <w:p w14:paraId="44B5A7FA" w14:textId="77777777" w:rsidR="00B52694" w:rsidRPr="00B52694" w:rsidRDefault="00B52694" w:rsidP="00B52694">
            <w:pPr>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Deducciones</w:t>
            </w:r>
          </w:p>
          <w:p w14:paraId="07F9F824" w14:textId="77777777" w:rsidR="00B52694" w:rsidRPr="00B52694" w:rsidRDefault="00B52694" w:rsidP="00B52694">
            <w:pPr>
              <w:spacing w:after="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Determinación porcentaje fijo de retención</w:t>
            </w:r>
          </w:p>
        </w:tc>
      </w:tr>
      <w:tr w:rsidR="00B52694" w:rsidRPr="00B52694" w14:paraId="21C43868" w14:textId="77777777" w:rsidTr="00B52694">
        <w:tc>
          <w:tcPr>
            <w:tcW w:w="0" w:type="auto"/>
            <w:shd w:val="clear" w:color="auto" w:fill="FFFFFF"/>
            <w:tcMar>
              <w:top w:w="0" w:type="dxa"/>
              <w:left w:w="0" w:type="dxa"/>
              <w:bottom w:w="0" w:type="dxa"/>
              <w:right w:w="0" w:type="dxa"/>
            </w:tcMar>
            <w:hideMark/>
          </w:tcPr>
          <w:p w14:paraId="791078B3" w14:textId="77777777" w:rsidR="00B52694" w:rsidRPr="00B52694" w:rsidRDefault="00B52694" w:rsidP="00B52694">
            <w:pPr>
              <w:spacing w:after="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Fuentes formales:</w:t>
            </w:r>
          </w:p>
        </w:tc>
        <w:tc>
          <w:tcPr>
            <w:tcW w:w="0" w:type="auto"/>
            <w:shd w:val="clear" w:color="auto" w:fill="FFFFFF"/>
            <w:tcMar>
              <w:top w:w="0" w:type="dxa"/>
              <w:left w:w="0" w:type="dxa"/>
              <w:bottom w:w="0" w:type="dxa"/>
              <w:right w:w="0" w:type="dxa"/>
            </w:tcMar>
            <w:hideMark/>
          </w:tcPr>
          <w:p w14:paraId="07F37460" w14:textId="77777777" w:rsidR="00B52694" w:rsidRPr="00B52694" w:rsidRDefault="00B52694" w:rsidP="00B52694">
            <w:pPr>
              <w:spacing w:after="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Artículos </w:t>
            </w:r>
            <w:r w:rsidRPr="00B52694">
              <w:rPr>
                <w:rFonts w:eastAsia="Times New Roman" w:cs="Times New Roman"/>
                <w:kern w:val="0"/>
                <w:szCs w:val="24"/>
                <w:u w:val="single"/>
                <w:lang w:eastAsia="es-CO"/>
                <w14:ligatures w14:val="none"/>
              </w:rPr>
              <w:t>206</w:t>
            </w:r>
            <w:r w:rsidRPr="00B52694">
              <w:rPr>
                <w:rFonts w:eastAsia="Times New Roman" w:cs="Times New Roman"/>
                <w:kern w:val="0"/>
                <w:szCs w:val="24"/>
                <w:lang w:eastAsia="es-CO"/>
                <w14:ligatures w14:val="none"/>
              </w:rPr>
              <w:t>, </w:t>
            </w:r>
            <w:r w:rsidRPr="00B52694">
              <w:rPr>
                <w:rFonts w:eastAsia="Times New Roman" w:cs="Times New Roman"/>
                <w:kern w:val="0"/>
                <w:szCs w:val="24"/>
                <w:u w:val="single"/>
                <w:lang w:eastAsia="es-CO"/>
                <w14:ligatures w14:val="none"/>
              </w:rPr>
              <w:t>336</w:t>
            </w:r>
            <w:r w:rsidRPr="00B52694">
              <w:rPr>
                <w:rFonts w:eastAsia="Times New Roman" w:cs="Times New Roman"/>
                <w:kern w:val="0"/>
                <w:szCs w:val="24"/>
                <w:lang w:eastAsia="es-CO"/>
                <w14:ligatures w14:val="none"/>
              </w:rPr>
              <w:t>, </w:t>
            </w:r>
            <w:r w:rsidRPr="00B52694">
              <w:rPr>
                <w:rFonts w:eastAsia="Times New Roman" w:cs="Times New Roman"/>
                <w:kern w:val="0"/>
                <w:szCs w:val="24"/>
                <w:u w:val="single"/>
                <w:lang w:eastAsia="es-CO"/>
                <w14:ligatures w14:val="none"/>
              </w:rPr>
              <w:t>383</w:t>
            </w:r>
            <w:r w:rsidRPr="00B52694">
              <w:rPr>
                <w:rFonts w:eastAsia="Times New Roman" w:cs="Times New Roman"/>
                <w:kern w:val="0"/>
                <w:szCs w:val="24"/>
                <w:lang w:eastAsia="es-CO"/>
                <w14:ligatures w14:val="none"/>
              </w:rPr>
              <w:t>, </w:t>
            </w:r>
            <w:r w:rsidRPr="00B52694">
              <w:rPr>
                <w:rFonts w:eastAsia="Times New Roman" w:cs="Times New Roman"/>
                <w:kern w:val="0"/>
                <w:szCs w:val="24"/>
                <w:u w:val="single"/>
                <w:lang w:eastAsia="es-CO"/>
                <w14:ligatures w14:val="none"/>
              </w:rPr>
              <w:t>386 </w:t>
            </w:r>
            <w:r w:rsidRPr="00B52694">
              <w:rPr>
                <w:rFonts w:eastAsia="Times New Roman" w:cs="Times New Roman"/>
                <w:kern w:val="0"/>
                <w:szCs w:val="24"/>
                <w:lang w:eastAsia="es-CO"/>
                <w14:ligatures w14:val="none"/>
              </w:rPr>
              <w:t>del Estatuto Tributario</w:t>
            </w:r>
          </w:p>
        </w:tc>
      </w:tr>
    </w:tbl>
    <w:p w14:paraId="7FB4A3BA"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4FFA0E61"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47068A29"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60EF2873"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51EFB0A6"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xml:space="preserve">Mediante el presente pronunciamiento, esta Subdirección absolverá diferentes interrogantes que se han formulado en torno a la interpretación y aplicación del impuesto sobre la renta a cargo de </w:t>
      </w:r>
      <w:r w:rsidRPr="00B52694">
        <w:rPr>
          <w:rFonts w:eastAsia="Times New Roman" w:cs="Times New Roman"/>
          <w:kern w:val="0"/>
          <w:szCs w:val="24"/>
          <w:lang w:eastAsia="es-CO"/>
          <w14:ligatures w14:val="none"/>
        </w:rPr>
        <w:lastRenderedPageBreak/>
        <w:t>las personas naturales (el «Impuesto» en adelante) con motivo de la Ley 2277 de 2022, con la adición al Concepto General de la referencia (Concepto 003966 del 31 de marzo de 2023).</w:t>
      </w:r>
    </w:p>
    <w:p w14:paraId="7358A738"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2B140429"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IV. RETENCIÓN EN LA FUENTE</w:t>
      </w:r>
    </w:p>
    <w:p w14:paraId="39F05344"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53B71E49"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4. Para el cálculo del porcentaje fijo de retención a que se refiere el </w:t>
      </w:r>
      <w:r w:rsidRPr="00B52694">
        <w:rPr>
          <w:rFonts w:eastAsia="Times New Roman" w:cs="Times New Roman"/>
          <w:b/>
          <w:bCs/>
          <w:kern w:val="0"/>
          <w:szCs w:val="24"/>
          <w:u w:val="single"/>
          <w:lang w:eastAsia="es-CO"/>
          <w14:ligatures w14:val="none"/>
        </w:rPr>
        <w:t>artículo 386</w:t>
      </w:r>
      <w:r w:rsidRPr="00B52694">
        <w:rPr>
          <w:rFonts w:eastAsia="Times New Roman" w:cs="Times New Roman"/>
          <w:b/>
          <w:bCs/>
          <w:kern w:val="0"/>
          <w:szCs w:val="24"/>
          <w:lang w:eastAsia="es-CO"/>
          <w14:ligatures w14:val="none"/>
        </w:rPr>
        <w:t> del Estatuto Tributario, que debe realizarse para el segundo semestre de 2023 ¿cuál es el valor de la UVT por concepto de renta exenta de que trata el numeral 10 del </w:t>
      </w:r>
      <w:r w:rsidRPr="00B52694">
        <w:rPr>
          <w:rFonts w:eastAsia="Times New Roman" w:cs="Times New Roman"/>
          <w:b/>
          <w:bCs/>
          <w:kern w:val="0"/>
          <w:szCs w:val="24"/>
          <w:u w:val="single"/>
          <w:lang w:eastAsia="es-CO"/>
          <w14:ligatures w14:val="none"/>
        </w:rPr>
        <w:t>artículo 206</w:t>
      </w:r>
      <w:r w:rsidRPr="00B52694">
        <w:rPr>
          <w:rFonts w:eastAsia="Times New Roman" w:cs="Times New Roman"/>
          <w:b/>
          <w:bCs/>
          <w:kern w:val="0"/>
          <w:szCs w:val="24"/>
          <w:lang w:eastAsia="es-CO"/>
          <w14:ligatures w14:val="none"/>
        </w:rPr>
        <w:t> del Estatuto Tributario? ¿El vigente para el año 2022 o el correspondiente a 2023?</w:t>
      </w:r>
    </w:p>
    <w:p w14:paraId="3311B468"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4942C41C"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La tarifa de retención en la fuente del </w:t>
      </w:r>
      <w:r w:rsidRPr="00B52694">
        <w:rPr>
          <w:rFonts w:eastAsia="Times New Roman" w:cs="Times New Roman"/>
          <w:kern w:val="0"/>
          <w:szCs w:val="24"/>
          <w:u w:val="single"/>
          <w:lang w:eastAsia="es-CO"/>
          <w14:ligatures w14:val="none"/>
        </w:rPr>
        <w:t>artículo 383</w:t>
      </w:r>
      <w:r w:rsidRPr="00B52694">
        <w:rPr>
          <w:rFonts w:eastAsia="Times New Roman" w:cs="Times New Roman"/>
          <w:kern w:val="0"/>
          <w:szCs w:val="24"/>
          <w:lang w:eastAsia="es-CO"/>
          <w14:ligatures w14:val="none"/>
        </w:rPr>
        <w:t> del Estatuto Tributario parte de la base que a la totalidad de los ingresos recibidos se detraen aquellos que no constituyen renta ni ganancia ocasional y los consagrados expresamente como rentas exentas y deducciones, a lo que se aplica el correspondiente procedimiento de retención. Con esta finalidad se debe considerar el marco normativo vigente aplicable, lo que de suyo supone que aspectos como la renta exenta del numeral 10 del </w:t>
      </w:r>
      <w:r w:rsidRPr="00B52694">
        <w:rPr>
          <w:rFonts w:eastAsia="Times New Roman" w:cs="Times New Roman"/>
          <w:kern w:val="0"/>
          <w:szCs w:val="24"/>
          <w:u w:val="single"/>
          <w:lang w:eastAsia="es-CO"/>
          <w14:ligatures w14:val="none"/>
        </w:rPr>
        <w:t>artículo 206</w:t>
      </w:r>
      <w:r w:rsidRPr="00B52694">
        <w:rPr>
          <w:rFonts w:eastAsia="Times New Roman" w:cs="Times New Roman"/>
          <w:kern w:val="0"/>
          <w:szCs w:val="24"/>
          <w:lang w:eastAsia="es-CO"/>
          <w14:ligatures w14:val="none"/>
        </w:rPr>
        <w:t>, modificado por el artículo 2 de la Ley 2277 de 2022, deben atender a su actual redacción:</w:t>
      </w:r>
    </w:p>
    <w:p w14:paraId="216A4735"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053A785A"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«10. El veinticinco por ciento (25%) del valor total de los pagos laborales </w:t>
      </w:r>
      <w:r w:rsidRPr="00B52694">
        <w:rPr>
          <w:rFonts w:eastAsia="Times New Roman" w:cs="Times New Roman"/>
          <w:i/>
          <w:iCs/>
          <w:kern w:val="0"/>
          <w:szCs w:val="24"/>
          <w:u w:val="single"/>
          <w:lang w:eastAsia="es-CO"/>
          <w14:ligatures w14:val="none"/>
        </w:rPr>
        <w:t>limitada anualmente a setecientos noventa (790) UVT</w:t>
      </w:r>
      <w:r w:rsidRPr="00B52694">
        <w:rPr>
          <w:rFonts w:eastAsia="Times New Roman" w:cs="Times New Roman"/>
          <w:i/>
          <w:iCs/>
          <w:kern w:val="0"/>
          <w:szCs w:val="24"/>
          <w:lang w:eastAsia="es-CO"/>
          <w14:ligatures w14:val="none"/>
        </w:rPr>
        <w:t>. El cálculo de esta renta exenta se efectuará una vez se detraiga del valor total de los pagos laborales recibidos por el trabajado, los ingresos no constitutivos de renta, las deducciones y las demás rentas exentas diferentes a la establecida en el presente numeral.»</w:t>
      </w:r>
      <w:r w:rsidRPr="00B52694">
        <w:rPr>
          <w:rFonts w:eastAsia="Times New Roman" w:cs="Times New Roman"/>
          <w:kern w:val="0"/>
          <w:szCs w:val="24"/>
          <w:lang w:eastAsia="es-CO"/>
          <w14:ligatures w14:val="none"/>
        </w:rPr>
        <w:t> (Énfasis propio)</w:t>
      </w:r>
    </w:p>
    <w:p w14:paraId="2F27BBBC"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2259E720"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Este Despacho entiende que para el presente año el valor en UVT del numeral antes citado corresponde al de 2023, precisión que resulta aplicable para efectos del procedimiento dos de que trata el </w:t>
      </w:r>
      <w:r w:rsidRPr="00B52694">
        <w:rPr>
          <w:rFonts w:eastAsia="Times New Roman" w:cs="Times New Roman"/>
          <w:kern w:val="0"/>
          <w:szCs w:val="24"/>
          <w:u w:val="single"/>
          <w:lang w:eastAsia="es-CO"/>
          <w14:ligatures w14:val="none"/>
        </w:rPr>
        <w:t>artículo 386</w:t>
      </w:r>
      <w:r w:rsidRPr="00B52694">
        <w:rPr>
          <w:rFonts w:eastAsia="Times New Roman" w:cs="Times New Roman"/>
          <w:kern w:val="0"/>
          <w:szCs w:val="24"/>
          <w:lang w:eastAsia="es-CO"/>
          <w14:ligatures w14:val="none"/>
        </w:rPr>
        <w:t> del Estatuto Tributario y el cálculo del porcentaje fijo de retención que debe realizarse en el mes de junio.</w:t>
      </w:r>
    </w:p>
    <w:p w14:paraId="6E048991"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3F1E82CD"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VII. DETERMINACIÓN DEL IMPUESTO</w:t>
      </w:r>
    </w:p>
    <w:p w14:paraId="108CC785"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03CEF304"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2.</w:t>
      </w:r>
      <w:r w:rsidRPr="00B52694">
        <w:rPr>
          <w:rFonts w:eastAsia="Times New Roman" w:cs="Times New Roman"/>
          <w:kern w:val="0"/>
          <w:szCs w:val="24"/>
          <w:lang w:eastAsia="es-CO"/>
          <w14:ligatures w14:val="none"/>
        </w:rPr>
        <w:t> </w:t>
      </w:r>
      <w:r w:rsidRPr="00B52694">
        <w:rPr>
          <w:rFonts w:eastAsia="Times New Roman" w:cs="Times New Roman"/>
          <w:b/>
          <w:bCs/>
          <w:kern w:val="0"/>
          <w:szCs w:val="24"/>
          <w:lang w:eastAsia="es-CO"/>
          <w14:ligatures w14:val="none"/>
        </w:rPr>
        <w:t>¿La deducción establecida en el numeral 5 del </w:t>
      </w:r>
      <w:r w:rsidRPr="00B52694">
        <w:rPr>
          <w:rFonts w:eastAsia="Times New Roman" w:cs="Times New Roman"/>
          <w:kern w:val="0"/>
          <w:szCs w:val="24"/>
          <w:u w:val="single"/>
          <w:lang w:eastAsia="es-CO"/>
          <w14:ligatures w14:val="none"/>
        </w:rPr>
        <w:t>artículo 336</w:t>
      </w:r>
      <w:r w:rsidRPr="00B52694">
        <w:rPr>
          <w:rFonts w:eastAsia="Times New Roman" w:cs="Times New Roman"/>
          <w:b/>
          <w:bCs/>
          <w:kern w:val="0"/>
          <w:szCs w:val="24"/>
          <w:lang w:eastAsia="es-CO"/>
          <w14:ligatures w14:val="none"/>
        </w:rPr>
        <w:t> del Estatuto Tributario puede ser de cualquier índole? ¿Es posible tomarla de manera junto con la renta exenta del 25% de que trata el numeral 10 del </w:t>
      </w:r>
      <w:r w:rsidRPr="00B52694">
        <w:rPr>
          <w:rFonts w:eastAsia="Times New Roman" w:cs="Times New Roman"/>
          <w:kern w:val="0"/>
          <w:szCs w:val="24"/>
          <w:u w:val="single"/>
          <w:lang w:eastAsia="es-CO"/>
          <w14:ligatures w14:val="none"/>
        </w:rPr>
        <w:t>artículo 206</w:t>
      </w:r>
      <w:r w:rsidRPr="00B52694">
        <w:rPr>
          <w:rFonts w:eastAsia="Times New Roman" w:cs="Times New Roman"/>
          <w:b/>
          <w:bCs/>
          <w:kern w:val="0"/>
          <w:szCs w:val="24"/>
          <w:lang w:eastAsia="es-CO"/>
          <w14:ligatures w14:val="none"/>
        </w:rPr>
        <w:t> </w:t>
      </w:r>
      <w:r w:rsidRPr="00B52694">
        <w:rPr>
          <w:rFonts w:eastAsia="Times New Roman" w:cs="Times New Roman"/>
          <w:b/>
          <w:bCs/>
          <w:i/>
          <w:iCs/>
          <w:kern w:val="0"/>
          <w:szCs w:val="24"/>
          <w:lang w:eastAsia="es-CO"/>
          <w14:ligatures w14:val="none"/>
        </w:rPr>
        <w:t>ibidem</w:t>
      </w:r>
      <w:r w:rsidRPr="00B52694">
        <w:rPr>
          <w:rFonts w:eastAsia="Times New Roman" w:cs="Times New Roman"/>
          <w:b/>
          <w:bCs/>
          <w:kern w:val="0"/>
          <w:szCs w:val="24"/>
          <w:lang w:eastAsia="es-CO"/>
          <w14:ligatures w14:val="none"/>
        </w:rPr>
        <w:t>?</w:t>
      </w:r>
    </w:p>
    <w:p w14:paraId="354D8EAF"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lastRenderedPageBreak/>
        <w:t> </w:t>
      </w:r>
    </w:p>
    <w:p w14:paraId="7B67AC2F"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El numeral 5 del </w:t>
      </w:r>
      <w:r w:rsidRPr="00B52694">
        <w:rPr>
          <w:rFonts w:eastAsia="Times New Roman" w:cs="Times New Roman"/>
          <w:kern w:val="0"/>
          <w:szCs w:val="24"/>
          <w:u w:val="single"/>
          <w:lang w:eastAsia="es-CO"/>
          <w14:ligatures w14:val="none"/>
        </w:rPr>
        <w:t>artículo 336</w:t>
      </w:r>
      <w:r w:rsidRPr="00B52694">
        <w:rPr>
          <w:rFonts w:eastAsia="Times New Roman" w:cs="Times New Roman"/>
          <w:kern w:val="0"/>
          <w:szCs w:val="24"/>
          <w:lang w:eastAsia="es-CO"/>
          <w14:ligatures w14:val="none"/>
        </w:rPr>
        <w:t> del Estatuto Tributario, modificado por el artículo 7 de la Ley 2277 de 2022, dispone:</w:t>
      </w:r>
    </w:p>
    <w:p w14:paraId="53457465"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2A8F2122"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«ARTÍCULO 7. Modifíquese el </w:t>
      </w:r>
      <w:r w:rsidRPr="00B52694">
        <w:rPr>
          <w:rFonts w:eastAsia="Times New Roman" w:cs="Times New Roman"/>
          <w:i/>
          <w:iCs/>
          <w:kern w:val="0"/>
          <w:szCs w:val="24"/>
          <w:u w:val="single"/>
          <w:lang w:eastAsia="es-CO"/>
          <w14:ligatures w14:val="none"/>
        </w:rPr>
        <w:t>artículo 336</w:t>
      </w:r>
      <w:r w:rsidRPr="00B52694">
        <w:rPr>
          <w:rFonts w:eastAsia="Times New Roman" w:cs="Times New Roman"/>
          <w:i/>
          <w:iCs/>
          <w:kern w:val="0"/>
          <w:szCs w:val="24"/>
          <w:lang w:eastAsia="es-CO"/>
          <w14:ligatures w14:val="none"/>
        </w:rPr>
        <w:t> del Estatuto Tributario, el cual quedará así:</w:t>
      </w:r>
    </w:p>
    <w:p w14:paraId="4FF6D20B"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4AE4CEC8"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u w:val="single"/>
          <w:lang w:eastAsia="es-CO"/>
          <w14:ligatures w14:val="none"/>
        </w:rPr>
        <w:t>ARTÍCULO 336</w:t>
      </w:r>
      <w:r w:rsidRPr="00B52694">
        <w:rPr>
          <w:rFonts w:eastAsia="Times New Roman" w:cs="Times New Roman"/>
          <w:i/>
          <w:iCs/>
          <w:kern w:val="0"/>
          <w:szCs w:val="24"/>
          <w:lang w:eastAsia="es-CO"/>
          <w14:ligatures w14:val="none"/>
        </w:rPr>
        <w:t>. RENTA LÍQUIDA GRAVABLE DE LA CÉDULA GENERAL. Para efectos de establecer la renta líquida de la cédula general, se seguirán las siguientes reglas:</w:t>
      </w:r>
    </w:p>
    <w:p w14:paraId="46DD9FE1"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3F4B50AE"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w:t>
      </w:r>
    </w:p>
    <w:p w14:paraId="47630A2A"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5. </w:t>
      </w:r>
      <w:r w:rsidRPr="00B52694">
        <w:rPr>
          <w:rFonts w:eastAsia="Times New Roman" w:cs="Times New Roman"/>
          <w:i/>
          <w:iCs/>
          <w:kern w:val="0"/>
          <w:szCs w:val="24"/>
          <w:u w:val="single"/>
          <w:lang w:eastAsia="es-CO"/>
          <w14:ligatures w14:val="none"/>
        </w:rPr>
        <w:t>Las personas naturales que declaren ingresos de la cédula general a los que se refiere el artículo 335 de este Estatuto</w:t>
      </w:r>
      <w:r w:rsidRPr="00B52694">
        <w:rPr>
          <w:rFonts w:eastAsia="Times New Roman" w:cs="Times New Roman"/>
          <w:i/>
          <w:iCs/>
          <w:kern w:val="0"/>
          <w:szCs w:val="24"/>
          <w:lang w:eastAsia="es-CO"/>
          <w14:ligatures w14:val="none"/>
        </w:rPr>
        <w:t>, que adquieran bienes y/o servicios, podrán solicitar como deducción en el impuesto sobre la renta, independientemente que tenga o no relación de causalidad con la actividad productora de renta del contribuyente, el uno por ciento (1%) del valor de las adquisiciones, sin que exceda doscientas cuarenta (240) UVT en el respectivo año gravable, siempre que se cumpla con los siguientes requisitos:</w:t>
      </w:r>
    </w:p>
    <w:p w14:paraId="3D89B6C3"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5.1. Que la adquisición del bien y/o del servicio no haya sido solicitada como costo o deducción en el impuesto sobre la renta, impuesto descontable en el impuesto</w:t>
      </w:r>
    </w:p>
    <w:p w14:paraId="673537F2"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sobre las ventas -IVA, ingreso no constitutivo de renta ni ganancia ocasional, renta exenta, descuento tributario u otro tipo de beneficio o crédito fiscal.</w:t>
      </w:r>
    </w:p>
    <w:p w14:paraId="7FB02856"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5.2. Que la adquisición del bien y/o del servicio esté soportada con factura electrónica de venta con validación previa, en donde se identifique el adquirente con nombres y apellidos y el número de identificación tributaria -NIT o número de documento de identificación, y con el cumplimiento de todos los demás requisitos exigibles para este sistema de facturación.</w:t>
      </w:r>
    </w:p>
    <w:p w14:paraId="24085AE3"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5.3. Que la factura electrónica de venta se encuentre pagada a través de tarjeta débito, crédito o cualquier medio electrónico en el cual intervenga una entidad vigilada por la Superintendencia Financiera O quien haga Sus veces, dentro del período gravable en el cual se solicita la deducción de que trata el presente numeral.</w:t>
      </w:r>
    </w:p>
    <w:p w14:paraId="6F9382D0"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5.4. Que la factura electrónica de venta haya sido expedida por sujetos obligados a expedirla.</w:t>
      </w:r>
    </w:p>
    <w:p w14:paraId="090E694A"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La deducción de que trata el presente numeral no se encuentra sujeta al límite previsto en el numeral 3 del presente artículo y no se tendrá en cuenta para el cálculo de la retención en la fuente, ni podrá dar lugar a pérdidas.</w:t>
      </w:r>
    </w:p>
    <w:p w14:paraId="08E9FBF3"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i/>
          <w:iCs/>
          <w:kern w:val="0"/>
          <w:szCs w:val="24"/>
          <w:lang w:eastAsia="es-CO"/>
          <w14:ligatures w14:val="none"/>
        </w:rPr>
        <w:t>(…)»</w:t>
      </w:r>
    </w:p>
    <w:p w14:paraId="1373585F"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4B11E5BD"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lastRenderedPageBreak/>
        <w:t>De este numeral se destaca que la deducción allí establecida aplica a las personas naturales que declaren ingresos de la cédula general, lo que permite delimitar su ámbito y alcance. Es oportuno precisar que esta deducción se circunscribe a la determinación de la renta líquida de la cedula general y </w:t>
      </w:r>
      <w:r w:rsidRPr="00B52694">
        <w:rPr>
          <w:rFonts w:eastAsia="Times New Roman" w:cs="Times New Roman"/>
          <w:kern w:val="0"/>
          <w:szCs w:val="24"/>
          <w:u w:val="single"/>
          <w:lang w:eastAsia="es-CO"/>
          <w14:ligatures w14:val="none"/>
        </w:rPr>
        <w:t>no para efectos de la retención en la fuente.</w:t>
      </w:r>
    </w:p>
    <w:p w14:paraId="08A76A77"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19AC12CD"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Tratándose de la aplicación del numeral 10 del </w:t>
      </w:r>
      <w:r w:rsidRPr="00B52694">
        <w:rPr>
          <w:rFonts w:eastAsia="Times New Roman" w:cs="Times New Roman"/>
          <w:kern w:val="0"/>
          <w:szCs w:val="24"/>
          <w:u w:val="single"/>
          <w:lang w:eastAsia="es-CO"/>
          <w14:ligatures w14:val="none"/>
        </w:rPr>
        <w:t>artículo 206</w:t>
      </w:r>
      <w:r w:rsidRPr="00B52694">
        <w:rPr>
          <w:rFonts w:eastAsia="Times New Roman" w:cs="Times New Roman"/>
          <w:kern w:val="0"/>
          <w:szCs w:val="24"/>
          <w:lang w:eastAsia="es-CO"/>
          <w14:ligatures w14:val="none"/>
        </w:rPr>
        <w:t> del Estatuto tributario, resulta oportuno mencionar que el numeral 3 del </w:t>
      </w:r>
      <w:r w:rsidRPr="00B52694">
        <w:rPr>
          <w:rFonts w:eastAsia="Times New Roman" w:cs="Times New Roman"/>
          <w:kern w:val="0"/>
          <w:szCs w:val="24"/>
          <w:u w:val="single"/>
          <w:lang w:eastAsia="es-CO"/>
          <w14:ligatures w14:val="none"/>
        </w:rPr>
        <w:t>artículo 336</w:t>
      </w:r>
      <w:r w:rsidRPr="00B52694">
        <w:rPr>
          <w:rFonts w:eastAsia="Times New Roman" w:cs="Times New Roman"/>
          <w:kern w:val="0"/>
          <w:szCs w:val="24"/>
          <w:lang w:eastAsia="es-CO"/>
          <w14:ligatures w14:val="none"/>
        </w:rPr>
        <w:t> </w:t>
      </w:r>
      <w:r w:rsidRPr="00B52694">
        <w:rPr>
          <w:rFonts w:eastAsia="Times New Roman" w:cs="Times New Roman"/>
          <w:i/>
          <w:iCs/>
          <w:kern w:val="0"/>
          <w:szCs w:val="24"/>
          <w:lang w:eastAsia="es-CO"/>
          <w14:ligatures w14:val="none"/>
        </w:rPr>
        <w:t>ibidem</w:t>
      </w:r>
      <w:r w:rsidRPr="00B52694">
        <w:rPr>
          <w:rFonts w:eastAsia="Times New Roman" w:cs="Times New Roman"/>
          <w:kern w:val="0"/>
          <w:szCs w:val="24"/>
          <w:lang w:eastAsia="es-CO"/>
          <w14:ligatures w14:val="none"/>
        </w:rPr>
        <w:t> establece que al valor resultante de restar a los ingresos obtenidos por todo concepto (excepto los correspondientes dividendos y ganancias ocasionales) los no constitutivos de renta ni ganancia ocasional, es posible restarle todas las rentas exentas y las deducciones especiales imputables a esta cédula.</w:t>
      </w:r>
    </w:p>
    <w:p w14:paraId="795A0575"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0D90422F"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En esa medida la renta exenta del mencionado numeral 10 también es posible tomarla junto con lo dispuesto en el numeral 5 del </w:t>
      </w:r>
      <w:hyperlink r:id="rId4" w:tooltip="Estatuto Tributario CETA" w:history="1">
        <w:r w:rsidRPr="00B52694">
          <w:rPr>
            <w:rFonts w:eastAsia="Times New Roman" w:cs="Times New Roman"/>
            <w:kern w:val="0"/>
            <w:szCs w:val="24"/>
            <w:u w:val="single"/>
            <w:lang w:eastAsia="es-CO"/>
            <w14:ligatures w14:val="none"/>
          </w:rPr>
          <w:t>artículo 336</w:t>
        </w:r>
      </w:hyperlink>
      <w:r w:rsidRPr="00B52694">
        <w:rPr>
          <w:rFonts w:eastAsia="Times New Roman" w:cs="Times New Roman"/>
          <w:kern w:val="0"/>
          <w:szCs w:val="24"/>
          <w:lang w:eastAsia="es-CO"/>
          <w14:ligatures w14:val="none"/>
        </w:rPr>
        <w:t> del Estatuto Tributario. No obstante, es necesario precisar que la aplicación de esta renta exenta excluye la posibilidad de tomar de manera simultánea costos y gastos para los contribuyentes que perciban rentas de trabajo que no provengan de una relación laboral o legal y reglamentaria.</w:t>
      </w:r>
    </w:p>
    <w:p w14:paraId="7247AF1B"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43159B31"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Atentamente,</w:t>
      </w:r>
    </w:p>
    <w:p w14:paraId="2EEF6E5C"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326984CE"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 </w:t>
      </w:r>
    </w:p>
    <w:p w14:paraId="1518B452"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b/>
          <w:bCs/>
          <w:kern w:val="0"/>
          <w:szCs w:val="24"/>
          <w:lang w:eastAsia="es-CO"/>
          <w14:ligatures w14:val="none"/>
        </w:rPr>
        <w:t>INGRID CASTAÑEDA CEPEDA</w:t>
      </w:r>
    </w:p>
    <w:p w14:paraId="6FCA6D53"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Subdirectora de Normativa y Doctrina (A)</w:t>
      </w:r>
    </w:p>
    <w:p w14:paraId="43D10A8E"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Dirección de Gestión Jurídica</w:t>
      </w:r>
    </w:p>
    <w:p w14:paraId="458EB7BC" w14:textId="77777777" w:rsidR="00B52694" w:rsidRPr="00B52694" w:rsidRDefault="00B52694" w:rsidP="00B52694">
      <w:pPr>
        <w:shd w:val="clear" w:color="auto" w:fill="FFFFFF"/>
        <w:spacing w:after="150" w:line="360" w:lineRule="auto"/>
        <w:jc w:val="both"/>
        <w:rPr>
          <w:rFonts w:eastAsia="Times New Roman" w:cs="Times New Roman"/>
          <w:kern w:val="0"/>
          <w:szCs w:val="24"/>
          <w:lang w:eastAsia="es-CO"/>
          <w14:ligatures w14:val="none"/>
        </w:rPr>
      </w:pPr>
      <w:r w:rsidRPr="00B52694">
        <w:rPr>
          <w:rFonts w:eastAsia="Times New Roman" w:cs="Times New Roman"/>
          <w:kern w:val="0"/>
          <w:szCs w:val="24"/>
          <w:lang w:eastAsia="es-CO"/>
          <w14:ligatures w14:val="none"/>
        </w:rPr>
        <w:t>UAE-Dirección de Impuestos y Aduanas Nacionales</w:t>
      </w:r>
    </w:p>
    <w:p w14:paraId="1CF7BEFA" w14:textId="77777777" w:rsidR="007F5CC8" w:rsidRPr="00B52694" w:rsidRDefault="007F5CC8" w:rsidP="00B52694">
      <w:pPr>
        <w:spacing w:line="360" w:lineRule="auto"/>
        <w:jc w:val="both"/>
        <w:rPr>
          <w:rFonts w:cs="Times New Roman"/>
          <w:szCs w:val="24"/>
        </w:rPr>
      </w:pPr>
    </w:p>
    <w:sectPr w:rsidR="007F5CC8" w:rsidRPr="00B5269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94"/>
    <w:rsid w:val="000F3837"/>
    <w:rsid w:val="001E311E"/>
    <w:rsid w:val="00434AE6"/>
    <w:rsid w:val="005D25EE"/>
    <w:rsid w:val="007F5CC8"/>
    <w:rsid w:val="008779BE"/>
    <w:rsid w:val="00B5269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5EDF"/>
  <w15:chartTrackingRefBased/>
  <w15:docId w15:val="{B3E987BF-13EE-45A5-A3D2-B5D5B710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5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4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6116</Characters>
  <Application>Microsoft Office Word</Application>
  <DocSecurity>0</DocSecurity>
  <Lines>50</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2023-09-24T11:30:00Z</dcterms:created>
  <dcterms:modified xsi:type="dcterms:W3CDTF">2023-09-24T11:32:00Z</dcterms:modified>
</cp:coreProperties>
</file>