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727E" w14:textId="77777777" w:rsidR="00EE7003" w:rsidRPr="00EE7003" w:rsidRDefault="00EE7003" w:rsidP="00614966">
      <w:pPr>
        <w:shd w:val="clear" w:color="auto" w:fill="FFFFFF"/>
        <w:spacing w:after="150" w:line="360" w:lineRule="auto"/>
        <w:jc w:val="center"/>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 xml:space="preserve">Decreto </w:t>
      </w:r>
      <w:proofErr w:type="spellStart"/>
      <w:r w:rsidRPr="00EE7003">
        <w:rPr>
          <w:rFonts w:eastAsia="Times New Roman" w:cs="Times New Roman"/>
          <w:b/>
          <w:bCs/>
          <w:color w:val="555555"/>
          <w:kern w:val="0"/>
          <w:szCs w:val="24"/>
          <w:lang w:eastAsia="es-CO"/>
          <w14:ligatures w14:val="none"/>
        </w:rPr>
        <w:t>Nº</w:t>
      </w:r>
      <w:proofErr w:type="spellEnd"/>
      <w:r w:rsidRPr="00EE7003">
        <w:rPr>
          <w:rFonts w:eastAsia="Times New Roman" w:cs="Times New Roman"/>
          <w:b/>
          <w:bCs/>
          <w:color w:val="555555"/>
          <w:kern w:val="0"/>
          <w:szCs w:val="24"/>
          <w:lang w:eastAsia="es-CO"/>
          <w14:ligatures w14:val="none"/>
        </w:rPr>
        <w:t> 1920</w:t>
      </w:r>
      <w:r w:rsidRPr="00EE7003">
        <w:rPr>
          <w:rFonts w:eastAsia="Times New Roman" w:cs="Times New Roman"/>
          <w:b/>
          <w:bCs/>
          <w:color w:val="555555"/>
          <w:kern w:val="0"/>
          <w:szCs w:val="24"/>
          <w:lang w:eastAsia="es-CO"/>
          <w14:ligatures w14:val="none"/>
        </w:rPr>
        <w:br/>
        <w:t>10-11-2023</w:t>
      </w:r>
      <w:r w:rsidRPr="00EE7003">
        <w:rPr>
          <w:rFonts w:eastAsia="Times New Roman" w:cs="Times New Roman"/>
          <w:b/>
          <w:bCs/>
          <w:color w:val="555555"/>
          <w:kern w:val="0"/>
          <w:szCs w:val="24"/>
          <w:lang w:eastAsia="es-CO"/>
          <w14:ligatures w14:val="none"/>
        </w:rPr>
        <w:br/>
        <w:t>Ministerio de Hacienda y Crédito Público</w:t>
      </w:r>
    </w:p>
    <w:p w14:paraId="275B0638"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6A0A5FE4"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2B0DADF5"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Por el cual se reglamentan parcialmente los artículos </w:t>
      </w:r>
      <w:r w:rsidRPr="00EE7003">
        <w:rPr>
          <w:rFonts w:eastAsia="Times New Roman" w:cs="Times New Roman"/>
          <w:i/>
          <w:iCs/>
          <w:color w:val="555555"/>
          <w:kern w:val="0"/>
          <w:szCs w:val="24"/>
          <w:u w:val="single"/>
          <w:lang w:eastAsia="es-CO"/>
          <w14:ligatures w14:val="none"/>
        </w:rPr>
        <w:t>256-1</w:t>
      </w:r>
      <w:r w:rsidRPr="00EE7003">
        <w:rPr>
          <w:rFonts w:eastAsia="Times New Roman" w:cs="Times New Roman"/>
          <w:i/>
          <w:iCs/>
          <w:color w:val="555555"/>
          <w:kern w:val="0"/>
          <w:szCs w:val="24"/>
          <w:lang w:eastAsia="es-CO"/>
          <w14:ligatures w14:val="none"/>
        </w:rPr>
        <w:t>, </w:t>
      </w:r>
      <w:r w:rsidRPr="00EE7003">
        <w:rPr>
          <w:rFonts w:eastAsia="Times New Roman" w:cs="Times New Roman"/>
          <w:i/>
          <w:iCs/>
          <w:color w:val="555555"/>
          <w:kern w:val="0"/>
          <w:szCs w:val="24"/>
          <w:u w:val="single"/>
          <w:lang w:eastAsia="es-CO"/>
          <w14:ligatures w14:val="none"/>
        </w:rPr>
        <w:t>311-1</w:t>
      </w:r>
      <w:r w:rsidRPr="00EE7003">
        <w:rPr>
          <w:rFonts w:eastAsia="Times New Roman" w:cs="Times New Roman"/>
          <w:i/>
          <w:iCs/>
          <w:color w:val="555555"/>
          <w:kern w:val="0"/>
          <w:szCs w:val="24"/>
          <w:lang w:eastAsia="es-CO"/>
          <w14:ligatures w14:val="none"/>
        </w:rPr>
        <w:t>, inciso 3° del artículo </w:t>
      </w:r>
      <w:r w:rsidRPr="00EE7003">
        <w:rPr>
          <w:rFonts w:eastAsia="Times New Roman" w:cs="Times New Roman"/>
          <w:i/>
          <w:iCs/>
          <w:color w:val="555555"/>
          <w:kern w:val="0"/>
          <w:szCs w:val="24"/>
          <w:u w:val="single"/>
          <w:lang w:eastAsia="es-CO"/>
          <w14:ligatures w14:val="none"/>
        </w:rPr>
        <w:t>356-2</w:t>
      </w:r>
      <w:r w:rsidRPr="00EE7003">
        <w:rPr>
          <w:rFonts w:eastAsia="Times New Roman" w:cs="Times New Roman"/>
          <w:i/>
          <w:iCs/>
          <w:color w:val="555555"/>
          <w:kern w:val="0"/>
          <w:szCs w:val="24"/>
          <w:lang w:eastAsia="es-CO"/>
          <w14:ligatures w14:val="none"/>
        </w:rPr>
        <w:t> y </w:t>
      </w:r>
      <w:r w:rsidRPr="00EE7003">
        <w:rPr>
          <w:rFonts w:eastAsia="Times New Roman" w:cs="Times New Roman"/>
          <w:i/>
          <w:iCs/>
          <w:color w:val="555555"/>
          <w:kern w:val="0"/>
          <w:szCs w:val="24"/>
          <w:u w:val="single"/>
          <w:lang w:eastAsia="es-CO"/>
          <w14:ligatures w14:val="none"/>
        </w:rPr>
        <w:t>519</w:t>
      </w:r>
      <w:r w:rsidRPr="00EE7003">
        <w:rPr>
          <w:rFonts w:eastAsia="Times New Roman" w:cs="Times New Roman"/>
          <w:i/>
          <w:iCs/>
          <w:color w:val="555555"/>
          <w:kern w:val="0"/>
          <w:szCs w:val="24"/>
          <w:lang w:eastAsia="es-CO"/>
          <w14:ligatures w14:val="none"/>
        </w:rPr>
        <w:t> del Estatuto Tributario, modificados por los artículos 22, 31, 23 y 77 de la Ley 2277 de 2022; se modifica el artículo 1.2.3.1. del Título 3 de la Parte 2 del Libro 1 y el parágrafo del artículo 1.2.1.5.1.7. de la Sección 1 del Capítulo 5 del Título 1 de la Parte 2 del Libro 1 y se adiciona el inciso 2 al artículo 1.2.1.5.1.5. de la Sección 1 del Capítulo 5 del Título 1 de la Parte 2 del Libro 1, el inciso 4° al artículo 1.4.1.4.5. del Capítulo 4 del Título 1 de la Parte 4 del Libro 1, el parágrafo 2° al artículo 1.8.2.4.3. y el artículo 1.8.2.4.14. al Capítulo 4 del Título 2 de la Parte 8 del Libro 1, del Decreto número 1625 de 2016, único Reglamentario en Materia Tributaria, relacionados con el crédito fiscal por inversiones en proyectos de investigación, desarrollo tecnológico e innovación, ganancias ocasionales, calificación de entidades del Régimen Tributario Especial e impuesto de timbre.</w:t>
      </w:r>
    </w:p>
    <w:p w14:paraId="4EBFAF44" w14:textId="5C1975EB"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xml:space="preserve">El </w:t>
      </w:r>
      <w:proofErr w:type="gramStart"/>
      <w:r w:rsidRPr="00EE7003">
        <w:rPr>
          <w:rFonts w:eastAsia="Times New Roman" w:cs="Times New Roman"/>
          <w:color w:val="555555"/>
          <w:kern w:val="0"/>
          <w:szCs w:val="24"/>
          <w:lang w:eastAsia="es-CO"/>
          <w14:ligatures w14:val="none"/>
        </w:rPr>
        <w:t>Presidente</w:t>
      </w:r>
      <w:proofErr w:type="gramEnd"/>
      <w:r w:rsidRPr="00EE7003">
        <w:rPr>
          <w:rFonts w:eastAsia="Times New Roman" w:cs="Times New Roman"/>
          <w:color w:val="555555"/>
          <w:kern w:val="0"/>
          <w:szCs w:val="24"/>
          <w:lang w:eastAsia="es-CO"/>
          <w14:ligatures w14:val="none"/>
        </w:rPr>
        <w:t xml:space="preserve"> de la República de Colombia, en uso de sus facultades constitucionales y legales, en especial las conferidas por los numerales 11 y 20 del artículo 189 de la Constitución Política y en desarrollo de los artículos </w:t>
      </w:r>
      <w:r w:rsidRPr="00EE7003">
        <w:rPr>
          <w:rFonts w:eastAsia="Times New Roman" w:cs="Times New Roman"/>
          <w:color w:val="555555"/>
          <w:kern w:val="0"/>
          <w:szCs w:val="24"/>
          <w:u w:val="single"/>
          <w:lang w:eastAsia="es-CO"/>
          <w14:ligatures w14:val="none"/>
        </w:rPr>
        <w:t>256-1</w:t>
      </w:r>
      <w:r w:rsidRPr="00EE7003">
        <w:rPr>
          <w:rFonts w:eastAsia="Times New Roman" w:cs="Times New Roman"/>
          <w:color w:val="555555"/>
          <w:kern w:val="0"/>
          <w:szCs w:val="24"/>
          <w:lang w:eastAsia="es-CO"/>
          <w14:ligatures w14:val="none"/>
        </w:rPr>
        <w:t>, </w:t>
      </w:r>
      <w:r w:rsidRPr="00EE7003">
        <w:rPr>
          <w:rFonts w:eastAsia="Times New Roman" w:cs="Times New Roman"/>
          <w:color w:val="555555"/>
          <w:kern w:val="0"/>
          <w:szCs w:val="24"/>
          <w:u w:val="single"/>
          <w:lang w:eastAsia="es-CO"/>
          <w14:ligatures w14:val="none"/>
        </w:rPr>
        <w:t>311-1</w:t>
      </w:r>
      <w:r w:rsidRPr="00EE7003">
        <w:rPr>
          <w:rFonts w:eastAsia="Times New Roman" w:cs="Times New Roman"/>
          <w:color w:val="555555"/>
          <w:kern w:val="0"/>
          <w:szCs w:val="24"/>
          <w:lang w:eastAsia="es-CO"/>
          <w14:ligatures w14:val="none"/>
        </w:rPr>
        <w:t>, inciso 3 del artículo </w:t>
      </w:r>
      <w:r w:rsidRPr="00EE7003">
        <w:rPr>
          <w:rFonts w:eastAsia="Times New Roman" w:cs="Times New Roman"/>
          <w:color w:val="555555"/>
          <w:kern w:val="0"/>
          <w:szCs w:val="24"/>
          <w:u w:val="single"/>
          <w:lang w:eastAsia="es-CO"/>
          <w14:ligatures w14:val="none"/>
        </w:rPr>
        <w:t>356-2</w:t>
      </w:r>
      <w:r w:rsidRPr="00EE7003">
        <w:rPr>
          <w:rFonts w:eastAsia="Times New Roman" w:cs="Times New Roman"/>
          <w:color w:val="555555"/>
          <w:kern w:val="0"/>
          <w:szCs w:val="24"/>
          <w:lang w:eastAsia="es-CO"/>
          <w14:ligatures w14:val="none"/>
        </w:rPr>
        <w:t> y </w:t>
      </w:r>
      <w:r w:rsidRPr="00EE7003">
        <w:rPr>
          <w:rFonts w:eastAsia="Times New Roman" w:cs="Times New Roman"/>
          <w:color w:val="555555"/>
          <w:kern w:val="0"/>
          <w:szCs w:val="24"/>
          <w:u w:val="single"/>
          <w:lang w:eastAsia="es-CO"/>
          <w14:ligatures w14:val="none"/>
        </w:rPr>
        <w:t>519</w:t>
      </w:r>
      <w:r w:rsidRPr="00EE7003">
        <w:rPr>
          <w:rFonts w:eastAsia="Times New Roman" w:cs="Times New Roman"/>
          <w:color w:val="555555"/>
          <w:kern w:val="0"/>
          <w:szCs w:val="24"/>
          <w:lang w:eastAsia="es-CO"/>
          <w14:ligatures w14:val="none"/>
        </w:rPr>
        <w:t> del Estatuto Tributario, modificados por los artículos 22, 31, 23 y 77 de la Ley 2277 de 2022, y</w:t>
      </w:r>
    </w:p>
    <w:p w14:paraId="2AB3918E"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45E3C3DC" w14:textId="77777777" w:rsidR="00EE7003" w:rsidRPr="00EE7003" w:rsidRDefault="00EE7003" w:rsidP="004D41F6">
      <w:pPr>
        <w:shd w:val="clear" w:color="auto" w:fill="FFFFFF"/>
        <w:spacing w:after="150" w:line="360" w:lineRule="auto"/>
        <w:jc w:val="center"/>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CONSIDERANDO:</w:t>
      </w:r>
    </w:p>
    <w:p w14:paraId="4CA2C6DF" w14:textId="0582E6E1"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el Gobierno nacional expidió el Decreto 1625 de 2016 Único Reglamentario en Materia Tributaria, para compilar y racionalizar las normas de carácter reglamentario que rigen el sector y contar con instrumentos jurídicos únicos.</w:t>
      </w:r>
    </w:p>
    <w:p w14:paraId="6CE711A8" w14:textId="6E8B5A1E"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la Ley 2277 del 13 de diciembre de 2022 “</w:t>
      </w:r>
      <w:r w:rsidRPr="00EE7003">
        <w:rPr>
          <w:rFonts w:eastAsia="Times New Roman" w:cs="Times New Roman"/>
          <w:i/>
          <w:iCs/>
          <w:color w:val="555555"/>
          <w:kern w:val="0"/>
          <w:szCs w:val="24"/>
          <w:lang w:eastAsia="es-CO"/>
          <w14:ligatures w14:val="none"/>
        </w:rPr>
        <w:t>por medio de la cual se adopta una reforma tributaria para la igualdad y la justicia social y se dictan otras disposiciones”</w:t>
      </w:r>
      <w:r w:rsidRPr="00EE7003">
        <w:rPr>
          <w:rFonts w:eastAsia="Times New Roman" w:cs="Times New Roman"/>
          <w:color w:val="555555"/>
          <w:kern w:val="0"/>
          <w:szCs w:val="24"/>
          <w:lang w:eastAsia="es-CO"/>
          <w14:ligatures w14:val="none"/>
        </w:rPr>
        <w:t>, introdujo modificaciones, entre otras, en materia del impuesto sobre la renta y su complementario de ganancias ocasionales, del impuesto de timbre, tal como se describe en los considerandos siguientes.</w:t>
      </w:r>
    </w:p>
    <w:p w14:paraId="66FDEB2F" w14:textId="5B19101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el </w:t>
      </w:r>
      <w:r w:rsidRPr="00EE7003">
        <w:rPr>
          <w:rFonts w:eastAsia="Times New Roman" w:cs="Times New Roman"/>
          <w:color w:val="555555"/>
          <w:kern w:val="0"/>
          <w:szCs w:val="24"/>
          <w:u w:val="single"/>
          <w:lang w:eastAsia="es-CO"/>
          <w14:ligatures w14:val="none"/>
        </w:rPr>
        <w:t>artículo 311-1</w:t>
      </w:r>
      <w:r w:rsidRPr="00EE7003">
        <w:rPr>
          <w:rFonts w:eastAsia="Times New Roman" w:cs="Times New Roman"/>
          <w:color w:val="555555"/>
          <w:kern w:val="0"/>
          <w:szCs w:val="24"/>
          <w:lang w:eastAsia="es-CO"/>
          <w14:ligatures w14:val="none"/>
        </w:rPr>
        <w:t> del Estatuto Tributario, fue modificado por el artículo 31 de la Ley 2277 de 2022, en lo relacionado con la utilidad en la venta de la casa o apartamento de habitación para efectos del impuesto complementario de ganancias ocasionales, en los siguientes términos:</w:t>
      </w:r>
    </w:p>
    <w:p w14:paraId="127F473F" w14:textId="5315F83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w:t>
      </w:r>
      <w:r w:rsidRPr="00EE7003">
        <w:rPr>
          <w:rFonts w:eastAsia="Times New Roman" w:cs="Times New Roman"/>
          <w:b/>
          <w:bCs/>
          <w:i/>
          <w:iCs/>
          <w:color w:val="555555"/>
          <w:kern w:val="0"/>
          <w:szCs w:val="24"/>
          <w:lang w:eastAsia="es-CO"/>
          <w14:ligatures w14:val="none"/>
        </w:rPr>
        <w:t>Artículo 31</w:t>
      </w:r>
      <w:r w:rsidRPr="00EE7003">
        <w:rPr>
          <w:rFonts w:eastAsia="Times New Roman" w:cs="Times New Roman"/>
          <w:i/>
          <w:iCs/>
          <w:color w:val="555555"/>
          <w:kern w:val="0"/>
          <w:szCs w:val="24"/>
          <w:lang w:eastAsia="es-CO"/>
          <w14:ligatures w14:val="none"/>
        </w:rPr>
        <w:t>. Modifíquese el </w:t>
      </w:r>
      <w:r w:rsidRPr="00EE7003">
        <w:rPr>
          <w:rFonts w:eastAsia="Times New Roman" w:cs="Times New Roman"/>
          <w:i/>
          <w:iCs/>
          <w:color w:val="555555"/>
          <w:kern w:val="0"/>
          <w:szCs w:val="24"/>
          <w:u w:val="single"/>
          <w:lang w:eastAsia="es-CO"/>
          <w14:ligatures w14:val="none"/>
        </w:rPr>
        <w:t>artículo 311-1</w:t>
      </w:r>
      <w:r w:rsidRPr="00EE7003">
        <w:rPr>
          <w:rFonts w:eastAsia="Times New Roman" w:cs="Times New Roman"/>
          <w:i/>
          <w:iCs/>
          <w:color w:val="555555"/>
          <w:kern w:val="0"/>
          <w:szCs w:val="24"/>
          <w:lang w:eastAsia="es-CO"/>
          <w14:ligatures w14:val="none"/>
        </w:rPr>
        <w:t> del Estatuto Tributario, el cual quedará así:</w:t>
      </w:r>
    </w:p>
    <w:p w14:paraId="37DCF2F6"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32618E40"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i/>
          <w:iCs/>
          <w:color w:val="555555"/>
          <w:kern w:val="0"/>
          <w:szCs w:val="24"/>
          <w:u w:val="single"/>
          <w:lang w:eastAsia="es-CO"/>
          <w14:ligatures w14:val="none"/>
        </w:rPr>
        <w:lastRenderedPageBreak/>
        <w:t>ARTÍCULO 311-1</w:t>
      </w:r>
      <w:r w:rsidRPr="00EE7003">
        <w:rPr>
          <w:rFonts w:eastAsia="Times New Roman" w:cs="Times New Roman"/>
          <w:b/>
          <w:bCs/>
          <w:i/>
          <w:iCs/>
          <w:color w:val="555555"/>
          <w:kern w:val="0"/>
          <w:szCs w:val="24"/>
          <w:lang w:eastAsia="es-CO"/>
          <w14:ligatures w14:val="none"/>
        </w:rPr>
        <w:t>. UTILIDAD EN LA VENTA DE LA CASA O APARTAMENTO.</w:t>
      </w:r>
    </w:p>
    <w:p w14:paraId="4C749A26" w14:textId="0F805E00"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Estarán exentas las primeras cinco mil (5.000) UVT de la utilidad generada en la venta de la casa o apartamento de habitación de las personas naturales contribuyentes del impuesto sobre la renta y complementarios, siempre que la totalidad de los dineros recibidos como consecuencia de la venta sean depositados en las cuentas de ahorro denominadas “Ahorro para el Fomento de la Construcción, AFC; y sean destinados a la adquisición de otra casa o apartamento de habitación, o para el pago total o parcial de uno o más créditos hipotecarios vinculados directamente con la casa o apartamento de habitación objeto de venta. En este último caso, no se requiere el depósito en la cuenta AFC; siempre que se verifique el abono directo al o a los créditos hipotecarios, en los términos que establezca el reglamento que sobre la materia expida el Gobierno nacional. El retiro de los recursos a /os que se refiere este artículo para cualquier otro propósito, distinto a los señalados en esta disposición, implica que la persona natural pierda el beneficio y que se efectúen, por parte de la respectiva entidad financiera las retenciones inicialmente no realizadas de acuerdo con las normas generales en materia de retención en la fuente por enajenación de activos que correspondan a la casa o apartamento de habitación”.</w:t>
      </w:r>
    </w:p>
    <w:p w14:paraId="3610659D" w14:textId="639DB914"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con esta modificación normativa, se disminuyó el límite máximo de utilidad exenta derivada de la venta de la casa o apartamento de habitación, de 7.500 UVT a 5.000 UVT. Adicionalmente, se eliminó el parágrafo 1° del </w:t>
      </w:r>
      <w:r w:rsidRPr="00EE7003">
        <w:rPr>
          <w:rFonts w:eastAsia="Times New Roman" w:cs="Times New Roman"/>
          <w:color w:val="555555"/>
          <w:kern w:val="0"/>
          <w:szCs w:val="24"/>
          <w:u w:val="single"/>
          <w:lang w:eastAsia="es-CO"/>
          <w14:ligatures w14:val="none"/>
        </w:rPr>
        <w:t>artículo 311-1</w:t>
      </w:r>
      <w:r w:rsidRPr="00EE7003">
        <w:rPr>
          <w:rFonts w:eastAsia="Times New Roman" w:cs="Times New Roman"/>
          <w:color w:val="555555"/>
          <w:kern w:val="0"/>
          <w:szCs w:val="24"/>
          <w:lang w:eastAsia="es-CO"/>
          <w14:ligatures w14:val="none"/>
        </w:rPr>
        <w:t xml:space="preserve">, que establecía que el beneficio de la norma solo aplicaba a casas o apartamentos de habitación cuyo valor catastral o </w:t>
      </w:r>
      <w:proofErr w:type="spellStart"/>
      <w:r w:rsidRPr="00EE7003">
        <w:rPr>
          <w:rFonts w:eastAsia="Times New Roman" w:cs="Times New Roman"/>
          <w:color w:val="555555"/>
          <w:kern w:val="0"/>
          <w:szCs w:val="24"/>
          <w:lang w:eastAsia="es-CO"/>
          <w14:ligatures w14:val="none"/>
        </w:rPr>
        <w:t>autoavalúo</w:t>
      </w:r>
      <w:proofErr w:type="spellEnd"/>
      <w:r w:rsidRPr="00EE7003">
        <w:rPr>
          <w:rFonts w:eastAsia="Times New Roman" w:cs="Times New Roman"/>
          <w:color w:val="555555"/>
          <w:kern w:val="0"/>
          <w:szCs w:val="24"/>
          <w:lang w:eastAsia="es-CO"/>
          <w14:ligatures w14:val="none"/>
        </w:rPr>
        <w:t xml:space="preserve"> no superara 15.000 UVT. Por lo tanto, se requiere modificar la disposición reglamentaria, sobre el tratamiento en el impuesto complementario de ganancias ocasionales de la utilidad generada en la venta de la casa o apartamento de habitación, contenida en el artículo 1.2.3.1. del Decreto número 1625 de 2016, Único Reglamentario en Materia Tributaria, para armonizarla con las modificaciones introducidas, así como para precisar que el retiro de los recursos para cualquier otro propósito, distinto a los señalados en el </w:t>
      </w:r>
      <w:r w:rsidRPr="00EE7003">
        <w:rPr>
          <w:rFonts w:eastAsia="Times New Roman" w:cs="Times New Roman"/>
          <w:color w:val="555555"/>
          <w:kern w:val="0"/>
          <w:szCs w:val="24"/>
          <w:u w:val="single"/>
          <w:lang w:eastAsia="es-CO"/>
          <w14:ligatures w14:val="none"/>
        </w:rPr>
        <w:t>artículo 311-1</w:t>
      </w:r>
      <w:r w:rsidRPr="00EE7003">
        <w:rPr>
          <w:rFonts w:eastAsia="Times New Roman" w:cs="Times New Roman"/>
          <w:color w:val="555555"/>
          <w:kern w:val="0"/>
          <w:szCs w:val="24"/>
          <w:lang w:eastAsia="es-CO"/>
          <w14:ligatures w14:val="none"/>
        </w:rPr>
        <w:t> del Estatuto Tributario se somete a la retención en la fuente prevista en el </w:t>
      </w:r>
      <w:r w:rsidRPr="00EE7003">
        <w:rPr>
          <w:rFonts w:eastAsia="Times New Roman" w:cs="Times New Roman"/>
          <w:color w:val="555555"/>
          <w:kern w:val="0"/>
          <w:szCs w:val="24"/>
          <w:u w:val="single"/>
          <w:lang w:eastAsia="es-CO"/>
          <w14:ligatures w14:val="none"/>
        </w:rPr>
        <w:t>artículo 398</w:t>
      </w:r>
      <w:r w:rsidRPr="00EE7003">
        <w:rPr>
          <w:rFonts w:eastAsia="Times New Roman" w:cs="Times New Roman"/>
          <w:color w:val="555555"/>
          <w:kern w:val="0"/>
          <w:szCs w:val="24"/>
          <w:lang w:eastAsia="es-CO"/>
          <w14:ligatures w14:val="none"/>
        </w:rPr>
        <w:t> del Estatuto Tributario.</w:t>
      </w:r>
    </w:p>
    <w:p w14:paraId="435DEF58" w14:textId="7B905B2A"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el inciso 3° del </w:t>
      </w:r>
      <w:r w:rsidRPr="00EE7003">
        <w:rPr>
          <w:rFonts w:eastAsia="Times New Roman" w:cs="Times New Roman"/>
          <w:color w:val="555555"/>
          <w:kern w:val="0"/>
          <w:szCs w:val="24"/>
          <w:u w:val="single"/>
          <w:lang w:eastAsia="es-CO"/>
          <w14:ligatures w14:val="none"/>
        </w:rPr>
        <w:t>artículo 356-2</w:t>
      </w:r>
      <w:r w:rsidRPr="00EE7003">
        <w:rPr>
          <w:rFonts w:eastAsia="Times New Roman" w:cs="Times New Roman"/>
          <w:color w:val="555555"/>
          <w:kern w:val="0"/>
          <w:szCs w:val="24"/>
          <w:lang w:eastAsia="es-CO"/>
          <w14:ligatures w14:val="none"/>
        </w:rPr>
        <w:t> del Estatuto Tributario, fue modificado por el artículo 23 de la Ley 2277 de 2022, así:</w:t>
      </w:r>
    </w:p>
    <w:p w14:paraId="6013C3E7" w14:textId="49988052"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“Cuando la Administración Tributaria compruebe que no se ha presentado la información establecida en el </w:t>
      </w:r>
      <w:r w:rsidRPr="00EE7003">
        <w:rPr>
          <w:rFonts w:eastAsia="Times New Roman" w:cs="Times New Roman"/>
          <w:i/>
          <w:iCs/>
          <w:color w:val="555555"/>
          <w:kern w:val="0"/>
          <w:szCs w:val="24"/>
          <w:u w:val="single"/>
          <w:lang w:eastAsia="es-CO"/>
          <w14:ligatures w14:val="none"/>
        </w:rPr>
        <w:t>artículo 364-5</w:t>
      </w:r>
      <w:r w:rsidRPr="00EE7003">
        <w:rPr>
          <w:rFonts w:eastAsia="Times New Roman" w:cs="Times New Roman"/>
          <w:i/>
          <w:iCs/>
          <w:color w:val="555555"/>
          <w:kern w:val="0"/>
          <w:szCs w:val="24"/>
          <w:lang w:eastAsia="es-CO"/>
          <w14:ligatures w14:val="none"/>
        </w:rPr>
        <w:t> del presente Estatuto y los demás requisitos exigidos para el proceso de calificación en el Régimen Tributario Especial se procederá dentro del término de diez (10) días hábiles siguientes a la radicación de la solicitud, a informar al solicitante los requisitos que no se cumplieron, con el fin de que este los subsane dentro del mes siguiente al env</w:t>
      </w:r>
      <w:r w:rsidRPr="00EE7003">
        <w:rPr>
          <w:rFonts w:eastAsia="Times New Roman" w:cs="Times New Roman"/>
          <w:color w:val="555555"/>
          <w:kern w:val="0"/>
          <w:szCs w:val="24"/>
          <w:lang w:eastAsia="es-CO"/>
          <w14:ligatures w14:val="none"/>
        </w:rPr>
        <w:t>ío </w:t>
      </w:r>
      <w:r w:rsidRPr="00EE7003">
        <w:rPr>
          <w:rFonts w:eastAsia="Times New Roman" w:cs="Times New Roman"/>
          <w:i/>
          <w:iCs/>
          <w:color w:val="555555"/>
          <w:kern w:val="0"/>
          <w:szCs w:val="24"/>
          <w:lang w:eastAsia="es-CO"/>
          <w14:ligatures w14:val="none"/>
        </w:rPr>
        <w:t xml:space="preserve">de la comunicación. Si el contribuyente no cumple con los requisitos, en los términos indicados en la presente disposición, la entidad no podrá ser registrada en el Registro Único Tributario (RUT) como contribuyente del Régimen Tributario Especial y seguirá perteneciendo al régimen tributario ordinario y la Unidad Administrativa Especial Dirección de Impuestos y Aduanas </w:t>
      </w:r>
      <w:r w:rsidRPr="00EE7003">
        <w:rPr>
          <w:rFonts w:eastAsia="Times New Roman" w:cs="Times New Roman"/>
          <w:i/>
          <w:iCs/>
          <w:color w:val="555555"/>
          <w:kern w:val="0"/>
          <w:szCs w:val="24"/>
          <w:lang w:eastAsia="es-CO"/>
          <w14:ligatures w14:val="none"/>
        </w:rPr>
        <w:lastRenderedPageBreak/>
        <w:t>Nacionales (DIAN) rechazará la solicitud mediante acto administrativo, contra el que procede recurso de reposición”.</w:t>
      </w:r>
    </w:p>
    <w:p w14:paraId="0F6CC206" w14:textId="10EB442D"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con ocasión de las modificaciones introducidas al referido inciso 3° del </w:t>
      </w:r>
      <w:r w:rsidRPr="00EE7003">
        <w:rPr>
          <w:rFonts w:eastAsia="Times New Roman" w:cs="Times New Roman"/>
          <w:color w:val="555555"/>
          <w:kern w:val="0"/>
          <w:szCs w:val="24"/>
          <w:u w:val="single"/>
          <w:lang w:eastAsia="es-CO"/>
          <w14:ligatures w14:val="none"/>
        </w:rPr>
        <w:t>artículo 356-2</w:t>
      </w:r>
      <w:r w:rsidRPr="00EE7003">
        <w:rPr>
          <w:rFonts w:eastAsia="Times New Roman" w:cs="Times New Roman"/>
          <w:color w:val="555555"/>
          <w:kern w:val="0"/>
          <w:szCs w:val="24"/>
          <w:lang w:eastAsia="es-CO"/>
          <w14:ligatures w14:val="none"/>
        </w:rPr>
        <w:t> del Estatuto Tributario, se requiere modificar los artículos 1.2.1.5.1.5. y 1.2.1.5.1.7. del Decreto 1625 de 2019, Único Reglamentario en Materia Tributaria, para actualizar el procedimiento de calificación en el Régimen Tributario Especial, en lo relacionado con el plazo otorgado por la ley para subsanar los requisitos que no se cumplieron con ocasión de la solicitud de calificación radicada a través del registro web de la Unidad Administrativa Especial Dirección de Impuestos y Aduanas Nacionales (DIAN). Así mismo se requiere indicar a partir de qué momento se inicia a contar los términos de publicación de la información en el registro web cuando el contribuyente requiere subsanar inconsistencias presentadas en la solicitud de calificación.</w:t>
      </w:r>
    </w:p>
    <w:p w14:paraId="1B874D64" w14:textId="0B75CFBD"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el </w:t>
      </w:r>
      <w:r w:rsidRPr="00EE7003">
        <w:rPr>
          <w:rFonts w:eastAsia="Times New Roman" w:cs="Times New Roman"/>
          <w:color w:val="555555"/>
          <w:kern w:val="0"/>
          <w:szCs w:val="24"/>
          <w:u w:val="single"/>
          <w:lang w:eastAsia="es-CO"/>
          <w14:ligatures w14:val="none"/>
        </w:rPr>
        <w:t>artículo 519</w:t>
      </w:r>
      <w:r w:rsidRPr="00EE7003">
        <w:rPr>
          <w:rFonts w:eastAsia="Times New Roman" w:cs="Times New Roman"/>
          <w:color w:val="555555"/>
          <w:kern w:val="0"/>
          <w:szCs w:val="24"/>
          <w:lang w:eastAsia="es-CO"/>
          <w14:ligatures w14:val="none"/>
        </w:rPr>
        <w:t> del Estatuto Tributario fue modificado parcialmente por el artículo 77 de la Ley 2277 de 2022, en lo relacionado con la causación, el hecho generador, la base gravable y la tarifa del impuesto de timbre, en los siguientes términos:</w:t>
      </w:r>
    </w:p>
    <w:p w14:paraId="08D7C401" w14:textId="7C5D6C4B"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w:t>
      </w:r>
      <w:r w:rsidRPr="00EE7003">
        <w:rPr>
          <w:rFonts w:eastAsia="Times New Roman" w:cs="Times New Roman"/>
          <w:b/>
          <w:bCs/>
          <w:i/>
          <w:iCs/>
          <w:color w:val="555555"/>
          <w:kern w:val="0"/>
          <w:szCs w:val="24"/>
          <w:lang w:eastAsia="es-CO"/>
          <w14:ligatures w14:val="none"/>
        </w:rPr>
        <w:t>Artículo 77. </w:t>
      </w:r>
      <w:r w:rsidRPr="00EE7003">
        <w:rPr>
          <w:rFonts w:eastAsia="Times New Roman" w:cs="Times New Roman"/>
          <w:i/>
          <w:iCs/>
          <w:color w:val="555555"/>
          <w:kern w:val="0"/>
          <w:szCs w:val="24"/>
          <w:lang w:eastAsia="es-CO"/>
          <w14:ligatures w14:val="none"/>
        </w:rPr>
        <w:t>Modifíquese el inciso tercero y adiciónese un Parágrafo 3</w:t>
      </w:r>
      <w:r w:rsidRPr="00EE7003">
        <w:rPr>
          <w:rFonts w:eastAsia="Times New Roman" w:cs="Times New Roman"/>
          <w:color w:val="555555"/>
          <w:kern w:val="0"/>
          <w:szCs w:val="24"/>
          <w:lang w:eastAsia="es-CO"/>
          <w14:ligatures w14:val="none"/>
        </w:rPr>
        <w:t>° </w:t>
      </w:r>
      <w:r w:rsidRPr="00EE7003">
        <w:rPr>
          <w:rFonts w:eastAsia="Times New Roman" w:cs="Times New Roman"/>
          <w:i/>
          <w:iCs/>
          <w:color w:val="555555"/>
          <w:kern w:val="0"/>
          <w:szCs w:val="24"/>
          <w:lang w:eastAsia="es-CO"/>
          <w14:ligatures w14:val="none"/>
        </w:rPr>
        <w:t>al </w:t>
      </w:r>
      <w:r w:rsidRPr="00EE7003">
        <w:rPr>
          <w:rFonts w:eastAsia="Times New Roman" w:cs="Times New Roman"/>
          <w:i/>
          <w:iCs/>
          <w:color w:val="555555"/>
          <w:kern w:val="0"/>
          <w:szCs w:val="24"/>
          <w:u w:val="single"/>
          <w:lang w:eastAsia="es-CO"/>
          <w14:ligatures w14:val="none"/>
        </w:rPr>
        <w:t>artículo 519</w:t>
      </w:r>
      <w:r w:rsidRPr="00EE7003">
        <w:rPr>
          <w:rFonts w:eastAsia="Times New Roman" w:cs="Times New Roman"/>
          <w:i/>
          <w:iCs/>
          <w:color w:val="555555"/>
          <w:kern w:val="0"/>
          <w:szCs w:val="24"/>
          <w:lang w:eastAsia="es-CO"/>
          <w14:ligatures w14:val="none"/>
        </w:rPr>
        <w:t> del Estatuto Tributario, así:</w:t>
      </w:r>
    </w:p>
    <w:p w14:paraId="5252A9F2" w14:textId="3EEA78B2"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Tratándose de documentos que hayan sido elevados a escritura pública, se causará el impuesto de timbre, en concurrencia con el impuesto de registro, siempre y cuando no se trate de la enajenación a cualquier título de bienes inmuebles cuyo valor sea inferior a veinte mil (20.000) UVT y no haya sido sujeto a este impuesto, o naves, o constitución o cancelación de hipotecas sobre los mismos. En el caso de constitución de hipoteca abierta, se pagará este impuesto sobre los respectivos documentos de deber.</w:t>
      </w:r>
    </w:p>
    <w:p w14:paraId="09119FBC" w14:textId="5F18AC25"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i/>
          <w:iCs/>
          <w:color w:val="555555"/>
          <w:kern w:val="0"/>
          <w:szCs w:val="24"/>
          <w:lang w:eastAsia="es-CO"/>
          <w14:ligatures w14:val="none"/>
        </w:rPr>
        <w:t>Parágrafo 3</w:t>
      </w:r>
      <w:r w:rsidRPr="00EE7003">
        <w:rPr>
          <w:rFonts w:eastAsia="Times New Roman" w:cs="Times New Roman"/>
          <w:color w:val="555555"/>
          <w:kern w:val="0"/>
          <w:szCs w:val="24"/>
          <w:lang w:eastAsia="es-CO"/>
          <w14:ligatures w14:val="none"/>
        </w:rPr>
        <w:t>°</w:t>
      </w:r>
      <w:r w:rsidRPr="00EE7003">
        <w:rPr>
          <w:rFonts w:eastAsia="Times New Roman" w:cs="Times New Roman"/>
          <w:i/>
          <w:iCs/>
          <w:color w:val="555555"/>
          <w:kern w:val="0"/>
          <w:szCs w:val="24"/>
          <w:lang w:eastAsia="es-CO"/>
          <w14:ligatures w14:val="none"/>
        </w:rPr>
        <w:t>. A partir del año 2023, la tarifa del impuesto para el caso de documentos que hayan sido elevados a escritura pública. tratándose de la enajenación a cualquier título de bienes inmuebles cuyo valor sea igual superior a veinte mil (20.000) UVT, la tarifa se determinará conforme con la siguiente tabla:</w:t>
      </w:r>
    </w:p>
    <w:p w14:paraId="0429A314"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tbl>
      <w:tblPr>
        <w:tblW w:w="9348"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7"/>
        <w:gridCol w:w="1397"/>
        <w:gridCol w:w="20"/>
        <w:gridCol w:w="1551"/>
        <w:gridCol w:w="18"/>
        <w:gridCol w:w="5525"/>
      </w:tblGrid>
      <w:tr w:rsidR="00EE7003" w:rsidRPr="00EE7003" w14:paraId="2D1339D3" w14:textId="77777777" w:rsidTr="00EE7003">
        <w:trPr>
          <w:jc w:val="center"/>
        </w:trPr>
        <w:tc>
          <w:tcPr>
            <w:tcW w:w="2234" w:type="dxa"/>
            <w:gridSpan w:val="2"/>
            <w:tcBorders>
              <w:top w:val="outset" w:sz="6" w:space="0" w:color="auto"/>
              <w:left w:val="outset" w:sz="6" w:space="0" w:color="auto"/>
              <w:bottom w:val="outset" w:sz="6" w:space="0" w:color="auto"/>
              <w:right w:val="outset" w:sz="6" w:space="0" w:color="auto"/>
            </w:tcBorders>
            <w:shd w:val="clear" w:color="auto" w:fill="DDDDDD"/>
            <w:tcMar>
              <w:top w:w="0" w:type="dxa"/>
              <w:left w:w="0" w:type="dxa"/>
              <w:bottom w:w="0" w:type="dxa"/>
              <w:right w:w="0" w:type="dxa"/>
            </w:tcMar>
            <w:hideMark/>
          </w:tcPr>
          <w:p w14:paraId="4C61D715"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Rangos en UVT</w:t>
            </w:r>
          </w:p>
        </w:tc>
        <w:tc>
          <w:tcPr>
            <w:tcW w:w="1571" w:type="dxa"/>
            <w:gridSpan w:val="2"/>
            <w:tcBorders>
              <w:top w:val="outset" w:sz="6" w:space="0" w:color="auto"/>
              <w:left w:val="outset" w:sz="6" w:space="0" w:color="auto"/>
              <w:bottom w:val="outset" w:sz="6" w:space="0" w:color="auto"/>
              <w:right w:val="outset" w:sz="6" w:space="0" w:color="auto"/>
            </w:tcBorders>
            <w:shd w:val="clear" w:color="auto" w:fill="DDDDDD"/>
            <w:tcMar>
              <w:top w:w="0" w:type="dxa"/>
              <w:left w:w="0" w:type="dxa"/>
              <w:bottom w:w="0" w:type="dxa"/>
              <w:right w:w="0" w:type="dxa"/>
            </w:tcMar>
            <w:vAlign w:val="center"/>
            <w:hideMark/>
          </w:tcPr>
          <w:p w14:paraId="60852FE5"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Tarifa marginal</w:t>
            </w:r>
          </w:p>
        </w:tc>
        <w:tc>
          <w:tcPr>
            <w:tcW w:w="5543" w:type="dxa"/>
            <w:gridSpan w:val="2"/>
            <w:tcBorders>
              <w:top w:val="outset" w:sz="6" w:space="0" w:color="auto"/>
              <w:left w:val="outset" w:sz="6" w:space="0" w:color="auto"/>
              <w:bottom w:val="outset" w:sz="6" w:space="0" w:color="auto"/>
              <w:right w:val="outset" w:sz="6" w:space="0" w:color="auto"/>
            </w:tcBorders>
            <w:shd w:val="clear" w:color="auto" w:fill="DDDDDD"/>
            <w:tcMar>
              <w:top w:w="0" w:type="dxa"/>
              <w:left w:w="0" w:type="dxa"/>
              <w:bottom w:w="0" w:type="dxa"/>
              <w:right w:w="0" w:type="dxa"/>
            </w:tcMar>
            <w:vAlign w:val="center"/>
            <w:hideMark/>
          </w:tcPr>
          <w:p w14:paraId="708B5A47"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Impuesto</w:t>
            </w:r>
          </w:p>
        </w:tc>
      </w:tr>
      <w:tr w:rsidR="00EE7003" w:rsidRPr="00EE7003" w14:paraId="2E2A68A1" w14:textId="77777777" w:rsidTr="00EE7003">
        <w:trPr>
          <w:jc w:val="center"/>
        </w:trPr>
        <w:tc>
          <w:tcPr>
            <w:tcW w:w="837" w:type="dxa"/>
            <w:tcBorders>
              <w:top w:val="outset" w:sz="6" w:space="0" w:color="auto"/>
              <w:left w:val="outset" w:sz="6" w:space="0" w:color="auto"/>
              <w:bottom w:val="outset" w:sz="6" w:space="0" w:color="auto"/>
              <w:right w:val="outset" w:sz="6" w:space="0" w:color="auto"/>
            </w:tcBorders>
            <w:shd w:val="clear" w:color="auto" w:fill="DDDDDD"/>
            <w:tcMar>
              <w:top w:w="0" w:type="dxa"/>
              <w:left w:w="0" w:type="dxa"/>
              <w:bottom w:w="0" w:type="dxa"/>
              <w:right w:w="0" w:type="dxa"/>
            </w:tcMar>
            <w:hideMark/>
          </w:tcPr>
          <w:p w14:paraId="559E1A02"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Desde</w:t>
            </w:r>
          </w:p>
        </w:tc>
        <w:tc>
          <w:tcPr>
            <w:tcW w:w="1417" w:type="dxa"/>
            <w:gridSpan w:val="2"/>
            <w:tcBorders>
              <w:top w:val="outset" w:sz="6" w:space="0" w:color="auto"/>
              <w:left w:val="outset" w:sz="6" w:space="0" w:color="auto"/>
              <w:bottom w:val="outset" w:sz="6" w:space="0" w:color="auto"/>
              <w:right w:val="outset" w:sz="6" w:space="0" w:color="auto"/>
            </w:tcBorders>
            <w:shd w:val="clear" w:color="auto" w:fill="DDDDDD"/>
            <w:tcMar>
              <w:top w:w="0" w:type="dxa"/>
              <w:left w:w="0" w:type="dxa"/>
              <w:bottom w:w="0" w:type="dxa"/>
              <w:right w:w="0" w:type="dxa"/>
            </w:tcMar>
            <w:hideMark/>
          </w:tcPr>
          <w:p w14:paraId="2D58AE12"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Hasta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1ABF3B"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p>
        </w:tc>
        <w:tc>
          <w:tcPr>
            <w:tcW w:w="5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71A58"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p>
        </w:tc>
      </w:tr>
      <w:tr w:rsidR="00EE7003" w:rsidRPr="00EE7003" w14:paraId="1D0BAF98" w14:textId="77777777" w:rsidTr="00EE7003">
        <w:trPr>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FCA6FB"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9EB165"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20.000</w:t>
            </w:r>
          </w:p>
        </w:tc>
        <w:tc>
          <w:tcPr>
            <w:tcW w:w="156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082ABC"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0%</w:t>
            </w:r>
          </w:p>
        </w:tc>
        <w:tc>
          <w:tcPr>
            <w:tcW w:w="5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5C4D3C"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  0%</w:t>
            </w:r>
          </w:p>
        </w:tc>
      </w:tr>
      <w:tr w:rsidR="00EE7003" w:rsidRPr="00EE7003" w14:paraId="68248E2A" w14:textId="77777777" w:rsidTr="00EE7003">
        <w:trPr>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5C27EB"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&gt;20.000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744A13"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50.000</w:t>
            </w:r>
          </w:p>
        </w:tc>
        <w:tc>
          <w:tcPr>
            <w:tcW w:w="156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4A7D5E"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1.5%</w:t>
            </w:r>
          </w:p>
        </w:tc>
        <w:tc>
          <w:tcPr>
            <w:tcW w:w="5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B8370B"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  (Valor de la enajenación en UVT menos 20.000 UVT) x 1.5%</w:t>
            </w:r>
          </w:p>
        </w:tc>
      </w:tr>
      <w:tr w:rsidR="00EE7003" w:rsidRPr="00EE7003" w14:paraId="5BE002CC" w14:textId="77777777" w:rsidTr="00EE7003">
        <w:trPr>
          <w:jc w:val="center"/>
        </w:trPr>
        <w:tc>
          <w:tcPr>
            <w:tcW w:w="8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6ED40C"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&gt;50.000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C9B4AF"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En adelante</w:t>
            </w:r>
          </w:p>
        </w:tc>
        <w:tc>
          <w:tcPr>
            <w:tcW w:w="156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825A617"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3% </w:t>
            </w:r>
          </w:p>
        </w:tc>
        <w:tc>
          <w:tcPr>
            <w:tcW w:w="55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61BEC2" w14:textId="77777777" w:rsidR="00EE7003" w:rsidRPr="00EE7003" w:rsidRDefault="00EE7003" w:rsidP="005E5905">
            <w:pPr>
              <w:spacing w:after="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  (Valor de la enajenación en UVT menos 50.000 UVT) x3% + 450 UVT</w:t>
            </w:r>
          </w:p>
        </w:tc>
      </w:tr>
    </w:tbl>
    <w:p w14:paraId="3BD842A6"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72819B6A"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lastRenderedPageBreak/>
        <w:t> </w:t>
      </w:r>
    </w:p>
    <w:p w14:paraId="71342BCA"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con esta modificación normativa se prevé la causación, el hecho generador, la base gravable y la tarifa del impuesto de timbre en los documentos elevados a escritura pública por el perfeccionamiento de la enajenación de bienes inmuebles cuyo valor sea superior a veinte mil (20.000) UVT y no haya sido sujeto a este impuesto.</w:t>
      </w:r>
    </w:p>
    <w:p w14:paraId="5D92457C" w14:textId="27CA5A7B"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xml:space="preserve">Que, con base en la modificación indicada en el considerando anterior, se requiere adicionar un inciso al artículo 1.4.1.4.5. del Decreto número 1625 de 2016, Único Reglamentario en Materia Tributaria para precisar que no se causa el impuesto de timbre cuando i) el valor de la enajenación del bien inmueble sea inferior a veinte mil (20.000) UVT o, </w:t>
      </w:r>
      <w:proofErr w:type="spellStart"/>
      <w:r w:rsidRPr="00EE7003">
        <w:rPr>
          <w:rFonts w:eastAsia="Times New Roman" w:cs="Times New Roman"/>
          <w:color w:val="555555"/>
          <w:kern w:val="0"/>
          <w:szCs w:val="24"/>
          <w:lang w:eastAsia="es-CO"/>
          <w14:ligatures w14:val="none"/>
        </w:rPr>
        <w:t>ii</w:t>
      </w:r>
      <w:proofErr w:type="spellEnd"/>
      <w:r w:rsidRPr="00EE7003">
        <w:rPr>
          <w:rFonts w:eastAsia="Times New Roman" w:cs="Times New Roman"/>
          <w:color w:val="555555"/>
          <w:kern w:val="0"/>
          <w:szCs w:val="24"/>
          <w:lang w:eastAsia="es-CO"/>
          <w14:ligatures w14:val="none"/>
        </w:rPr>
        <w:t>) cuando se enajene un bien inmueble cuyo valor sea superior a veinte mil (20.000) UVT y el mismo bien inmueble, haya sido objeto de este gravamen previamente.</w:t>
      </w:r>
    </w:p>
    <w:p w14:paraId="1057F1E6" w14:textId="62303BF9"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el parágrafo 6° del </w:t>
      </w:r>
      <w:r w:rsidRPr="00EE7003">
        <w:rPr>
          <w:rFonts w:eastAsia="Times New Roman" w:cs="Times New Roman"/>
          <w:color w:val="555555"/>
          <w:kern w:val="0"/>
          <w:szCs w:val="24"/>
          <w:u w:val="single"/>
          <w:lang w:eastAsia="es-CO"/>
          <w14:ligatures w14:val="none"/>
        </w:rPr>
        <w:t>artículo 256-1</w:t>
      </w:r>
      <w:r w:rsidRPr="00EE7003">
        <w:rPr>
          <w:rFonts w:eastAsia="Times New Roman" w:cs="Times New Roman"/>
          <w:color w:val="555555"/>
          <w:kern w:val="0"/>
          <w:szCs w:val="24"/>
          <w:lang w:eastAsia="es-CO"/>
          <w14:ligatures w14:val="none"/>
        </w:rPr>
        <w:t> del Estatuto Tributario fue adicionado por el artículo 22 de la Ley 2277 de 2022, así:</w:t>
      </w:r>
    </w:p>
    <w:p w14:paraId="0C639E64" w14:textId="26F50A8B"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w:t>
      </w:r>
      <w:r w:rsidRPr="00EE7003">
        <w:rPr>
          <w:rFonts w:eastAsia="Times New Roman" w:cs="Times New Roman"/>
          <w:b/>
          <w:bCs/>
          <w:i/>
          <w:iCs/>
          <w:color w:val="555555"/>
          <w:kern w:val="0"/>
          <w:szCs w:val="24"/>
          <w:lang w:eastAsia="es-CO"/>
          <w14:ligatures w14:val="none"/>
        </w:rPr>
        <w:t>Parágrafo 6</w:t>
      </w:r>
      <w:r w:rsidRPr="00EE7003">
        <w:rPr>
          <w:rFonts w:eastAsia="Times New Roman" w:cs="Times New Roman"/>
          <w:color w:val="555555"/>
          <w:kern w:val="0"/>
          <w:szCs w:val="24"/>
          <w:lang w:eastAsia="es-CO"/>
          <w14:ligatures w14:val="none"/>
        </w:rPr>
        <w:t>°</w:t>
      </w:r>
      <w:r w:rsidRPr="00EE7003">
        <w:rPr>
          <w:rFonts w:eastAsia="Times New Roman" w:cs="Times New Roman"/>
          <w:i/>
          <w:iCs/>
          <w:color w:val="555555"/>
          <w:kern w:val="0"/>
          <w:szCs w:val="24"/>
          <w:lang w:eastAsia="es-CO"/>
          <w14:ligatures w14:val="none"/>
        </w:rPr>
        <w:t>. Las. grandes empresas podrán acceder al crédito fiscal de que trata el presente artículo siempre y cuando se trate de proyectos de investigación, desarrollo tecnológico e innovación realizados en conjunto con Micro, Pequeñas o Medianas empresas”.</w:t>
      </w:r>
    </w:p>
    <w:p w14:paraId="3AE5B0EB" w14:textId="665BF9AD"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de conformidad con la norma en cita, se requiere adicionar el parágrafo 2° al artículo 1.8.2.4.3. y el artículo 1.8.2.4.14. al Capítulo 4 del Título 2 de la Parte 8 del Libro 1 del Decreto número 1625 de 2016, Único Reglamentario en Materia Tributaria, para precisar que las grandes empresas pueden solicitar el certificado de inversión en proyectos de investigación, desarrollo tecnológico e innovación siempre y cuando se realice la respectiva inversión de manera conjunta con micro, pequeñas o medianas empresas.</w:t>
      </w:r>
    </w:p>
    <w:p w14:paraId="3EDF8BB9" w14:textId="4A5E2A8D"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en cumplimiento de los artículos 3° y 8° de la Ley 1437 de 2011 y de lo dispuesto por el artículo 2.1.2.1.14 del Decreto número 1081 de 2015, modificado por los Decretos 270 de 2017 y 1273 de 2020, el proyecto de Decreto y el informe de observaciones y respuestas fueron publicados en el sitio web del Ministerio de Hacienda y Crédito Público.</w:t>
      </w:r>
    </w:p>
    <w:p w14:paraId="17E14924" w14:textId="4118DACB"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Que, en mérito de lo expuesto,</w:t>
      </w:r>
    </w:p>
    <w:p w14:paraId="38BFB049"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2CDAC1EE" w14:textId="77777777" w:rsidR="00EE7003" w:rsidRPr="00EE7003" w:rsidRDefault="00EE7003" w:rsidP="00BE1D66">
      <w:pPr>
        <w:shd w:val="clear" w:color="auto" w:fill="FFFFFF"/>
        <w:spacing w:after="150" w:line="360" w:lineRule="auto"/>
        <w:jc w:val="center"/>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DECRETA:</w:t>
      </w:r>
    </w:p>
    <w:p w14:paraId="5F4E8008"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61929210"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1</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MODIFICACIÓN DEL ARTÍCULO 1.2.3.1. DEL TÍTULO 3 DE LA PARTE 2 DEL LIBRO 1 DEL DECRETO 1625 DE 2016, ÚNICO REGLAMENTARIO EN MATERIA TRIBUTARIA</w:t>
      </w:r>
      <w:r w:rsidRPr="00EE7003">
        <w:rPr>
          <w:rFonts w:eastAsia="Times New Roman" w:cs="Times New Roman"/>
          <w:color w:val="555555"/>
          <w:kern w:val="0"/>
          <w:szCs w:val="24"/>
          <w:lang w:eastAsia="es-CO"/>
          <w14:ligatures w14:val="none"/>
        </w:rPr>
        <w:t>. Modifíquese el artículo 1.2.3.1. del Título 3 de la Parte 2 del Libro 1 del Decreto 1625 de 2016, Único Reglamentario en Materia Tributaria, así:</w:t>
      </w:r>
    </w:p>
    <w:p w14:paraId="4EFA63E0"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76D67013"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lastRenderedPageBreak/>
        <w:t>“</w:t>
      </w:r>
      <w:r w:rsidRPr="00EE7003">
        <w:rPr>
          <w:rFonts w:eastAsia="Times New Roman" w:cs="Times New Roman"/>
          <w:b/>
          <w:bCs/>
          <w:color w:val="555555"/>
          <w:kern w:val="0"/>
          <w:szCs w:val="24"/>
          <w:lang w:eastAsia="es-CO"/>
          <w14:ligatures w14:val="none"/>
        </w:rPr>
        <w:t>Artículo 1.2.3.1</w:t>
      </w:r>
      <w:r w:rsidRPr="00EE7003">
        <w:rPr>
          <w:rFonts w:eastAsia="Times New Roman" w:cs="Times New Roman"/>
          <w:b/>
          <w:bCs/>
          <w:i/>
          <w:iCs/>
          <w:color w:val="555555"/>
          <w:kern w:val="0"/>
          <w:szCs w:val="24"/>
          <w:lang w:eastAsia="es-CO"/>
          <w14:ligatures w14:val="none"/>
        </w:rPr>
        <w:t>. Utilidad exenta en la venta de la casa o apartamento de habitación</w:t>
      </w:r>
      <w:r w:rsidRPr="00EE7003">
        <w:rPr>
          <w:rFonts w:eastAsia="Times New Roman" w:cs="Times New Roman"/>
          <w:color w:val="555555"/>
          <w:kern w:val="0"/>
          <w:szCs w:val="24"/>
          <w:lang w:eastAsia="es-CO"/>
          <w14:ligatures w14:val="none"/>
        </w:rPr>
        <w:t>. Están exentas del impuesto de ganancia ocasional las primeras cinco mil (5.000) Unidades de Valor Tributario (UVT) de la utilidad generada en la venta de la casa o apartamento de habitación de las personas naturales contribuyentes del impuesto sobre la renta y complementario, siempre y cuando se cumpla con la totalidad de los siguientes requisitos:</w:t>
      </w:r>
    </w:p>
    <w:p w14:paraId="7595CAE7" w14:textId="030FB5D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1. Que la casa o apartamento de habitación objeto de la venta haya sido poseída dos (2) años o más.</w:t>
      </w:r>
    </w:p>
    <w:p w14:paraId="29C0ABE8" w14:textId="2DF6BCB4"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2. Que la totalidad de los dineros recibidos en la venta tenga uno o varios de los siguientes destinos:</w:t>
      </w:r>
    </w:p>
    <w:p w14:paraId="264ED758" w14:textId="64FFF4A8"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2.1. Que sean depositados en una o más cuentas de ahorro denominadas Ahorro para el Fomento de la Construcción (AFC) cuyo titular sea única y exclusivamente el vendedor del inmueble, para ser destinados a la adquisición de otra casa o apartamento de habitación.</w:t>
      </w:r>
    </w:p>
    <w:p w14:paraId="7F547080" w14:textId="6EA0ABCD"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2.2. Que se destinen para el pago total o parcial de uno o más créditos hipotecarios vinculados directamente con la casa o apartamento de habitación objeto de la venta. Este evento deberá demostrarse a través de cualquier medio probatorio.</w:t>
      </w:r>
    </w:p>
    <w:p w14:paraId="1E1580CA" w14:textId="02BE87A3"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xml:space="preserve">3. Tratándose de los dineros depositados en una o más Cuentas de Ahorro para el Fomento de la Construcción (AFC), el retiro de </w:t>
      </w:r>
      <w:proofErr w:type="gramStart"/>
      <w:r w:rsidRPr="00EE7003">
        <w:rPr>
          <w:rFonts w:eastAsia="Times New Roman" w:cs="Times New Roman"/>
          <w:color w:val="555555"/>
          <w:kern w:val="0"/>
          <w:szCs w:val="24"/>
          <w:lang w:eastAsia="es-CO"/>
          <w14:ligatures w14:val="none"/>
        </w:rPr>
        <w:t>los mismos</w:t>
      </w:r>
      <w:proofErr w:type="gramEnd"/>
      <w:r w:rsidRPr="00EE7003">
        <w:rPr>
          <w:rFonts w:eastAsia="Times New Roman" w:cs="Times New Roman"/>
          <w:color w:val="555555"/>
          <w:kern w:val="0"/>
          <w:szCs w:val="24"/>
          <w:lang w:eastAsia="es-CO"/>
          <w14:ligatures w14:val="none"/>
        </w:rPr>
        <w:t xml:space="preserve"> debe destinarse exclusivamente a la compra de otra casa o apartamento de habitación, tratándose de vivienda nueva o usada, sea o no financiada por entidades vigiladas por la Superintendencia Financiera de Colombia a través de crédito hipotecario, leasing habitacional o fideicomiso inmobiliario, bajo alguna de las siguientes modalidades:</w:t>
      </w:r>
    </w:p>
    <w:p w14:paraId="5D0ED2A6" w14:textId="07057BB1"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3.1. Compra de contado.</w:t>
      </w:r>
    </w:p>
    <w:p w14:paraId="41073180" w14:textId="1E89F124"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3.2. Cuota inicial y/o pago de las cuotas del crédito hipotecario, o de los cánones del leasing habitacional, o para cubrir el valor de la opción de compra del leasing habitacional;</w:t>
      </w:r>
    </w:p>
    <w:p w14:paraId="258847B7" w14:textId="4229771E"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3.3. Pago del precio en la etapa de preventa del proyecto en el caso del fideicomiso inmobiliario.</w:t>
      </w:r>
    </w:p>
    <w:p w14:paraId="00022E8B" w14:textId="5C73C562"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Parágrafo.</w:t>
      </w:r>
      <w:r w:rsidRPr="00EE7003">
        <w:rPr>
          <w:rFonts w:eastAsia="Times New Roman" w:cs="Times New Roman"/>
          <w:color w:val="555555"/>
          <w:kern w:val="0"/>
          <w:szCs w:val="24"/>
          <w:lang w:eastAsia="es-CO"/>
          <w14:ligatures w14:val="none"/>
        </w:rPr>
        <w:t> Cuando se retiren los recursos depositados en las Cuentas de Ahorro para el Fomento de la Construcción (AFC), para fines distintos a los definidos en la ley, la entidad financiera en donde el contribuyente tiene la cuenta efectuará las retenciones en la fuente no realizadas de acuerdo con lo dispuesto en el </w:t>
      </w:r>
      <w:r w:rsidRPr="00EE7003">
        <w:rPr>
          <w:rFonts w:eastAsia="Times New Roman" w:cs="Times New Roman"/>
          <w:color w:val="555555"/>
          <w:kern w:val="0"/>
          <w:szCs w:val="24"/>
          <w:u w:val="single"/>
          <w:lang w:eastAsia="es-CO"/>
          <w14:ligatures w14:val="none"/>
        </w:rPr>
        <w:t>artículo 398</w:t>
      </w:r>
      <w:r w:rsidRPr="00EE7003">
        <w:rPr>
          <w:rFonts w:eastAsia="Times New Roman" w:cs="Times New Roman"/>
          <w:color w:val="555555"/>
          <w:kern w:val="0"/>
          <w:szCs w:val="24"/>
          <w:lang w:eastAsia="es-CO"/>
          <w14:ligatures w14:val="none"/>
        </w:rPr>
        <w:t> del Estatuto Tributario”.</w:t>
      </w:r>
    </w:p>
    <w:p w14:paraId="6FCD5E20" w14:textId="73288CAC"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2</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ADICIÓN DEL INCISO 2° AL ARTÍCULO 1.2.1.5.1.5. DE LA SECCIÓN 1 DEL CAPÍTULO 5 DEL TÍTULO 1 DE LA PARTE 2 DEL LIBRO 1 DEL DECRETO NÚMERO 1625 DE 2016, ÚNICO REGLAMENTARIO EN MATERIA TRIBUTARIA</w:t>
      </w:r>
      <w:r w:rsidRPr="00EE7003">
        <w:rPr>
          <w:rFonts w:eastAsia="Times New Roman" w:cs="Times New Roman"/>
          <w:color w:val="555555"/>
          <w:kern w:val="0"/>
          <w:szCs w:val="24"/>
          <w:lang w:eastAsia="es-CO"/>
          <w14:ligatures w14:val="none"/>
        </w:rPr>
        <w:t>. Adiciónese el inciso 2 al artículo 1.2.1.5.1.5. de la Sección 1 del Capítulo 5 del Título 1 de la Parte 2 del Libro 1 del Decreto número 1625 de 2016, Único Reglamentario en Materia Tributaria, así:</w:t>
      </w:r>
    </w:p>
    <w:p w14:paraId="34A0E577"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1B8FD92E"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lastRenderedPageBreak/>
        <w:t>“Cuando corresponda a una solicitud de calificación en el Régimen Tributario Especial, el término de inicio de la publicación que se establece en el numeral primero de este artículo comenzará a contarse a partir del vencimiento del plazo que tiene el contribuyente para subsanar las inconsistencias presentadas en la radicación de la respectiva solicitud, de conformidad con el inciso 3° del </w:t>
      </w:r>
      <w:r w:rsidRPr="00EE7003">
        <w:rPr>
          <w:rFonts w:eastAsia="Times New Roman" w:cs="Times New Roman"/>
          <w:color w:val="555555"/>
          <w:kern w:val="0"/>
          <w:szCs w:val="24"/>
          <w:u w:val="single"/>
          <w:lang w:eastAsia="es-CO"/>
          <w14:ligatures w14:val="none"/>
        </w:rPr>
        <w:t>artículo 356-2</w:t>
      </w:r>
      <w:r w:rsidRPr="00EE7003">
        <w:rPr>
          <w:rFonts w:eastAsia="Times New Roman" w:cs="Times New Roman"/>
          <w:color w:val="555555"/>
          <w:kern w:val="0"/>
          <w:szCs w:val="24"/>
          <w:lang w:eastAsia="es-CO"/>
          <w14:ligatures w14:val="none"/>
        </w:rPr>
        <w:t> del Estatuto Tributario”</w:t>
      </w:r>
    </w:p>
    <w:p w14:paraId="1E73D960" w14:textId="2BE4B798"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3</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MODIFICACIÓN DEL PARÁGRAFO DEL ARTÍCULO 1.2.1.5.1.7. DE LA SECCIÓN 1 DEL CAPÍTULO 5 DEL TÍTULO 1 DE LA PARTE 2 DEL LIBRO 1 DEL DECRETO NÚMERO 1625 DE 2016, ÚNICO REGLAMENTARIO EN MATERIA TRIBUTARIA</w:t>
      </w:r>
      <w:r w:rsidRPr="00EE7003">
        <w:rPr>
          <w:rFonts w:eastAsia="Times New Roman" w:cs="Times New Roman"/>
          <w:color w:val="555555"/>
          <w:kern w:val="0"/>
          <w:szCs w:val="24"/>
          <w:lang w:eastAsia="es-CO"/>
          <w14:ligatures w14:val="none"/>
        </w:rPr>
        <w:t>. Modifíquese el parágrafo del artículo 1.2.1.5.1.7. de la Sección 1 del Capítulo 5 del Título 1 de la Parte 2 del Libro 1 del Decreto número 1625 de 2016, Único Reglamentario en Materia Tributaria, así:</w:t>
      </w:r>
    </w:p>
    <w:p w14:paraId="51DDFC2B" w14:textId="17CF6894"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w:t>
      </w:r>
      <w:r w:rsidRPr="00EE7003">
        <w:rPr>
          <w:rFonts w:eastAsia="Times New Roman" w:cs="Times New Roman"/>
          <w:b/>
          <w:bCs/>
          <w:color w:val="555555"/>
          <w:kern w:val="0"/>
          <w:szCs w:val="24"/>
          <w:lang w:eastAsia="es-CO"/>
          <w14:ligatures w14:val="none"/>
        </w:rPr>
        <w:t>Parágrafo.</w:t>
      </w:r>
      <w:r w:rsidRPr="00EE7003">
        <w:rPr>
          <w:rFonts w:eastAsia="Times New Roman" w:cs="Times New Roman"/>
          <w:color w:val="555555"/>
          <w:kern w:val="0"/>
          <w:szCs w:val="24"/>
          <w:lang w:eastAsia="es-CO"/>
          <w14:ligatures w14:val="none"/>
        </w:rPr>
        <w:t> Cuando la solicitud de calificación radicada a través del registro web no se presente con la información exigida en el </w:t>
      </w:r>
      <w:r w:rsidRPr="00EE7003">
        <w:rPr>
          <w:rFonts w:eastAsia="Times New Roman" w:cs="Times New Roman"/>
          <w:color w:val="555555"/>
          <w:kern w:val="0"/>
          <w:szCs w:val="24"/>
          <w:u w:val="single"/>
          <w:lang w:eastAsia="es-CO"/>
          <w14:ligatures w14:val="none"/>
        </w:rPr>
        <w:t>artículo 364-5</w:t>
      </w:r>
      <w:r w:rsidRPr="00EE7003">
        <w:rPr>
          <w:rFonts w:eastAsia="Times New Roman" w:cs="Times New Roman"/>
          <w:color w:val="555555"/>
          <w:kern w:val="0"/>
          <w:szCs w:val="24"/>
          <w:lang w:eastAsia="es-CO"/>
          <w14:ligatures w14:val="none"/>
        </w:rPr>
        <w:t> del Estatuto Tributario y lo establecido en el presente artículo, la Unidad Administrativa Especial Dirección de Impuestos y Aduanas Nacionales (DIAN), procederá, dentro del término de diez (10) días hábiles siguientes a la radicación de la solicitud, a informar al solicitante los requisitos que no se cumplieron, con el fin de que este los subsane dentro del mes siguiente al envío de la comunicación.</w:t>
      </w:r>
    </w:p>
    <w:p w14:paraId="1C1F0B25" w14:textId="77777777" w:rsid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Cumplido este plazo se continuará con el procedimiento previsto en el artículo 1.2.1.5.1.5. del presente Decreto y la Unidad Administrativa Especial Dirección de Impuestos y Aduanas Nacionales (DIAN) resolverá la solicitud con base en el contenido de la información remitida a través de los servicios informáticos electrónicos. En caso de incumplimiento del plazo por parte del contribuyente, la entidad no podrá ser registrada en el Registro Único Tributario (RUT) como contribuyente del Régimen Tributario Especial y se procederá a la negación de la solicitud”.</w:t>
      </w:r>
    </w:p>
    <w:p w14:paraId="59A2F894" w14:textId="2AFBE222"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4</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ADICIÓN DEL INCISO 4° AL ARTÍCULO 1.4.1.4.5. DEL CAPÍTULO 4 DEL TÍTULO 1 DE LA PARTE 4 DEL LIBRO 1 DEL DECRETO 1625 DE 2016, ÚNICO REGLAMENTARIO EN MATERIA TRIBUTARIA</w:t>
      </w:r>
      <w:r w:rsidRPr="00EE7003">
        <w:rPr>
          <w:rFonts w:eastAsia="Times New Roman" w:cs="Times New Roman"/>
          <w:color w:val="555555"/>
          <w:kern w:val="0"/>
          <w:szCs w:val="24"/>
          <w:lang w:eastAsia="es-CO"/>
          <w14:ligatures w14:val="none"/>
        </w:rPr>
        <w:t>. Adiciónese el inciso 4° al artículo 1.4.1.4.5. del Capítulo 4 del Título 1 de la Parte 4 del Libro 1 del Decreto número 1625 de 2016, Único Reglamentario en Materia Tributaria, así:</w:t>
      </w:r>
    </w:p>
    <w:p w14:paraId="62E61B23" w14:textId="5BEA81E0"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“Cuando se trate de documentos que hayan sido elevados a escritura pública por la enajenación a cualquier título de bienes inmuebles, no se causa el impuesto cuando su valor de enajenación sea inferior a veinte mil (20.000) Unidades de Valor Tributario (UVT) o cuando su valor supere las veinte mil (20.000) unidades de valor tributario (UVT) y haya sido sometido a este impuesto previamente; o naves, o aeronaves, o constitución o cancelación de hipotecas sobre los mismos”.</w:t>
      </w:r>
    </w:p>
    <w:p w14:paraId="73CD648D" w14:textId="4E61D725"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5</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ADICIÓN DEL PARÁGRAFO 2° AL ARTÍCULO 1.8.2.4.3. DEL CAPÍTULO 4 DEL TÍTULO 2 DE LA PARTE 8 DEL LIBRO 1 DEL DECRETO NÚMERO 1625 DE 2016, ÚNICO REGLAMENTARIO EN MATERIA TRIBUTARIA</w:t>
      </w:r>
      <w:r w:rsidRPr="00EE7003">
        <w:rPr>
          <w:rFonts w:eastAsia="Times New Roman" w:cs="Times New Roman"/>
          <w:color w:val="555555"/>
          <w:kern w:val="0"/>
          <w:szCs w:val="24"/>
          <w:lang w:eastAsia="es-CO"/>
          <w14:ligatures w14:val="none"/>
        </w:rPr>
        <w:t xml:space="preserve">. Adiciónese el </w:t>
      </w:r>
      <w:r w:rsidRPr="00EE7003">
        <w:rPr>
          <w:rFonts w:eastAsia="Times New Roman" w:cs="Times New Roman"/>
          <w:color w:val="555555"/>
          <w:kern w:val="0"/>
          <w:szCs w:val="24"/>
          <w:lang w:eastAsia="es-CO"/>
          <w14:ligatures w14:val="none"/>
        </w:rPr>
        <w:lastRenderedPageBreak/>
        <w:t>parágrafo 2° al artículo 1.8.2.4.3. del Capítulo 4 del Título 2 de la Parte 8 del Libro 1 del Decreto número 1625 de 2016, Único Reglamentario en Materia Tributaria, así:</w:t>
      </w:r>
    </w:p>
    <w:p w14:paraId="333B7FDD" w14:textId="5D7BE2DE"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w:t>
      </w:r>
      <w:r w:rsidRPr="00EE7003">
        <w:rPr>
          <w:rFonts w:eastAsia="Times New Roman" w:cs="Times New Roman"/>
          <w:b/>
          <w:bCs/>
          <w:color w:val="555555"/>
          <w:kern w:val="0"/>
          <w:szCs w:val="24"/>
          <w:lang w:eastAsia="es-CO"/>
          <w14:ligatures w14:val="none"/>
        </w:rPr>
        <w:t>Parágrafo 2°.</w:t>
      </w:r>
      <w:r w:rsidRPr="00EE7003">
        <w:rPr>
          <w:rFonts w:eastAsia="Times New Roman" w:cs="Times New Roman"/>
          <w:color w:val="555555"/>
          <w:kern w:val="0"/>
          <w:szCs w:val="24"/>
          <w:lang w:eastAsia="es-CO"/>
          <w14:ligatures w14:val="none"/>
        </w:rPr>
        <w:t> Cuando la inversión en el proyecto de investigación, desarrollo tecnológico e innovación se haya efectuado por una gran empresa en conjunto con una micro, pequeña o mediana empresa, el certificado que se expide de conformidad con lo previsto en el presente artículo deberá indicar adicionalmente, la razón social y número de identificación tributaria (NIT), de la micro, pequeña o mediana empresa con la que se realizó la inversión y también deberá ser reportado a la Dirección de Gestión de Impuestos, o quien haga sus veces, de la Unidad Administrativa Especial Dirección de Impuestos y Aduanas Nacionales (DIAN), en los términos previstos en el presente artículo.</w:t>
      </w:r>
    </w:p>
    <w:p w14:paraId="35170BE9" w14:textId="4EEB7424"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Lo dispuesto en este parágrafo solo aplica para los proyectos de investigación, desarrollo tecnológico e innovación que realice la gran empresa en conjunto con la micro, pequeña o mediana empresa y solo puede ser usado por quien realizó la respectiva inversión”.</w:t>
      </w:r>
    </w:p>
    <w:p w14:paraId="68EBD9ED" w14:textId="1DC199C0"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6</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ADICIÓN DEL ARTÍCULO 1.8.2.4.14. AL CAPÍTULO 4 DEL TÍTULO 2 DE LA PARTE 8 DEL LIBRO 1 DEL DECRETO NÚMERO 1625 DE 2016, ÚNICO REGLAMENTARIO EN MATERIA TRIBUTARIA</w:t>
      </w:r>
      <w:r w:rsidRPr="00EE7003">
        <w:rPr>
          <w:rFonts w:eastAsia="Times New Roman" w:cs="Times New Roman"/>
          <w:color w:val="555555"/>
          <w:kern w:val="0"/>
          <w:szCs w:val="24"/>
          <w:lang w:eastAsia="es-CO"/>
          <w14:ligatures w14:val="none"/>
        </w:rPr>
        <w:t>. Adiciónese el artículo 1.8.2.4.14. al Capítulo 4 del Título 2 de la Parte 8 del Libro 1 del Decreto 1625 de 2016, Único Reglamentario en Materia Tributaria, así:</w:t>
      </w:r>
    </w:p>
    <w:p w14:paraId="16E0AE94" w14:textId="16EC8C63"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i/>
          <w:iCs/>
          <w:color w:val="555555"/>
          <w:kern w:val="0"/>
          <w:szCs w:val="24"/>
          <w:lang w:eastAsia="es-CO"/>
          <w14:ligatures w14:val="none"/>
        </w:rPr>
        <w:t>“</w:t>
      </w:r>
      <w:r w:rsidRPr="00EE7003">
        <w:rPr>
          <w:rFonts w:eastAsia="Times New Roman" w:cs="Times New Roman"/>
          <w:b/>
          <w:bCs/>
          <w:color w:val="555555"/>
          <w:kern w:val="0"/>
          <w:szCs w:val="24"/>
          <w:lang w:eastAsia="es-CO"/>
          <w14:ligatures w14:val="none"/>
        </w:rPr>
        <w:t>Artículo 1.8.2.4.14. </w:t>
      </w:r>
      <w:r w:rsidRPr="00EE7003">
        <w:rPr>
          <w:rFonts w:eastAsia="Times New Roman" w:cs="Times New Roman"/>
          <w:b/>
          <w:bCs/>
          <w:i/>
          <w:iCs/>
          <w:color w:val="555555"/>
          <w:kern w:val="0"/>
          <w:szCs w:val="24"/>
          <w:lang w:eastAsia="es-CO"/>
          <w14:ligatures w14:val="none"/>
        </w:rPr>
        <w:t>Inversiones en proyectos de investigación, desarrollo tecnológico e innovación realizados por la gran empresa</w:t>
      </w:r>
      <w:r w:rsidRPr="00EE7003">
        <w:rPr>
          <w:rFonts w:eastAsia="Times New Roman" w:cs="Times New Roman"/>
          <w:color w:val="555555"/>
          <w:kern w:val="0"/>
          <w:szCs w:val="24"/>
          <w:lang w:eastAsia="es-CO"/>
          <w14:ligatures w14:val="none"/>
        </w:rPr>
        <w:t>. La gran empresa solo podrá acceder al crédito fiscal previsto en el </w:t>
      </w:r>
      <w:r w:rsidRPr="00EE7003">
        <w:rPr>
          <w:rFonts w:eastAsia="Times New Roman" w:cs="Times New Roman"/>
          <w:color w:val="555555"/>
          <w:kern w:val="0"/>
          <w:szCs w:val="24"/>
          <w:u w:val="single"/>
          <w:lang w:eastAsia="es-CO"/>
          <w14:ligatures w14:val="none"/>
        </w:rPr>
        <w:t>artículo 256-1</w:t>
      </w:r>
      <w:r w:rsidRPr="00EE7003">
        <w:rPr>
          <w:rFonts w:eastAsia="Times New Roman" w:cs="Times New Roman"/>
          <w:color w:val="555555"/>
          <w:kern w:val="0"/>
          <w:szCs w:val="24"/>
          <w:lang w:eastAsia="es-CO"/>
          <w14:ligatures w14:val="none"/>
        </w:rPr>
        <w:t> del Estatuto Tributario, cuando las inversiones en los proyectos de investigación, desarrollo tecnológico e innovación se realicen en conjunto con micro, pequeñas o medianas empresas. Para tal efecto deberá cumplirse lo previsto en el Capítulo 4 del Título 2 de la Parte 8 del Libro 1 del Decreto número 1625 de 2016, Único Reglamentario en Materia Tributaria.</w:t>
      </w:r>
    </w:p>
    <w:p w14:paraId="4E932559" w14:textId="225C4849"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El beneficio tributario previsto en el </w:t>
      </w:r>
      <w:r w:rsidRPr="00EE7003">
        <w:rPr>
          <w:rFonts w:eastAsia="Times New Roman" w:cs="Times New Roman"/>
          <w:color w:val="555555"/>
          <w:kern w:val="0"/>
          <w:szCs w:val="24"/>
          <w:u w:val="single"/>
          <w:lang w:eastAsia="es-CO"/>
          <w14:ligatures w14:val="none"/>
        </w:rPr>
        <w:t>artículo 256-1</w:t>
      </w:r>
      <w:r w:rsidRPr="00EE7003">
        <w:rPr>
          <w:rFonts w:eastAsia="Times New Roman" w:cs="Times New Roman"/>
          <w:color w:val="555555"/>
          <w:kern w:val="0"/>
          <w:szCs w:val="24"/>
          <w:lang w:eastAsia="es-CO"/>
          <w14:ligatures w14:val="none"/>
        </w:rPr>
        <w:t> del Estatuto Tributario, solo puede ser solicitado por quien realizó la respectiva inversión”.</w:t>
      </w:r>
    </w:p>
    <w:p w14:paraId="6BAB5362" w14:textId="496F5D9C"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ARTÍCULO</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7</w:t>
      </w:r>
      <w:r w:rsidRPr="00EE7003">
        <w:rPr>
          <w:rFonts w:eastAsia="Times New Roman" w:cs="Times New Roman"/>
          <w:color w:val="555555"/>
          <w:kern w:val="0"/>
          <w:szCs w:val="24"/>
          <w:lang w:eastAsia="es-CO"/>
          <w14:ligatures w14:val="none"/>
        </w:rPr>
        <w:t>. </w:t>
      </w:r>
      <w:r w:rsidRPr="00EE7003">
        <w:rPr>
          <w:rFonts w:eastAsia="Times New Roman" w:cs="Times New Roman"/>
          <w:b/>
          <w:bCs/>
          <w:color w:val="555555"/>
          <w:kern w:val="0"/>
          <w:szCs w:val="24"/>
          <w:lang w:eastAsia="es-CO"/>
          <w14:ligatures w14:val="none"/>
        </w:rPr>
        <w:t>VIGENCIA</w:t>
      </w:r>
      <w:r w:rsidRPr="00EE7003">
        <w:rPr>
          <w:rFonts w:eastAsia="Times New Roman" w:cs="Times New Roman"/>
          <w:color w:val="555555"/>
          <w:kern w:val="0"/>
          <w:szCs w:val="24"/>
          <w:lang w:eastAsia="es-CO"/>
          <w14:ligatures w14:val="none"/>
        </w:rPr>
        <w:t>. El presente Decreto rige a partir de la fecha de su publicación en el </w:t>
      </w:r>
      <w:r w:rsidRPr="00EE7003">
        <w:rPr>
          <w:rFonts w:eastAsia="Times New Roman" w:cs="Times New Roman"/>
          <w:b/>
          <w:bCs/>
          <w:i/>
          <w:iCs/>
          <w:color w:val="555555"/>
          <w:kern w:val="0"/>
          <w:szCs w:val="24"/>
          <w:lang w:eastAsia="es-CO"/>
          <w14:ligatures w14:val="none"/>
        </w:rPr>
        <w:t>Diario Oficial</w:t>
      </w:r>
      <w:r w:rsidRPr="00EE7003">
        <w:rPr>
          <w:rFonts w:eastAsia="Times New Roman" w:cs="Times New Roman"/>
          <w:color w:val="555555"/>
          <w:kern w:val="0"/>
          <w:szCs w:val="24"/>
          <w:lang w:eastAsia="es-CO"/>
          <w14:ligatures w14:val="none"/>
        </w:rPr>
        <w:t>, modifica el artículo 1.2.3.1. del Título 3 de la Parte 2 del Libro 1 y el parágrafo del artículo 1.2.1.5.1.7. de la Sección 1 del Capítulo 5 del Título 1 de la Parte 2 del Libro 1 y adiciona el inciso 2 al artículo 1.2.1.5.1.5. de la Sección 1 del Capítulo 5 del Título 1 de la Parte 2 del Libro 1, el inciso 4 al artículo 1.4.1.4.5. del Capítulo 4 del Título 1 de la Parte 4 del Libro 1, el parágrafo 2° al artículo 1.8.2.4.3. y el artículo 1.8.2.4.14. al Capítulo 4 del Título 2 de la Parte 8 del Libro 1, del Decreto 1625 de 2016, Único Reglamentario en Materia Tributaria.</w:t>
      </w:r>
    </w:p>
    <w:p w14:paraId="557DCF07" w14:textId="7878AE0F"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Publíquese y cúmplase.</w:t>
      </w:r>
    </w:p>
    <w:p w14:paraId="713FF4C6" w14:textId="335D438F"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Dada en Bogotá, D. C., a 10 de noviembre de 2023.</w:t>
      </w:r>
    </w:p>
    <w:p w14:paraId="3D9E4F75"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 </w:t>
      </w:r>
    </w:p>
    <w:p w14:paraId="7D5B1B55" w14:textId="77777777"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lastRenderedPageBreak/>
        <w:t> </w:t>
      </w:r>
    </w:p>
    <w:p w14:paraId="7DFBE959" w14:textId="77777777" w:rsid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color w:val="555555"/>
          <w:kern w:val="0"/>
          <w:szCs w:val="24"/>
          <w:lang w:eastAsia="es-CO"/>
          <w14:ligatures w14:val="none"/>
        </w:rPr>
        <w:t>GUSTAVO PETRO URREGO</w:t>
      </w:r>
    </w:p>
    <w:p w14:paraId="31083648" w14:textId="2754DF01"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b/>
          <w:bCs/>
          <w:color w:val="555555"/>
          <w:kern w:val="0"/>
          <w:szCs w:val="24"/>
          <w:lang w:eastAsia="es-CO"/>
          <w14:ligatures w14:val="none"/>
        </w:rPr>
        <w:t xml:space="preserve">El </w:t>
      </w:r>
      <w:proofErr w:type="gramStart"/>
      <w:r w:rsidRPr="00EE7003">
        <w:rPr>
          <w:rFonts w:eastAsia="Times New Roman" w:cs="Times New Roman"/>
          <w:b/>
          <w:bCs/>
          <w:color w:val="555555"/>
          <w:kern w:val="0"/>
          <w:szCs w:val="24"/>
          <w:lang w:eastAsia="es-CO"/>
          <w14:ligatures w14:val="none"/>
        </w:rPr>
        <w:t>Ministro</w:t>
      </w:r>
      <w:proofErr w:type="gramEnd"/>
      <w:r w:rsidRPr="00EE7003">
        <w:rPr>
          <w:rFonts w:eastAsia="Times New Roman" w:cs="Times New Roman"/>
          <w:b/>
          <w:bCs/>
          <w:color w:val="555555"/>
          <w:kern w:val="0"/>
          <w:szCs w:val="24"/>
          <w:lang w:eastAsia="es-CO"/>
          <w14:ligatures w14:val="none"/>
        </w:rPr>
        <w:t xml:space="preserve"> de Hacienda y Crédito Público,</w:t>
      </w:r>
    </w:p>
    <w:p w14:paraId="4EB8E065" w14:textId="19F7C080" w:rsidR="00EE7003" w:rsidRPr="00EE7003" w:rsidRDefault="00EE7003" w:rsidP="005E5905">
      <w:pPr>
        <w:shd w:val="clear" w:color="auto" w:fill="FFFFFF"/>
        <w:spacing w:after="150" w:line="360" w:lineRule="auto"/>
        <w:jc w:val="both"/>
        <w:rPr>
          <w:rFonts w:eastAsia="Times New Roman" w:cs="Times New Roman"/>
          <w:color w:val="555555"/>
          <w:kern w:val="0"/>
          <w:szCs w:val="24"/>
          <w:lang w:eastAsia="es-CO"/>
          <w14:ligatures w14:val="none"/>
        </w:rPr>
      </w:pPr>
      <w:r w:rsidRPr="00EE7003">
        <w:rPr>
          <w:rFonts w:eastAsia="Times New Roman" w:cs="Times New Roman"/>
          <w:i/>
          <w:iCs/>
          <w:color w:val="555555"/>
          <w:kern w:val="0"/>
          <w:szCs w:val="24"/>
          <w:lang w:eastAsia="es-CO"/>
          <w14:ligatures w14:val="none"/>
        </w:rPr>
        <w:t>Ricardo Bonilla González.</w:t>
      </w:r>
    </w:p>
    <w:p w14:paraId="06683572" w14:textId="77777777" w:rsidR="007F5CC8" w:rsidRPr="00EE7003" w:rsidRDefault="007F5CC8" w:rsidP="005E5905">
      <w:pPr>
        <w:spacing w:line="360" w:lineRule="auto"/>
        <w:jc w:val="both"/>
        <w:rPr>
          <w:rFonts w:cs="Times New Roman"/>
          <w:szCs w:val="24"/>
        </w:rPr>
      </w:pPr>
    </w:p>
    <w:sectPr w:rsidR="007F5CC8" w:rsidRPr="00EE7003" w:rsidSect="005D038C">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3"/>
    <w:rsid w:val="000F3837"/>
    <w:rsid w:val="001E311E"/>
    <w:rsid w:val="00434AE6"/>
    <w:rsid w:val="004D41F6"/>
    <w:rsid w:val="005D038C"/>
    <w:rsid w:val="005D25EE"/>
    <w:rsid w:val="005E5905"/>
    <w:rsid w:val="00614966"/>
    <w:rsid w:val="007F5CC8"/>
    <w:rsid w:val="008779BE"/>
    <w:rsid w:val="00BE1D66"/>
    <w:rsid w:val="00EB1850"/>
    <w:rsid w:val="00EB5ADB"/>
    <w:rsid w:val="00EE700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7AF5"/>
  <w15:chartTrackingRefBased/>
  <w15:docId w15:val="{3784B77D-8C16-49E9-8DDE-DEEAC08B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2982</Words>
  <Characters>16405</Characters>
  <Application>Microsoft Office Word</Application>
  <DocSecurity>0</DocSecurity>
  <Lines>136</Lines>
  <Paragraphs>38</Paragraphs>
  <ScaleCrop>false</ScaleCrop>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5</cp:revision>
  <dcterms:created xsi:type="dcterms:W3CDTF">2023-12-29T16:45:00Z</dcterms:created>
  <dcterms:modified xsi:type="dcterms:W3CDTF">2024-01-19T21:42:00Z</dcterms:modified>
</cp:coreProperties>
</file>