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D6B7" w14:textId="64A9036C" w:rsidR="007F5CC8" w:rsidRDefault="007F5CC8"/>
    <w:p w14:paraId="42F52DB6" w14:textId="52E77309" w:rsidR="00805B4B" w:rsidRDefault="00805B4B"/>
    <w:p w14:paraId="2B46EB5A" w14:textId="77777777" w:rsidR="00805B4B" w:rsidRPr="00805B4B" w:rsidRDefault="00805B4B" w:rsidP="00805B4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 xml:space="preserve">Concepto </w:t>
      </w:r>
      <w:proofErr w:type="spellStart"/>
      <w:r w:rsidRPr="00805B4B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>Nº</w:t>
      </w:r>
      <w:proofErr w:type="spellEnd"/>
      <w:r w:rsidRPr="00805B4B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 xml:space="preserve"> 0522</w:t>
      </w:r>
    </w:p>
    <w:p w14:paraId="5ABF9B16" w14:textId="77777777" w:rsidR="00805B4B" w:rsidRPr="00805B4B" w:rsidRDefault="00805B4B" w:rsidP="00805B4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>28-12-2022</w:t>
      </w:r>
    </w:p>
    <w:p w14:paraId="03AD7F1A" w14:textId="77777777" w:rsidR="00805B4B" w:rsidRPr="00805B4B" w:rsidRDefault="00805B4B" w:rsidP="00805B4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>Consejo Técnico de la Contaduría Pública</w:t>
      </w:r>
    </w:p>
    <w:p w14:paraId="31F1AF56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1FE03423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773CD789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Bogotá, D.C.,</w:t>
      </w:r>
    </w:p>
    <w:p w14:paraId="7425A524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3608"/>
      </w:tblGrid>
      <w:tr w:rsidR="00805B4B" w:rsidRPr="00805B4B" w14:paraId="611EE836" w14:textId="77777777" w:rsidTr="00805B4B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3D5860" w14:textId="77777777" w:rsidR="00805B4B" w:rsidRPr="00805B4B" w:rsidRDefault="00805B4B" w:rsidP="00805B4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r w:rsidRPr="00805B4B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REFERENCIA: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745648" w14:textId="77777777" w:rsidR="00805B4B" w:rsidRPr="00805B4B" w:rsidRDefault="00805B4B" w:rsidP="00805B4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r w:rsidRPr="00805B4B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> </w:t>
            </w:r>
          </w:p>
        </w:tc>
      </w:tr>
      <w:tr w:rsidR="00805B4B" w:rsidRPr="00805B4B" w14:paraId="2741DE69" w14:textId="77777777" w:rsidTr="00805B4B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BF5A92" w14:textId="77777777" w:rsidR="00805B4B" w:rsidRPr="00805B4B" w:rsidRDefault="00805B4B" w:rsidP="00805B4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r w:rsidRPr="00805B4B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>No. del Radicado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029604" w14:textId="77777777" w:rsidR="00805B4B" w:rsidRPr="00805B4B" w:rsidRDefault="00805B4B" w:rsidP="00805B4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r w:rsidRPr="00805B4B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>1-2022-031440 / 1-2022-035083</w:t>
            </w:r>
          </w:p>
        </w:tc>
      </w:tr>
      <w:tr w:rsidR="00805B4B" w:rsidRPr="00805B4B" w14:paraId="44AB96F8" w14:textId="77777777" w:rsidTr="00805B4B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FE3C83" w14:textId="77777777" w:rsidR="00805B4B" w:rsidRPr="00805B4B" w:rsidRDefault="00805B4B" w:rsidP="00805B4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r w:rsidRPr="00805B4B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>Fecha de Radicado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642350" w14:textId="77777777" w:rsidR="00805B4B" w:rsidRPr="00805B4B" w:rsidRDefault="00805B4B" w:rsidP="00805B4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r w:rsidRPr="00805B4B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>19 de octubre de 2022</w:t>
            </w:r>
          </w:p>
        </w:tc>
      </w:tr>
      <w:tr w:rsidR="00805B4B" w:rsidRPr="00805B4B" w14:paraId="0CDA61A6" w14:textId="77777777" w:rsidTr="00805B4B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CB78F2" w14:textId="77777777" w:rsidR="00805B4B" w:rsidRPr="00805B4B" w:rsidRDefault="00805B4B" w:rsidP="00805B4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proofErr w:type="spellStart"/>
            <w:r w:rsidRPr="00805B4B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>N°</w:t>
            </w:r>
            <w:proofErr w:type="spellEnd"/>
            <w:r w:rsidRPr="00805B4B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 xml:space="preserve"> de Radicación CTCP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EB8F03" w14:textId="77777777" w:rsidR="00805B4B" w:rsidRPr="00805B4B" w:rsidRDefault="00805B4B" w:rsidP="00805B4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r w:rsidRPr="00805B4B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>2022-0522</w:t>
            </w:r>
          </w:p>
        </w:tc>
      </w:tr>
      <w:tr w:rsidR="00805B4B" w:rsidRPr="00805B4B" w14:paraId="3DB1667E" w14:textId="77777777" w:rsidTr="00805B4B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E0E4F0" w14:textId="77777777" w:rsidR="00805B4B" w:rsidRPr="00805B4B" w:rsidRDefault="00805B4B" w:rsidP="00805B4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r w:rsidRPr="00805B4B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>Tema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BB978A" w14:textId="77777777" w:rsidR="00805B4B" w:rsidRPr="00805B4B" w:rsidRDefault="00805B4B" w:rsidP="00805B4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</w:pPr>
            <w:r w:rsidRPr="00805B4B">
              <w:rPr>
                <w:rFonts w:ascii="Segoe UI" w:eastAsia="Times New Roman" w:hAnsi="Segoe UI" w:cs="Segoe UI"/>
                <w:sz w:val="21"/>
                <w:szCs w:val="21"/>
                <w:lang w:eastAsia="es-CO"/>
              </w:rPr>
              <w:t>Impuesto diferido - Diferencias temporarias</w:t>
            </w:r>
          </w:p>
        </w:tc>
      </w:tr>
    </w:tbl>
    <w:p w14:paraId="59B5D60D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2FE1883D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7A346BFD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>CONSULTA (TEXTUAL)</w:t>
      </w:r>
    </w:p>
    <w:p w14:paraId="481FD553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0847BA48" w14:textId="77777777" w:rsidR="00805B4B" w:rsidRPr="00805B4B" w:rsidRDefault="00805B4B" w:rsidP="00805B4B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 xml:space="preserve">“(...) 1.- </w:t>
      </w:r>
      <w:proofErr w:type="gramStart"/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De acuerdo a</w:t>
      </w:r>
      <w:proofErr w:type="gramEnd"/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 xml:space="preserve"> la sección 29 parágrafo 29.14 la pregunta es ¿Las diferencias temporarias se deben causar en la contabilidad durante el año gravable para calcular el impuesto diferido?</w:t>
      </w:r>
    </w:p>
    <w:p w14:paraId="42C20990" w14:textId="77777777" w:rsidR="00805B4B" w:rsidRPr="00805B4B" w:rsidRDefault="00805B4B" w:rsidP="00805B4B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28F5B600" w14:textId="77777777" w:rsidR="00805B4B" w:rsidRPr="00805B4B" w:rsidRDefault="00805B4B" w:rsidP="00805B4B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2.- Si es afirmativa la primera pregunta, entonces esas diferencias temporarias (Ingresos-Gastos) ¿solo es informativa y no se tendrá en cuenta para el impuesto de renta sino como base para calcular el impuesto diferido?</w:t>
      </w:r>
    </w:p>
    <w:p w14:paraId="7553EBEC" w14:textId="77777777" w:rsidR="00805B4B" w:rsidRPr="00805B4B" w:rsidRDefault="00805B4B" w:rsidP="00805B4B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2F8EB957" w14:textId="77777777" w:rsidR="00805B4B" w:rsidRPr="00805B4B" w:rsidRDefault="00805B4B" w:rsidP="00805B4B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3.- En el parágrafo 29.14 Las diferencias temporarias surgen cuando:</w:t>
      </w:r>
    </w:p>
    <w:p w14:paraId="11691B25" w14:textId="77777777" w:rsidR="00805B4B" w:rsidRPr="00805B4B" w:rsidRDefault="00805B4B" w:rsidP="00805B4B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08431A6F" w14:textId="77777777" w:rsidR="00805B4B" w:rsidRPr="00805B4B" w:rsidRDefault="00805B4B" w:rsidP="00805B4B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(b) Existe una diferencia entre el importe en libros y la base fiscal que surge tras el reconocimiento inicial porque el ingreso o gasto se reconoce en el resultado integral o en el patrimonio de un período sobre el que se informa, pero se reconoce en ganancias fiscales en otro período diferente.</w:t>
      </w:r>
    </w:p>
    <w:p w14:paraId="1159CC73" w14:textId="77777777" w:rsidR="00805B4B" w:rsidRPr="00805B4B" w:rsidRDefault="00805B4B" w:rsidP="00805B4B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3D050D20" w14:textId="77777777" w:rsidR="00805B4B" w:rsidRPr="00805B4B" w:rsidRDefault="00805B4B" w:rsidP="00805B4B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3.1. Las preguntas son: Cuando se lee “que surge tras el reconocimiento inicial” ¿se entiende allí el reconocimiento inicial de las diferencias temporarias?</w:t>
      </w:r>
    </w:p>
    <w:p w14:paraId="05D56B0E" w14:textId="77777777" w:rsidR="00805B4B" w:rsidRPr="00805B4B" w:rsidRDefault="00805B4B" w:rsidP="00805B4B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3.2. Si es afirmativa la pregunta anterior y al leer “porque el ingreso o gasto se reconoce en el resultado integral o en el patrimonio” significa que ¿se debe causar en el estado de resultado o en el patrimonio las diferencias temporarias imponibles o deducibles?”</w:t>
      </w:r>
    </w:p>
    <w:p w14:paraId="6778B72C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1D1810F1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>CONSIDERACIONES Y CONCEPTO</w:t>
      </w:r>
    </w:p>
    <w:p w14:paraId="3F4EADFD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4875A4D7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El Consejo Técnico de la Contaduría Pública (CTCP) en su carácter de Organismo Orientador técnico-científico de la profesión y Normalizador de las Normas de Contabilidad, de Información Financiera y de Aseguramiento de la Información, conforme a las normas legales vigentes, especialmente por lo dispuesto en la Ley 43 de 1990, la Ley 1314 de 2009, y en sus Decretos Reglamentarios, procede a dar respuesta a la consulta anterior de manera general, pues no se pretende resolver casos particulares, en los siguientes términos:</w:t>
      </w:r>
    </w:p>
    <w:p w14:paraId="6441B574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47DB0BD1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En orden a los planteamientos e inquietudes del consultante, nos permitimos señalar:</w:t>
      </w:r>
    </w:p>
    <w:p w14:paraId="39612140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5E45634C" w14:textId="77777777" w:rsidR="00805B4B" w:rsidRPr="00805B4B" w:rsidRDefault="00805B4B" w:rsidP="00805B4B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es-CO"/>
        </w:rPr>
        <w:t>¿Las diferencias temporarias se deben causar en la contabilidad durante el año gravable para calcular el impuesto diferido?</w:t>
      </w:r>
    </w:p>
    <w:p w14:paraId="26FF4CA7" w14:textId="77777777" w:rsidR="00805B4B" w:rsidRPr="00805B4B" w:rsidRDefault="00805B4B" w:rsidP="00805B4B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es-CO"/>
        </w:rPr>
        <w:t>2. Si es afirmativa la primera pregunta, entonces esas diferencias temporarias (Ingresos-Gastos) ¿solo es informativa y no se tendrá en cuenta para el impuesto de renta sino como base para calcular el impuesto diferido?</w:t>
      </w:r>
    </w:p>
    <w:p w14:paraId="2B2C67AE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61923CD9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La sección 29 - Impuesto a las ganancias de la NIIF para Pymes, indica en el reconocimiento general del impuesto diferido</w:t>
      </w:r>
      <w:hyperlink r:id="rId5" w:anchor="cite_note-1" w:history="1">
        <w:r w:rsidRPr="00805B4B">
          <w:rPr>
            <w:rFonts w:ascii="Segoe UI" w:eastAsia="Times New Roman" w:hAnsi="Segoe UI" w:cs="Segoe UI"/>
            <w:color w:val="0645AD"/>
            <w:sz w:val="21"/>
            <w:szCs w:val="21"/>
            <w:u w:val="single"/>
            <w:vertAlign w:val="superscript"/>
            <w:lang w:eastAsia="es-CO"/>
          </w:rPr>
          <w:t>1</w:t>
        </w:r>
      </w:hyperlink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:</w:t>
      </w:r>
    </w:p>
    <w:p w14:paraId="42354B57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lastRenderedPageBreak/>
        <w:t> </w:t>
      </w:r>
    </w:p>
    <w:p w14:paraId="119821C6" w14:textId="77777777" w:rsidR="00805B4B" w:rsidRPr="00805B4B" w:rsidRDefault="00805B4B" w:rsidP="00805B4B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“Una </w:t>
      </w: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CO"/>
        </w:rPr>
        <w:t>entidad reconocerá un activo o pasivo por impuestos diferidos</w:t>
      </w: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 por el impuesto por recuperar o pagar en períodos futuros como resultado de transacciones o sucesos pasados. </w:t>
      </w: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CO"/>
        </w:rPr>
        <w:t>Este impuesto surge de la diferencia entre los importes en libros de los activos y pasivos de la entidad en el </w:t>
      </w:r>
      <w:r w:rsidRPr="00805B4B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es-CO"/>
        </w:rPr>
        <w:t>estado de situación financiera </w:t>
      </w: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CO"/>
        </w:rPr>
        <w:t>y los importes atribuidos a los mismos por parte de las autoridades fiscales (estas diferencias se denominan “diferencias temporarias”),</w:t>
      </w: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 y la compensación de pérdidas o créditos fiscales no utilizados hasta el momento procedentes de períodos anteriores.”</w:t>
      </w:r>
    </w:p>
    <w:p w14:paraId="14546241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044A095F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Las diferencias temporarias no requieren ser registradas en la contabilidad, a menos que se hagan por vía informativa en cuentas de orden. Lo que se debe reconocer son el activo o pasivo por impuesto diferido, cuya medición se determina por las tasas impositivas que se aplican a las diferencias temporarias</w:t>
      </w:r>
      <w:hyperlink r:id="rId6" w:anchor="cite_note-2" w:history="1">
        <w:r w:rsidRPr="00805B4B">
          <w:rPr>
            <w:rFonts w:ascii="Segoe UI" w:eastAsia="Times New Roman" w:hAnsi="Segoe UI" w:cs="Segoe UI"/>
            <w:color w:val="0645AD"/>
            <w:sz w:val="21"/>
            <w:szCs w:val="21"/>
            <w:u w:val="single"/>
            <w:vertAlign w:val="superscript"/>
            <w:lang w:eastAsia="es-CO"/>
          </w:rPr>
          <w:t>2</w:t>
        </w:r>
      </w:hyperlink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:</w:t>
      </w:r>
    </w:p>
    <w:p w14:paraId="27562601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2EFCB973" w14:textId="77777777" w:rsidR="00805B4B" w:rsidRPr="00805B4B" w:rsidRDefault="00805B4B" w:rsidP="00805B4B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“Una entidad medirá un pasivo (o activo) por impuestos diferidos usando las tasas impositivas y la legislación fiscal que hayan sido aprobadas, o cuyo proceso de aprobación esté prácticamente terminado, en la fecha de presentación. (...)”</w:t>
      </w:r>
    </w:p>
    <w:p w14:paraId="30633663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692A43FC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Las diferencias temporarias se establecen para el cálculo del impuesto diferido, por lo que no tienen ningún efecto en la determinación del impuesto a las ganancias corriente (impuesto de renta).</w:t>
      </w:r>
    </w:p>
    <w:p w14:paraId="157F1A74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482689F0" w14:textId="77777777" w:rsidR="00805B4B" w:rsidRPr="00805B4B" w:rsidRDefault="00805B4B" w:rsidP="00805B4B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es-CO"/>
        </w:rPr>
        <w:t>3.1. Las preguntas son: Cuando se lee “que surge tras el reconocimiento inicial” ¿se entiende allí el reconocimiento inicial de las diferencias temporarias?</w:t>
      </w:r>
    </w:p>
    <w:p w14:paraId="0986A611" w14:textId="77777777" w:rsidR="00805B4B" w:rsidRPr="00805B4B" w:rsidRDefault="00805B4B" w:rsidP="00805B4B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es-CO"/>
        </w:rPr>
        <w:t>3.2. Si es afirmativa la pregunta anterior y al leer “porque el ingreso o gasto se reconoce en el resultado integral o en el patrimonio” significa que ¿se debe causar en el estado de resultado o en el patrimonio las diferencias temporarias imponibles o deducibles?”</w:t>
      </w:r>
    </w:p>
    <w:p w14:paraId="0D9D808B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6E5907F8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Las diferencias temporarias surgen de la diferencia entre los importes en libros de los activos y pasivos de la entidad en el estado de situación financiera bajo NIIF y los importes atribuidos a los mismos por parte de las autoridades fiscales (base fiscal), sin embargo, el reconocimiento en el resultado integral o en el otro resultado integral (patrimonio), dependerá de la transacción que la origina</w:t>
      </w:r>
      <w:hyperlink r:id="rId7" w:anchor="cite_note-3" w:history="1">
        <w:r w:rsidRPr="00805B4B">
          <w:rPr>
            <w:rFonts w:ascii="Segoe UI" w:eastAsia="Times New Roman" w:hAnsi="Segoe UI" w:cs="Segoe UI"/>
            <w:color w:val="0645AD"/>
            <w:sz w:val="21"/>
            <w:szCs w:val="21"/>
            <w:u w:val="single"/>
            <w:vertAlign w:val="superscript"/>
            <w:lang w:eastAsia="es-CO"/>
          </w:rPr>
          <w:t>3</w:t>
        </w:r>
      </w:hyperlink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:</w:t>
      </w:r>
    </w:p>
    <w:p w14:paraId="6893AD20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0465A488" w14:textId="77777777" w:rsidR="00805B4B" w:rsidRPr="00805B4B" w:rsidRDefault="00805B4B" w:rsidP="00805B4B">
      <w:pPr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“Una entidad reconocerá el gasto por impuestos en el mismo componente del </w:t>
      </w:r>
      <w:r w:rsidRPr="00805B4B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es-CO"/>
        </w:rPr>
        <w:t>resultado integral total </w:t>
      </w: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(es decir, operaciones continuadas, </w:t>
      </w:r>
      <w:r w:rsidRPr="00805B4B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es-CO"/>
        </w:rPr>
        <w:t>operaciones discontinuadas </w:t>
      </w: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u </w:t>
      </w:r>
      <w:r w:rsidRPr="00805B4B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es-CO"/>
        </w:rPr>
        <w:t>otro resultado integral</w:t>
      </w: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) o en patrimonio, en función de la transacción u otro suceso que diera lugar al gasto por impuestos.”</w:t>
      </w:r>
    </w:p>
    <w:p w14:paraId="4A65AB34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3965D3C4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 xml:space="preserve">A </w:t>
      </w:r>
      <w:proofErr w:type="gramStart"/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continuación</w:t>
      </w:r>
      <w:proofErr w:type="gramEnd"/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 xml:space="preserve"> se relacionan otros conceptos que pueden consultar sobre el impuesto diferido y las diferencias temporarias:</w:t>
      </w:r>
    </w:p>
    <w:p w14:paraId="1279D2EF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669DCE4C" w14:textId="77777777" w:rsidR="00805B4B" w:rsidRPr="00805B4B" w:rsidRDefault="00805B4B" w:rsidP="00805B4B">
      <w:pPr>
        <w:numPr>
          <w:ilvl w:val="0"/>
          <w:numId w:val="6"/>
        </w:numPr>
        <w:spacing w:before="100" w:beforeAutospacing="1" w:after="100" w:afterAutospacing="1" w:line="240" w:lineRule="auto"/>
        <w:ind w:left="1080" w:firstLine="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2022-0575: </w:t>
      </w:r>
      <w:hyperlink r:id="rId8" w:tgtFrame="_blank" w:history="1">
        <w:r w:rsidRPr="00805B4B">
          <w:rPr>
            <w:rFonts w:ascii="Segoe UI" w:eastAsia="Times New Roman" w:hAnsi="Segoe UI" w:cs="Segoe UI"/>
            <w:color w:val="0645AD"/>
            <w:sz w:val="21"/>
            <w:szCs w:val="21"/>
            <w:u w:val="single"/>
            <w:lang w:eastAsia="es-CO"/>
          </w:rPr>
          <w:t>https://www.ctcp.gov.co/CMSPages/GetFile.aspx2guid5d98eff89-6969-4385-bb77-e34ae922673e</w:t>
        </w:r>
      </w:hyperlink>
    </w:p>
    <w:p w14:paraId="4F0031A5" w14:textId="77777777" w:rsidR="00805B4B" w:rsidRPr="00805B4B" w:rsidRDefault="00805B4B" w:rsidP="00805B4B">
      <w:pPr>
        <w:numPr>
          <w:ilvl w:val="0"/>
          <w:numId w:val="7"/>
        </w:numPr>
        <w:spacing w:before="100" w:beforeAutospacing="1" w:after="100" w:afterAutospacing="1" w:line="240" w:lineRule="auto"/>
        <w:ind w:left="1080" w:firstLine="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2022-0246: </w:t>
      </w:r>
      <w:hyperlink r:id="rId9" w:tgtFrame="_blank" w:history="1">
        <w:r w:rsidRPr="00805B4B">
          <w:rPr>
            <w:rFonts w:ascii="Segoe UI" w:eastAsia="Times New Roman" w:hAnsi="Segoe UI" w:cs="Segoe UI"/>
            <w:color w:val="0645AD"/>
            <w:sz w:val="21"/>
            <w:szCs w:val="21"/>
            <w:u w:val="single"/>
            <w:lang w:eastAsia="es-CO"/>
          </w:rPr>
          <w:t>https://www.ctcp.gpv.co/CMSPages/GetFile.aspx2guid57f31cb1c-1b11-492O-9816-3eb1cf55de44</w:t>
        </w:r>
      </w:hyperlink>
    </w:p>
    <w:p w14:paraId="557D6054" w14:textId="77777777" w:rsidR="00805B4B" w:rsidRPr="00805B4B" w:rsidRDefault="00805B4B" w:rsidP="00805B4B">
      <w:pPr>
        <w:numPr>
          <w:ilvl w:val="0"/>
          <w:numId w:val="8"/>
        </w:numPr>
        <w:spacing w:before="100" w:beforeAutospacing="1" w:after="100" w:afterAutospacing="1" w:line="240" w:lineRule="auto"/>
        <w:ind w:left="1080" w:firstLine="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CO"/>
        </w:rPr>
        <w:t>2022-0137:</w:t>
      </w: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  <w:hyperlink r:id="rId10" w:tgtFrame="_blank" w:history="1">
        <w:r w:rsidRPr="00805B4B">
          <w:rPr>
            <w:rFonts w:ascii="Segoe UI" w:eastAsia="Times New Roman" w:hAnsi="Segoe UI" w:cs="Segoe UI"/>
            <w:color w:val="0645AD"/>
            <w:sz w:val="21"/>
            <w:szCs w:val="21"/>
            <w:u w:val="single"/>
            <w:lang w:eastAsia="es-CO"/>
          </w:rPr>
          <w:t>https://www.ctcp.gov.co/CMSPages/GetFile.aspx2guid5b685b96f-8c4a-438e-9dbe-904468e9b72f</w:t>
        </w:r>
      </w:hyperlink>
    </w:p>
    <w:p w14:paraId="4C08B2EA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En los términos anteriores se absuelve la consulta, indicando que, para hacerlo, este organismo se ciñó a la información presentada por el consultante y los efectos de este concepto son los previstos por el artículo 28 de la Ley 1437 de 2011, modificado por el artículo 1 de la Ley 1755 de 2015.</w:t>
      </w:r>
    </w:p>
    <w:p w14:paraId="04C4984C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0513548F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Cordialmente,</w:t>
      </w:r>
    </w:p>
    <w:p w14:paraId="519FA739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74DF152A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2D3BD5D5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t>JAIRO ENRIQUE CERVERA RODRÍGUEZ</w:t>
      </w:r>
    </w:p>
    <w:p w14:paraId="6B8723AB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Consejero - CTCP</w:t>
      </w:r>
    </w:p>
    <w:p w14:paraId="3A70486A" w14:textId="77777777" w:rsidR="00805B4B" w:rsidRPr="00805B4B" w:rsidRDefault="00805B4B" w:rsidP="00805B4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</w:t>
      </w:r>
    </w:p>
    <w:p w14:paraId="22ED3773" w14:textId="1363321B" w:rsidR="00805B4B" w:rsidRPr="00805B4B" w:rsidRDefault="00805B4B" w:rsidP="00805B4B">
      <w:pPr>
        <w:spacing w:after="285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</w:pPr>
      <w:r w:rsidRPr="00805B4B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CO"/>
        </w:rPr>
        <w:lastRenderedPageBreak/>
        <w:t>Notas al pie</w:t>
      </w:r>
    </w:p>
    <w:p w14:paraId="4D14540C" w14:textId="77777777" w:rsidR="00805B4B" w:rsidRPr="00805B4B" w:rsidRDefault="00805B4B" w:rsidP="00805B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hyperlink r:id="rId11" w:anchor="cite_ref-1" w:tooltip="Volver arriba" w:history="1">
        <w:r w:rsidRPr="00805B4B">
          <w:rPr>
            <w:rFonts w:ascii="Segoe UI" w:eastAsia="Times New Roman" w:hAnsi="Segoe UI" w:cs="Segoe UI"/>
            <w:color w:val="0645AD"/>
            <w:sz w:val="21"/>
            <w:szCs w:val="21"/>
            <w:u w:val="single"/>
            <w:lang w:eastAsia="es-CO"/>
          </w:rPr>
          <w:t>↑</w:t>
        </w:r>
      </w:hyperlink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Tomado del DUR 2420 de 2015, Anexo 2 NIIF para Pymes, Sección 29 Impuesto a las ganancias, Párrafo 29.8</w:t>
      </w:r>
    </w:p>
    <w:p w14:paraId="1FE933CB" w14:textId="77777777" w:rsidR="00805B4B" w:rsidRPr="00805B4B" w:rsidRDefault="00805B4B" w:rsidP="00805B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hyperlink r:id="rId12" w:anchor="cite_ref-2" w:tooltip="Volver arriba" w:history="1">
        <w:r w:rsidRPr="00805B4B">
          <w:rPr>
            <w:rFonts w:ascii="Segoe UI" w:eastAsia="Times New Roman" w:hAnsi="Segoe UI" w:cs="Segoe UI"/>
            <w:color w:val="0645AD"/>
            <w:sz w:val="21"/>
            <w:szCs w:val="21"/>
            <w:u w:val="single"/>
            <w:lang w:eastAsia="es-CO"/>
          </w:rPr>
          <w:t>↑</w:t>
        </w:r>
      </w:hyperlink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Tomado del DUR 2420 de 2015, Anexo 2 NIIF para Pymes, Sección 29 Impuesto a las ganancias, Párrafo 29.27</w:t>
      </w:r>
    </w:p>
    <w:p w14:paraId="5074A7A5" w14:textId="5B63C59E" w:rsidR="00805B4B" w:rsidRDefault="00805B4B" w:rsidP="00805B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hyperlink r:id="rId13" w:anchor="cite_ref-3" w:tooltip="Volver arriba" w:history="1">
        <w:r w:rsidRPr="00805B4B">
          <w:rPr>
            <w:rFonts w:ascii="Segoe UI" w:eastAsia="Times New Roman" w:hAnsi="Segoe UI" w:cs="Segoe UI"/>
            <w:color w:val="0645AD"/>
            <w:sz w:val="21"/>
            <w:szCs w:val="21"/>
            <w:u w:val="single"/>
            <w:lang w:eastAsia="es-CO"/>
          </w:rPr>
          <w:t>↑</w:t>
        </w:r>
      </w:hyperlink>
      <w:r w:rsidRPr="00805B4B"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 Tomado del DUR 2420 de 2015, Anexo 2 NIIF para Pymes, Sección 29 Impuesto a las ganancias, Párrafo 29.35</w:t>
      </w:r>
    </w:p>
    <w:p w14:paraId="1DA1159E" w14:textId="0A5B1B46" w:rsidR="00805B4B" w:rsidRPr="00805B4B" w:rsidRDefault="00805B4B" w:rsidP="00805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es-CO"/>
        </w:rPr>
        <w:t>___________________________________________________________________________________________________________</w:t>
      </w:r>
    </w:p>
    <w:p w14:paraId="02BAD2B2" w14:textId="77777777" w:rsidR="00805B4B" w:rsidRDefault="00805B4B"/>
    <w:sectPr w:rsidR="00805B4B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A28"/>
    <w:multiLevelType w:val="multilevel"/>
    <w:tmpl w:val="82A6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B5F9F"/>
    <w:multiLevelType w:val="multilevel"/>
    <w:tmpl w:val="25FEF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D6882"/>
    <w:multiLevelType w:val="multilevel"/>
    <w:tmpl w:val="20A4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1A2B8F"/>
    <w:multiLevelType w:val="multilevel"/>
    <w:tmpl w:val="95CEA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2274255">
    <w:abstractNumId w:val="2"/>
    <w:lvlOverride w:ilvl="0">
      <w:startOverride w:val="1"/>
    </w:lvlOverride>
  </w:num>
  <w:num w:numId="2" w16cid:durableId="982274255">
    <w:abstractNumId w:val="2"/>
    <w:lvlOverride w:ilvl="0">
      <w:startOverride w:val="2"/>
    </w:lvlOverride>
  </w:num>
  <w:num w:numId="3" w16cid:durableId="982274255">
    <w:abstractNumId w:val="2"/>
    <w:lvlOverride w:ilvl="0">
      <w:startOverride w:val="3"/>
    </w:lvlOverride>
  </w:num>
  <w:num w:numId="4" w16cid:durableId="521162973">
    <w:abstractNumId w:val="1"/>
  </w:num>
  <w:num w:numId="5" w16cid:durableId="1597983127">
    <w:abstractNumId w:val="3"/>
  </w:num>
  <w:num w:numId="6" w16cid:durableId="1355230891">
    <w:abstractNumId w:val="0"/>
    <w:lvlOverride w:ilvl="0">
      <w:startOverride w:val="1"/>
    </w:lvlOverride>
  </w:num>
  <w:num w:numId="7" w16cid:durableId="1355230891">
    <w:abstractNumId w:val="0"/>
    <w:lvlOverride w:ilvl="0">
      <w:startOverride w:val="2"/>
    </w:lvlOverride>
  </w:num>
  <w:num w:numId="8" w16cid:durableId="135523089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4B"/>
    <w:rsid w:val="000F3837"/>
    <w:rsid w:val="001E311E"/>
    <w:rsid w:val="00434AE6"/>
    <w:rsid w:val="007F5CC8"/>
    <w:rsid w:val="00805B4B"/>
    <w:rsid w:val="008779B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CAC"/>
  <w15:chartTrackingRefBased/>
  <w15:docId w15:val="{A939FEE8-8974-46C6-BC2A-B6D3B6D6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cp.gov.co/CMSPages/GetFile.aspx2guid5d98eff89-6969-4385-bb77-e34ae922673e" TargetMode="External"/><Relationship Id="rId13" Type="http://schemas.openxmlformats.org/officeDocument/2006/relationships/hyperlink" Target="https://www.ceta.org.co/html/vista_de_un_documento.asp?DocumentoID=457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ta.org.co/html/vista_de_un_documento.asp?DocumentoID=45728" TargetMode="External"/><Relationship Id="rId12" Type="http://schemas.openxmlformats.org/officeDocument/2006/relationships/hyperlink" Target="https://www.ceta.org.co/html/vista_de_un_documento.asp?DocumentoID=457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ta.org.co/html/vista_de_un_documento.asp?DocumentoID=45728" TargetMode="External"/><Relationship Id="rId11" Type="http://schemas.openxmlformats.org/officeDocument/2006/relationships/hyperlink" Target="https://www.ceta.org.co/html/vista_de_un_documento.asp?DocumentoID=45728" TargetMode="External"/><Relationship Id="rId5" Type="http://schemas.openxmlformats.org/officeDocument/2006/relationships/hyperlink" Target="https://www.ceta.org.co/html/vista_de_un_documento.asp?DocumentoID=4572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tcp.gov.co/CMSPages/GetFile.aspx2guid5b685b96f-8c4a-438e-9dbe-904468e9b7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tcp.gpv.co/CMSPages/GetFile.aspx2guid57f31cb1c-1b11-492O-9816-3eb1cf55de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2023-02-12T23:53:00Z</dcterms:created>
  <dcterms:modified xsi:type="dcterms:W3CDTF">2023-02-13T00:01:00Z</dcterms:modified>
</cp:coreProperties>
</file>