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F5DA" w14:textId="77777777" w:rsidR="0064665F" w:rsidRPr="0064665F" w:rsidRDefault="0064665F" w:rsidP="0064665F">
      <w:pPr>
        <w:spacing w:after="0"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fldChar w:fldCharType="begin"/>
      </w:r>
      <w:r w:rsidRPr="0064665F">
        <w:rPr>
          <w:rFonts w:eastAsia="Times New Roman" w:cs="Times New Roman"/>
          <w:kern w:val="0"/>
          <w:szCs w:val="24"/>
          <w:lang w:eastAsia="es-CO"/>
          <w14:ligatures w14:val="none"/>
        </w:rPr>
        <w:instrText>HYPERLINK "https://www.ceta.org.co/html/clases/DownloadManager.asp?ETD=1&amp;UID=10215729&amp;DocOrigen=45783&amp;Token=3F50F8A7A7B1416A&amp;file=Anexos/45783/ArchivosOriginales/45783--Aclaracion%20de%20Voto%20en%20PDF--true--b770edef-f85b-43c4-93c5-70cbb4a77b39--.pdf"</w:instrText>
      </w:r>
      <w:r w:rsidRPr="0064665F">
        <w:rPr>
          <w:rFonts w:eastAsia="Times New Roman" w:cs="Times New Roman"/>
          <w:kern w:val="0"/>
          <w:szCs w:val="24"/>
          <w:lang w:eastAsia="es-CO"/>
          <w14:ligatures w14:val="none"/>
        </w:rPr>
      </w:r>
      <w:r w:rsidRPr="0064665F">
        <w:rPr>
          <w:rFonts w:eastAsia="Times New Roman" w:cs="Times New Roman"/>
          <w:kern w:val="0"/>
          <w:szCs w:val="24"/>
          <w:lang w:eastAsia="es-CO"/>
          <w14:ligatures w14:val="none"/>
        </w:rPr>
        <w:fldChar w:fldCharType="separate"/>
      </w:r>
      <w:proofErr w:type="spellStart"/>
      <w:r w:rsidRPr="0064665F">
        <w:rPr>
          <w:rFonts w:eastAsia="Times New Roman" w:cs="Times New Roman"/>
          <w:color w:val="0089E1"/>
          <w:kern w:val="0"/>
          <w:szCs w:val="24"/>
          <w:lang w:eastAsia="es-CO"/>
          <w14:ligatures w14:val="none"/>
        </w:rPr>
        <w:t>Aclaracion</w:t>
      </w:r>
      <w:proofErr w:type="spellEnd"/>
      <w:r w:rsidRPr="0064665F">
        <w:rPr>
          <w:rFonts w:eastAsia="Times New Roman" w:cs="Times New Roman"/>
          <w:color w:val="0089E1"/>
          <w:kern w:val="0"/>
          <w:szCs w:val="24"/>
          <w:lang w:eastAsia="es-CO"/>
          <w14:ligatures w14:val="none"/>
        </w:rPr>
        <w:t xml:space="preserve"> de Voto en PDF</w:t>
      </w:r>
      <w:r w:rsidRPr="0064665F">
        <w:rPr>
          <w:rFonts w:eastAsia="Times New Roman" w:cs="Times New Roman"/>
          <w:kern w:val="0"/>
          <w:szCs w:val="24"/>
          <w:lang w:eastAsia="es-CO"/>
          <w14:ligatures w14:val="none"/>
        </w:rPr>
        <w:fldChar w:fldCharType="end"/>
      </w:r>
    </w:p>
    <w:p w14:paraId="091F6080" w14:textId="77777777" w:rsidR="0064665F" w:rsidRPr="0064665F" w:rsidRDefault="0064665F" w:rsidP="0064665F">
      <w:pPr>
        <w:spacing w:after="0" w:line="240" w:lineRule="auto"/>
        <w:rPr>
          <w:rFonts w:eastAsia="Times New Roman" w:cs="Times New Roman"/>
          <w:kern w:val="0"/>
          <w:szCs w:val="24"/>
          <w:lang w:eastAsia="es-CO"/>
          <w14:ligatures w14:val="none"/>
        </w:rPr>
      </w:pPr>
      <w:hyperlink r:id="rId5" w:history="1">
        <w:r w:rsidRPr="0064665F">
          <w:rPr>
            <w:rFonts w:eastAsia="Times New Roman" w:cs="Times New Roman"/>
            <w:color w:val="0089E1"/>
            <w:kern w:val="0"/>
            <w:szCs w:val="24"/>
            <w:lang w:eastAsia="es-CO"/>
            <w14:ligatures w14:val="none"/>
          </w:rPr>
          <w:t>Salvamento de Voto en PDF</w:t>
        </w:r>
      </w:hyperlink>
    </w:p>
    <w:p w14:paraId="13C5B9BD" w14:textId="77777777" w:rsidR="0064665F" w:rsidRPr="0064665F" w:rsidRDefault="0064665F" w:rsidP="0064665F">
      <w:pPr>
        <w:spacing w:after="0" w:line="240" w:lineRule="auto"/>
        <w:rPr>
          <w:rFonts w:eastAsia="Times New Roman" w:cs="Times New Roman"/>
          <w:kern w:val="0"/>
          <w:szCs w:val="24"/>
          <w:lang w:eastAsia="es-CO"/>
          <w14:ligatures w14:val="none"/>
        </w:rPr>
      </w:pPr>
      <w:hyperlink r:id="rId6" w:history="1">
        <w:r w:rsidRPr="0064665F">
          <w:rPr>
            <w:rFonts w:eastAsia="Times New Roman" w:cs="Times New Roman"/>
            <w:color w:val="0089E1"/>
            <w:kern w:val="0"/>
            <w:szCs w:val="24"/>
            <w:lang w:eastAsia="es-CO"/>
            <w14:ligatures w14:val="none"/>
          </w:rPr>
          <w:t>Sentencia en PDF</w:t>
        </w:r>
      </w:hyperlink>
    </w:p>
    <w:p w14:paraId="237333B8"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CONSEJO DE ESTADO</w:t>
      </w:r>
    </w:p>
    <w:p w14:paraId="1593EC31"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SALA DE LO CONTENCIOSO ADMINISTRATIVO</w:t>
      </w:r>
    </w:p>
    <w:p w14:paraId="66D8DF2D"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SECCIÓN CUARTA</w:t>
      </w:r>
    </w:p>
    <w:p w14:paraId="28F6B736"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BDF61BE"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CONSEJERA PONENTE: STELLA JEANNETTE CARVAJAL BASTO</w:t>
      </w:r>
    </w:p>
    <w:p w14:paraId="63B588AB"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Bogotá D.C., tres (3) de noviembre de dos mil veintidós (2022)</w:t>
      </w:r>
    </w:p>
    <w:p w14:paraId="4648EF5F"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Referencia: NULIDAD Y RESTABLECIMIENTO DEL DERECHO</w:t>
      </w:r>
    </w:p>
    <w:p w14:paraId="7713F4E3"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Radicación: 25000-23-37-000-2017-01038-01 (25122)</w:t>
      </w:r>
    </w:p>
    <w:p w14:paraId="53A69F73"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Demandante: RTMX LTDA</w:t>
      </w:r>
    </w:p>
    <w:p w14:paraId="3A3FE9B3"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Demandado: DIAN</w:t>
      </w:r>
    </w:p>
    <w:p w14:paraId="40F55996"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Temas: Renta 2012. Deducción de intereses.</w:t>
      </w:r>
    </w:p>
    <w:p w14:paraId="1F7A9601"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CD954EB"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SENTENCIA SEGUNDA INSTANCIA</w:t>
      </w:r>
    </w:p>
    <w:p w14:paraId="789B89D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2031DF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CA0B30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Sala decide el recurso de apelación interpuesto por la entidad demandada contra la sentencia del 10 de octubre de 2019, proferida por el Tribunal Administrativo de Cundinamarca, Sección Cuarta - Subsección B, que resolvió:</w:t>
      </w:r>
    </w:p>
    <w:p w14:paraId="4C01769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F2EE47A"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w:t>
      </w:r>
      <w:r w:rsidRPr="0064665F">
        <w:rPr>
          <w:rFonts w:eastAsia="Times New Roman" w:cs="Times New Roman"/>
          <w:b/>
          <w:bCs/>
          <w:i/>
          <w:iCs/>
          <w:kern w:val="0"/>
          <w:szCs w:val="24"/>
          <w:lang w:eastAsia="es-CO"/>
          <w14:ligatures w14:val="none"/>
        </w:rPr>
        <w:t>PRIMERO:</w:t>
      </w:r>
      <w:r w:rsidRPr="0064665F">
        <w:rPr>
          <w:rFonts w:eastAsia="Times New Roman" w:cs="Times New Roman"/>
          <w:i/>
          <w:iCs/>
          <w:kern w:val="0"/>
          <w:szCs w:val="24"/>
          <w:lang w:eastAsia="es-CO"/>
          <w14:ligatures w14:val="none"/>
        </w:rPr>
        <w:t xml:space="preserve"> Se DECLARA la nulidad de la Liquidación Oficial de Revisión 312412016000015 del 19 de febrero de 2016, por medio de la cual se determinó oficialmente el impuesto sobre la renta y complementarios de la sociedad RTMX LTDA por el año gravable 2012 y la Resolución 001396 del 03 de marzo de 2017, de conformidad con el análisis realizado en la parte motiva de esta providencia.</w:t>
      </w:r>
    </w:p>
    <w:p w14:paraId="75001EEB"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0AF0E4A"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b/>
          <w:bCs/>
          <w:i/>
          <w:iCs/>
          <w:kern w:val="0"/>
          <w:szCs w:val="24"/>
          <w:lang w:eastAsia="es-CO"/>
          <w14:ligatures w14:val="none"/>
        </w:rPr>
        <w:t>SEGUNDO:</w:t>
      </w:r>
      <w:r w:rsidRPr="0064665F">
        <w:rPr>
          <w:rFonts w:eastAsia="Times New Roman" w:cs="Times New Roman"/>
          <w:i/>
          <w:iCs/>
          <w:kern w:val="0"/>
          <w:szCs w:val="24"/>
          <w:lang w:eastAsia="es-CO"/>
          <w14:ligatures w14:val="none"/>
        </w:rPr>
        <w:t xml:space="preserve"> A título de restablecimiento del derecho se declara la firmeza de la declaración de renta del año gravable 2012, presentada por la sociedad actora.</w:t>
      </w:r>
    </w:p>
    <w:p w14:paraId="76C3FC87"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7BBCA77"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b/>
          <w:bCs/>
          <w:i/>
          <w:iCs/>
          <w:kern w:val="0"/>
          <w:szCs w:val="24"/>
          <w:lang w:eastAsia="es-CO"/>
          <w14:ligatures w14:val="none"/>
        </w:rPr>
        <w:t>Tercero:</w:t>
      </w:r>
      <w:r w:rsidRPr="0064665F">
        <w:rPr>
          <w:rFonts w:eastAsia="Times New Roman" w:cs="Times New Roman"/>
          <w:i/>
          <w:iCs/>
          <w:kern w:val="0"/>
          <w:szCs w:val="24"/>
          <w:lang w:eastAsia="es-CO"/>
          <w14:ligatures w14:val="none"/>
        </w:rPr>
        <w:t xml:space="preserve"> por no haberse causado no se condena en costas».</w:t>
      </w:r>
    </w:p>
    <w:p w14:paraId="5A53282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3380961"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ANTECEDENTES</w:t>
      </w:r>
    </w:p>
    <w:p w14:paraId="57CCA45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 </w:t>
      </w:r>
    </w:p>
    <w:p w14:paraId="60C91F6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El 11 de abril de 2013, RTMX LTDA</w:t>
      </w:r>
      <w:r w:rsidRPr="0064665F">
        <w:rPr>
          <w:rFonts w:eastAsia="Times New Roman" w:cs="Times New Roman"/>
          <w:kern w:val="0"/>
          <w:szCs w:val="24"/>
          <w:vertAlign w:val="superscript"/>
          <w:lang w:eastAsia="es-CO"/>
          <w14:ligatures w14:val="none"/>
        </w:rPr>
        <w:t>1</w:t>
      </w:r>
      <w:r w:rsidRPr="0064665F">
        <w:rPr>
          <w:rFonts w:eastAsia="Times New Roman" w:cs="Times New Roman"/>
          <w:kern w:val="0"/>
          <w:szCs w:val="24"/>
          <w:lang w:eastAsia="es-CO"/>
          <w14:ligatures w14:val="none"/>
        </w:rPr>
        <w:t xml:space="preserve"> presentó la declaración del impuesto sobre la renta del año gravable 2012, en la cual liquidó un saldo a favor de $9.242.240.000.</w:t>
      </w:r>
    </w:p>
    <w:p w14:paraId="1EC69A0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41079D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El 21 de marzo de 2015, la División de Gestión de Fiscalización de la Dirección Seccional de Impuestos de Grandes Contribuyentes expidió el Requerimiento Especial 312382015000066, en relación con la declaración tributaria señalada.</w:t>
      </w:r>
    </w:p>
    <w:p w14:paraId="471F829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EE12E3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El 19 de febrero de 2016, la División de Gestión de Liquidación de la mencionada dirección seccional expidió la Liquidación Oficial de Revisión 312412016000015, en la cual desconoció deducciones por concepto de intereses de $10.341.065.000, impuso sanción por inexactitud de $5.460.083.000 y fijó el total saldo a favor en $369.605.000.</w:t>
      </w:r>
    </w:p>
    <w:p w14:paraId="3FB62A7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A885CE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Contra el acto de determinación del tributo se interpuso recurso de reconsideración, decidido por la Subdirección de Gestión de Recursos Jurídicos de la División de Gestión Jurídica de la DIAN en la Resolución 001396 del 3 de marzo de 2017, en el sentido de aplicar favorabilidad a la sanción por inexactitud que pasó a $3.412.552.000, confirmar la </w:t>
      </w:r>
      <w:proofErr w:type="gramStart"/>
      <w:r w:rsidRPr="0064665F">
        <w:rPr>
          <w:rFonts w:eastAsia="Times New Roman" w:cs="Times New Roman"/>
          <w:kern w:val="0"/>
          <w:szCs w:val="24"/>
          <w:lang w:eastAsia="es-CO"/>
          <w14:ligatures w14:val="none"/>
        </w:rPr>
        <w:t>glosas propuesta</w:t>
      </w:r>
      <w:proofErr w:type="gramEnd"/>
      <w:r w:rsidRPr="0064665F">
        <w:rPr>
          <w:rFonts w:eastAsia="Times New Roman" w:cs="Times New Roman"/>
          <w:kern w:val="0"/>
          <w:szCs w:val="24"/>
          <w:lang w:eastAsia="es-CO"/>
          <w14:ligatures w14:val="none"/>
        </w:rPr>
        <w:t>, y fijar el saldo a favor en $2.417.136.000.</w:t>
      </w:r>
    </w:p>
    <w:p w14:paraId="6C60771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BC656AC"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DEMANDA</w:t>
      </w:r>
    </w:p>
    <w:p w14:paraId="12F7D4B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8A8F86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demandante, en ejercicio del medio de control de nulidad y restablecimiento del derecho, formuló las siguientes pretensiones:</w:t>
      </w:r>
    </w:p>
    <w:p w14:paraId="154D710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6F65144"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«A.- Se declare la nulidad de la Liquidación Oficial de Revisión No. 312412016000015 del 19 de febrero de 2016 proferida por la División de Gestión de Liquidación de la Dirección Seccional de Impuestos de Grandes Contribuyentes de la DIAN, por medio de la cual se modificó oficialmente la declaración del impuesto sobre renta por el año gravable 2012.</w:t>
      </w:r>
    </w:p>
    <w:p w14:paraId="4298863A"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06247D1"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B.- Se declare la nulidad de la Resolución No. 001396 del 03 de marzo de 2017 proferida por la Subdirección de Gestión de Recursos Jurídicos de la División de Gestión Jurídica, por medio de la cual se resolvió el recurso de reconsideración interpuesto contra la Liquidación Oficial.</w:t>
      </w:r>
    </w:p>
    <w:p w14:paraId="056A1A96"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28A9122"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C.- Que, como consecuencia de lo anterior, se restablezca el derecho de mí representada, en los siguientes términos:</w:t>
      </w:r>
    </w:p>
    <w:p w14:paraId="28EE9860"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458583D"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 xml:space="preserve">1.- Que se declare que no hay lugar a desconocer la suma de $10.341.065.000 registrados en la cuenta PUC 530520 “intereses” pagados a SOFASA por concepto de préstamo, los </w:t>
      </w:r>
      <w:r w:rsidRPr="0064665F">
        <w:rPr>
          <w:rFonts w:eastAsia="Times New Roman" w:cs="Times New Roman"/>
          <w:i/>
          <w:iCs/>
          <w:kern w:val="0"/>
          <w:szCs w:val="24"/>
          <w:lang w:eastAsia="es-CO"/>
          <w14:ligatures w14:val="none"/>
        </w:rPr>
        <w:lastRenderedPageBreak/>
        <w:t>cuales fueron registrados como deducciones. En consecuencia, que se declare que no hay lugar a liquidar el mayor impuesto ni la sanción por inexactitud determinados en los actos demandados.</w:t>
      </w:r>
    </w:p>
    <w:p w14:paraId="2C3E134C"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4771D1B"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2.- Que se declare que la liquidación privada del impuesto sobre la renta y complementarios presentada por RTMX en relación con el año gravable 2012 está en firme y se ordene el archivo del expediente que por este particular se haya abierto en contra de mi representada».</w:t>
      </w:r>
    </w:p>
    <w:p w14:paraId="48A46E1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72188E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Invocó como disposiciones violadas, las siguientes:</w:t>
      </w:r>
    </w:p>
    <w:p w14:paraId="0C8D15F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B90E36D" w14:textId="77777777" w:rsidR="0064665F" w:rsidRPr="0064665F" w:rsidRDefault="0064665F" w:rsidP="0064665F">
      <w:pPr>
        <w:numPr>
          <w:ilvl w:val="0"/>
          <w:numId w:val="1"/>
        </w:numPr>
        <w:spacing w:before="100" w:beforeAutospacing="1" w:after="100" w:afterAutospacing="1" w:line="240" w:lineRule="auto"/>
        <w:ind w:left="1320" w:firstLine="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Artículos 11, 107, 117 y 647 del Estatuto Tributario </w:t>
      </w:r>
    </w:p>
    <w:p w14:paraId="20718AA4" w14:textId="77777777" w:rsidR="0064665F" w:rsidRPr="0064665F" w:rsidRDefault="0064665F" w:rsidP="0064665F">
      <w:pPr>
        <w:numPr>
          <w:ilvl w:val="0"/>
          <w:numId w:val="2"/>
        </w:numPr>
        <w:spacing w:before="100" w:beforeAutospacing="1" w:after="100" w:afterAutospacing="1" w:line="240" w:lineRule="auto"/>
        <w:ind w:left="1320" w:firstLine="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Artículo 884 del Código de Comercio </w:t>
      </w:r>
    </w:p>
    <w:p w14:paraId="3EE07857" w14:textId="77777777" w:rsidR="0064665F" w:rsidRPr="0064665F" w:rsidRDefault="0064665F" w:rsidP="0064665F">
      <w:pPr>
        <w:numPr>
          <w:ilvl w:val="0"/>
          <w:numId w:val="3"/>
        </w:numPr>
        <w:spacing w:before="100" w:beforeAutospacing="1" w:after="100" w:afterAutospacing="1" w:line="240" w:lineRule="auto"/>
        <w:ind w:left="1320" w:firstLine="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Artículo 305 del Código Penal </w:t>
      </w:r>
    </w:p>
    <w:p w14:paraId="44757560" w14:textId="77777777" w:rsidR="0064665F" w:rsidRPr="0064665F" w:rsidRDefault="0064665F" w:rsidP="0064665F">
      <w:pPr>
        <w:numPr>
          <w:ilvl w:val="0"/>
          <w:numId w:val="4"/>
        </w:numPr>
        <w:spacing w:before="100" w:beforeAutospacing="1" w:after="100" w:afterAutospacing="1" w:line="240" w:lineRule="auto"/>
        <w:ind w:left="1320" w:firstLine="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Artículo 72 de la Ley 45 de 1990 </w:t>
      </w:r>
    </w:p>
    <w:p w14:paraId="6924C08F" w14:textId="77777777" w:rsidR="0064665F" w:rsidRPr="0064665F" w:rsidRDefault="0064665F" w:rsidP="0064665F">
      <w:pPr>
        <w:numPr>
          <w:ilvl w:val="0"/>
          <w:numId w:val="5"/>
        </w:numPr>
        <w:spacing w:before="100" w:beforeAutospacing="1" w:after="100" w:afterAutospacing="1" w:line="240" w:lineRule="auto"/>
        <w:ind w:left="1320" w:firstLine="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Artículo </w:t>
      </w:r>
      <w:proofErr w:type="gramStart"/>
      <w:r w:rsidRPr="0064665F">
        <w:rPr>
          <w:rFonts w:eastAsia="Times New Roman" w:cs="Times New Roman"/>
          <w:kern w:val="0"/>
          <w:szCs w:val="24"/>
          <w:lang w:eastAsia="es-CO"/>
          <w14:ligatures w14:val="none"/>
        </w:rPr>
        <w:t>3.°</w:t>
      </w:r>
      <w:proofErr w:type="gramEnd"/>
      <w:r w:rsidRPr="0064665F">
        <w:rPr>
          <w:rFonts w:eastAsia="Times New Roman" w:cs="Times New Roman"/>
          <w:kern w:val="0"/>
          <w:szCs w:val="24"/>
          <w:lang w:eastAsia="es-CO"/>
          <w14:ligatures w14:val="none"/>
        </w:rPr>
        <w:t xml:space="preserve"> de la Ley 488 de 1989 </w:t>
      </w:r>
    </w:p>
    <w:p w14:paraId="41FC223D" w14:textId="77777777" w:rsidR="0064665F" w:rsidRPr="0064665F" w:rsidRDefault="0064665F" w:rsidP="0064665F">
      <w:pPr>
        <w:numPr>
          <w:ilvl w:val="0"/>
          <w:numId w:val="6"/>
        </w:numPr>
        <w:spacing w:before="100" w:beforeAutospacing="1" w:after="100" w:afterAutospacing="1" w:line="240" w:lineRule="auto"/>
        <w:ind w:left="1320" w:firstLine="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Artículos </w:t>
      </w:r>
      <w:proofErr w:type="gramStart"/>
      <w:r w:rsidRPr="0064665F">
        <w:rPr>
          <w:rFonts w:eastAsia="Times New Roman" w:cs="Times New Roman"/>
          <w:kern w:val="0"/>
          <w:szCs w:val="24"/>
          <w:lang w:eastAsia="es-CO"/>
          <w14:ligatures w14:val="none"/>
        </w:rPr>
        <w:t>1.°</w:t>
      </w:r>
      <w:proofErr w:type="gramEnd"/>
      <w:r w:rsidRPr="0064665F">
        <w:rPr>
          <w:rFonts w:eastAsia="Times New Roman" w:cs="Times New Roman"/>
          <w:kern w:val="0"/>
          <w:szCs w:val="24"/>
          <w:lang w:eastAsia="es-CO"/>
          <w14:ligatures w14:val="none"/>
        </w:rPr>
        <w:t xml:space="preserve"> y 2.° de la Ley 153 de 1887 y, </w:t>
      </w:r>
    </w:p>
    <w:p w14:paraId="00BA5468" w14:textId="77777777" w:rsidR="0064665F" w:rsidRPr="0064665F" w:rsidRDefault="0064665F" w:rsidP="0064665F">
      <w:pPr>
        <w:numPr>
          <w:ilvl w:val="0"/>
          <w:numId w:val="7"/>
        </w:numPr>
        <w:spacing w:before="100" w:beforeAutospacing="1" w:after="100" w:afterAutospacing="1" w:line="240" w:lineRule="auto"/>
        <w:ind w:left="1320" w:firstLine="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Artículo 30 del Decreto 443 de 1999</w:t>
      </w:r>
    </w:p>
    <w:p w14:paraId="0744CFE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5E7CA1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Como concepto de la violación expuso, en síntesis, lo siguiente:</w:t>
      </w:r>
    </w:p>
    <w:p w14:paraId="5841F55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56F012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tasa de interés del 21.5 % sobre el préstamo de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a RTMX responde a la autonomía de la voluntad de las partes, y no viola la normativa fiscal y comercial aplicable, sin que importe su incremento de un año a otro.</w:t>
      </w:r>
    </w:p>
    <w:p w14:paraId="3E8CCFA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B06E50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DIAN interpretó de forma errónea el artículo 117 del Estatuto Tributario al rechazar la deducción debatida, pues la norma prevé que los intereses a favor de sujetos no vigilados por la Superintendencia Financiera se pueden deducir en su totalidad, siempre y cuando no excedan la tasa de usura certificada.</w:t>
      </w:r>
    </w:p>
    <w:p w14:paraId="128E041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D3F63B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legislación fiscal, posterior en el tiempo</w:t>
      </w:r>
      <w:hyperlink r:id="rId7" w:anchor="cite_note-2" w:history="1">
        <w:r w:rsidRPr="0064665F">
          <w:rPr>
            <w:rFonts w:eastAsia="Times New Roman" w:cs="Times New Roman"/>
            <w:color w:val="0089E1"/>
            <w:kern w:val="0"/>
            <w:szCs w:val="24"/>
            <w:vertAlign w:val="superscript"/>
            <w:lang w:eastAsia="es-CO"/>
            <w14:ligatures w14:val="none"/>
          </w:rPr>
          <w:t>2</w:t>
        </w:r>
      </w:hyperlink>
      <w:r w:rsidRPr="0064665F">
        <w:rPr>
          <w:rFonts w:eastAsia="Times New Roman" w:cs="Times New Roman"/>
          <w:kern w:val="0"/>
          <w:szCs w:val="24"/>
          <w:lang w:eastAsia="es-CO"/>
          <w14:ligatures w14:val="none"/>
        </w:rPr>
        <w:t xml:space="preserve"> al artículo 107 del Estatuto Tributario indica que los gastos de financiación ordinaria no deben cumplir los requisitos de necesidad y proporcionalidad de las deducciones, sino el de causalidad con la actividad productora.</w:t>
      </w:r>
    </w:p>
    <w:p w14:paraId="33E1EF6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DAAF10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No obstante, los intereses reclamados se originaron en una transacción con sustancia económica, por cuanto el préstamo y la tasa de interés «</w:t>
      </w:r>
      <w:r w:rsidRPr="0064665F">
        <w:rPr>
          <w:rFonts w:eastAsia="Times New Roman" w:cs="Times New Roman"/>
          <w:i/>
          <w:iCs/>
          <w:kern w:val="0"/>
          <w:szCs w:val="24"/>
          <w:lang w:eastAsia="es-CO"/>
          <w14:ligatures w14:val="none"/>
        </w:rPr>
        <w:t>se enmarcan dentro de una estrategia global de negocios</w:t>
      </w:r>
      <w:r w:rsidRPr="0064665F">
        <w:rPr>
          <w:rFonts w:eastAsia="Times New Roman" w:cs="Times New Roman"/>
          <w:kern w:val="0"/>
          <w:szCs w:val="24"/>
          <w:lang w:eastAsia="es-CO"/>
          <w14:ligatures w14:val="none"/>
        </w:rPr>
        <w:t xml:space="preserve">», corresponden a valores de mercado y cumplen los requisitos generales de las </w:t>
      </w:r>
      <w:r w:rsidRPr="0064665F">
        <w:rPr>
          <w:rFonts w:eastAsia="Times New Roman" w:cs="Times New Roman"/>
          <w:kern w:val="0"/>
          <w:szCs w:val="24"/>
          <w:lang w:eastAsia="es-CO"/>
          <w14:ligatures w14:val="none"/>
        </w:rPr>
        <w:lastRenderedPageBreak/>
        <w:t xml:space="preserve">deducciones, que se predican frente a la actividad, mas no al ingreso, pues tienen vínculo causal con la actividad productora de renta </w:t>
      </w:r>
      <w:r w:rsidRPr="0064665F">
        <w:rPr>
          <w:rFonts w:eastAsia="Times New Roman" w:cs="Times New Roman"/>
          <w:i/>
          <w:iCs/>
          <w:kern w:val="0"/>
          <w:szCs w:val="24"/>
          <w:lang w:eastAsia="es-CO"/>
          <w14:ligatures w14:val="none"/>
        </w:rPr>
        <w:t>(arrendamientos y fabricación de autopartes</w:t>
      </w:r>
      <w:r w:rsidRPr="0064665F">
        <w:rPr>
          <w:rFonts w:eastAsia="Times New Roman" w:cs="Times New Roman"/>
          <w:kern w:val="0"/>
          <w:szCs w:val="24"/>
          <w:lang w:eastAsia="es-CO"/>
          <w14:ligatures w14:val="none"/>
        </w:rPr>
        <w:t>); son necesarios, en tanto se originaron en un préstamo que le permitió a la compañía mantener la propiedad de la planta, y son proporcionales, al darse en función de la actividad generadora.</w:t>
      </w:r>
    </w:p>
    <w:p w14:paraId="21EE725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3A6305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Los actos demandados contrarían la doctrina de la DIAN</w:t>
      </w:r>
      <w:r w:rsidRPr="0064665F">
        <w:rPr>
          <w:rFonts w:eastAsia="Times New Roman" w:cs="Times New Roman"/>
          <w:kern w:val="0"/>
          <w:szCs w:val="24"/>
          <w:vertAlign w:val="superscript"/>
          <w:lang w:eastAsia="es-CO"/>
          <w14:ligatures w14:val="none"/>
        </w:rPr>
        <w:t>3</w:t>
      </w:r>
      <w:r w:rsidRPr="0064665F">
        <w:rPr>
          <w:rFonts w:eastAsia="Times New Roman" w:cs="Times New Roman"/>
          <w:kern w:val="0"/>
          <w:szCs w:val="24"/>
          <w:lang w:eastAsia="es-CO"/>
          <w14:ligatures w14:val="none"/>
        </w:rPr>
        <w:t>, en donde precisó que, cuando no se presenten ingresos asociados, los gastos por intereses son deducibles en su totalidad siempre que tengan relación con la actividad productora de renta.</w:t>
      </w:r>
    </w:p>
    <w:p w14:paraId="2998D87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7B6024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sociedad no incurrió en los supuestos para imponer sanción por inexactitud, porque los datos declarados son ciertos, y se presenta diferencia en la interpretación del derecho aplicable en relación con la procedencia en la deducción de intereses</w:t>
      </w:r>
      <w:hyperlink r:id="rId8" w:anchor="cite_note-4" w:history="1">
        <w:r w:rsidRPr="0064665F">
          <w:rPr>
            <w:rFonts w:eastAsia="Times New Roman" w:cs="Times New Roman"/>
            <w:color w:val="0089E1"/>
            <w:kern w:val="0"/>
            <w:szCs w:val="24"/>
            <w:vertAlign w:val="superscript"/>
            <w:lang w:eastAsia="es-CO"/>
            <w14:ligatures w14:val="none"/>
          </w:rPr>
          <w:t>4</w:t>
        </w:r>
      </w:hyperlink>
      <w:r w:rsidRPr="0064665F">
        <w:rPr>
          <w:rFonts w:eastAsia="Times New Roman" w:cs="Times New Roman"/>
          <w:kern w:val="0"/>
          <w:szCs w:val="24"/>
          <w:lang w:eastAsia="es-CO"/>
          <w14:ligatures w14:val="none"/>
        </w:rPr>
        <w:t>.</w:t>
      </w:r>
    </w:p>
    <w:p w14:paraId="4C8374C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A24D016"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OPOSICIÓN</w:t>
      </w:r>
    </w:p>
    <w:p w14:paraId="214FC04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B8F0C1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w:t>
      </w:r>
      <w:r w:rsidRPr="0064665F">
        <w:rPr>
          <w:rFonts w:eastAsia="Times New Roman" w:cs="Times New Roman"/>
          <w:b/>
          <w:bCs/>
          <w:kern w:val="0"/>
          <w:szCs w:val="24"/>
          <w:lang w:eastAsia="es-CO"/>
          <w14:ligatures w14:val="none"/>
        </w:rPr>
        <w:t xml:space="preserve">DIAN </w:t>
      </w:r>
      <w:r w:rsidRPr="0064665F">
        <w:rPr>
          <w:rFonts w:eastAsia="Times New Roman" w:cs="Times New Roman"/>
          <w:kern w:val="0"/>
          <w:szCs w:val="24"/>
          <w:lang w:eastAsia="es-CO"/>
          <w14:ligatures w14:val="none"/>
        </w:rPr>
        <w:t>se opuso a las pretensiones de la demanda, con fundamento en lo siguiente:</w:t>
      </w:r>
    </w:p>
    <w:p w14:paraId="09CF10E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7C8BCF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Los gastos financieros rechazados no reúnen requisitos para su deducibilidad, al carecer de proporcionalidad, porque para el período discutido representaron un incremento del 650 % de la tasa inicialmente pactada. Lo anterior ocurrió cuando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adquirió el control de RTMX, lo cual indica que dicha operación constituye una deuda propia, cuya deducción escapa a la lógica comercial.</w:t>
      </w:r>
    </w:p>
    <w:p w14:paraId="1B0564E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8FC0B3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 pesar de que en el año 2012 la contribuyente obtuvo ingresos de $7.514.277.852 por el arrendamiento de dos inmuebles 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se comprometió a pagar intereses de $17.855.342.580, por el préstamo que esta última le hizo, lo cual resulta un gasto injustificado y desproporcionado ajeno a la dinámica comercial.</w:t>
      </w:r>
    </w:p>
    <w:p w14:paraId="38462F8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799B73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sociedad no solo debía demostrar que el incremento de la tasa de interés se enmarcaba en las previsiones del artículo 117 del Estatuto Tributario, sino que también cumplía los requisitos de necesidad y proporcionalidad del gasto a que alude el artículo 107 </w:t>
      </w:r>
      <w:r w:rsidRPr="0064665F">
        <w:rPr>
          <w:rFonts w:eastAsia="Times New Roman" w:cs="Times New Roman"/>
          <w:i/>
          <w:iCs/>
          <w:kern w:val="0"/>
          <w:szCs w:val="24"/>
          <w:lang w:eastAsia="es-CO"/>
          <w14:ligatures w14:val="none"/>
        </w:rPr>
        <w:t>Ib</w:t>
      </w:r>
      <w:r w:rsidRPr="0064665F">
        <w:rPr>
          <w:rFonts w:eastAsia="Times New Roman" w:cs="Times New Roman"/>
          <w:kern w:val="0"/>
          <w:szCs w:val="24"/>
          <w:lang w:eastAsia="es-CO"/>
          <w14:ligatures w14:val="none"/>
        </w:rPr>
        <w:t>., vistos desde un criterio comercial o de costumbre mercantil, lo cual no ocurre en este caso, en el que no se acreditó que «</w:t>
      </w:r>
      <w:r w:rsidRPr="0064665F">
        <w:rPr>
          <w:rFonts w:eastAsia="Times New Roman" w:cs="Times New Roman"/>
          <w:i/>
          <w:iCs/>
          <w:kern w:val="0"/>
          <w:szCs w:val="24"/>
          <w:lang w:eastAsia="es-CO"/>
          <w14:ligatures w14:val="none"/>
        </w:rPr>
        <w:t>la erogación se realizó por obligación legal, o fue consecuencia del cumplimiento de obligaciones empresariales o de la costumbre mercantil»</w:t>
      </w:r>
      <w:r w:rsidRPr="0064665F">
        <w:rPr>
          <w:rFonts w:eastAsia="Times New Roman" w:cs="Times New Roman"/>
          <w:kern w:val="0"/>
          <w:szCs w:val="24"/>
          <w:lang w:eastAsia="es-CO"/>
          <w14:ligatures w14:val="none"/>
        </w:rPr>
        <w:t>.</w:t>
      </w:r>
    </w:p>
    <w:p w14:paraId="5F159D4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B3F9BE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El incremento en la tasa de interés debatida, que se concretó con el cambio de la tasa de interés inicialmente acordada en el DTF efectivo anual, al 21.5 % efectivo anual, es inconsistente con la actividad de fabricación de autopartes de RTMX, pues el gasto se generó por el préstamo realizado por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w:t>
      </w:r>
      <w:r w:rsidRPr="0064665F">
        <w:rPr>
          <w:rFonts w:eastAsia="Times New Roman" w:cs="Times New Roman"/>
          <w:i/>
          <w:iCs/>
          <w:kern w:val="0"/>
          <w:szCs w:val="24"/>
          <w:lang w:eastAsia="es-CO"/>
          <w14:ligatures w14:val="none"/>
        </w:rPr>
        <w:t>quien es socio mayoritario de la contribuyente con una participación del 99.99 %</w:t>
      </w:r>
      <w:r w:rsidRPr="0064665F">
        <w:rPr>
          <w:rFonts w:eastAsia="Times New Roman" w:cs="Times New Roman"/>
          <w:kern w:val="0"/>
          <w:szCs w:val="24"/>
          <w:lang w:eastAsia="es-CO"/>
          <w14:ligatures w14:val="none"/>
        </w:rPr>
        <w:t>- «</w:t>
      </w:r>
      <w:r w:rsidRPr="0064665F">
        <w:rPr>
          <w:rFonts w:eastAsia="Times New Roman" w:cs="Times New Roman"/>
          <w:i/>
          <w:iCs/>
          <w:kern w:val="0"/>
          <w:szCs w:val="24"/>
          <w:lang w:eastAsia="es-CO"/>
          <w14:ligatures w14:val="none"/>
        </w:rPr>
        <w:t>para la compra de sus mismos activos fijos y que usufructúa igualmente a través de contrato de arrendamiento</w:t>
      </w:r>
      <w:r w:rsidRPr="0064665F">
        <w:rPr>
          <w:rFonts w:eastAsia="Times New Roman" w:cs="Times New Roman"/>
          <w:kern w:val="0"/>
          <w:szCs w:val="24"/>
          <w:lang w:eastAsia="es-CO"/>
          <w14:ligatures w14:val="none"/>
        </w:rPr>
        <w:t>», y no guarda proporcionalidad con los ingresos por arrendamiento que percibe, a los cuales se encuentra asociado el gasto.</w:t>
      </w:r>
    </w:p>
    <w:p w14:paraId="324D21C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 </w:t>
      </w:r>
    </w:p>
    <w:p w14:paraId="5416550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Si bien en la negociación de los predios que resultó en el préstamo cuyos intereses se cuestionan, se acordó un pacto de retroventa y que el registro en instrumentos públicos de la transferencia de dominio se realizaría en el año 2020, lo que indica que los bienes están en cabeza de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quien «</w:t>
      </w:r>
      <w:r w:rsidRPr="0064665F">
        <w:rPr>
          <w:rFonts w:eastAsia="Times New Roman" w:cs="Times New Roman"/>
          <w:i/>
          <w:iCs/>
          <w:kern w:val="0"/>
          <w:szCs w:val="24"/>
          <w:lang w:eastAsia="es-CO"/>
          <w14:ligatures w14:val="none"/>
        </w:rPr>
        <w:t>funge como vendedora, arrendataria y acreedora»</w:t>
      </w:r>
      <w:r w:rsidRPr="0064665F">
        <w:rPr>
          <w:rFonts w:eastAsia="Times New Roman" w:cs="Times New Roman"/>
          <w:kern w:val="0"/>
          <w:szCs w:val="24"/>
          <w:lang w:eastAsia="es-CO"/>
          <w14:ligatures w14:val="none"/>
        </w:rPr>
        <w:t>, los actos demandados reconocieron la proporcionalidad del gasto en una cuantía igual a lo que la contribuyente recibió por arrendamientos.</w:t>
      </w:r>
    </w:p>
    <w:p w14:paraId="77C8665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E0B53C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modificación -</w:t>
      </w:r>
      <w:r w:rsidRPr="0064665F">
        <w:rPr>
          <w:rFonts w:eastAsia="Times New Roman" w:cs="Times New Roman"/>
          <w:i/>
          <w:iCs/>
          <w:kern w:val="0"/>
          <w:szCs w:val="24"/>
          <w:lang w:eastAsia="es-CO"/>
          <w14:ligatures w14:val="none"/>
        </w:rPr>
        <w:t>incremento</w:t>
      </w:r>
      <w:r w:rsidRPr="0064665F">
        <w:rPr>
          <w:rFonts w:eastAsia="Times New Roman" w:cs="Times New Roman"/>
          <w:kern w:val="0"/>
          <w:szCs w:val="24"/>
          <w:lang w:eastAsia="es-CO"/>
          <w14:ligatures w14:val="none"/>
        </w:rPr>
        <w:t>- de los intereses inicialmente pactados no tiene vínculo de causalidad con las actividades de fabricación y ensamble de autopartes, y las negociaciones entre partes pertenecientes a un mismo grupo empresarial no contienen sustancia económica, porque se disminuyó la renta líquida gravable y, en tal sentido, los acuerdos entre particulares no son oponibles al fisco.</w:t>
      </w:r>
    </w:p>
    <w:p w14:paraId="7398CA7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79CD9C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sanción por inexactitud es procedente, por cuanto la contribuyente declaró una deducción de gastos financieros a la que no tenía derecho, y no se presenta diferencia de criterios sino el desconocimiento de la normativa aplicable, cuya interpretación es clara y de fácil aplicación.</w:t>
      </w:r>
    </w:p>
    <w:p w14:paraId="675C76E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14A1ED5"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AUDIENCIA INICIAL</w:t>
      </w:r>
    </w:p>
    <w:p w14:paraId="738DC3F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0A2EA5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En la audiencia inicial del 18 de junio de 2018 el </w:t>
      </w:r>
      <w:r w:rsidRPr="0064665F">
        <w:rPr>
          <w:rFonts w:eastAsia="Times New Roman" w:cs="Times New Roman"/>
          <w:i/>
          <w:iCs/>
          <w:kern w:val="0"/>
          <w:szCs w:val="24"/>
          <w:lang w:eastAsia="es-CO"/>
          <w14:ligatures w14:val="none"/>
        </w:rPr>
        <w:t>a-quo</w:t>
      </w:r>
      <w:r w:rsidRPr="0064665F">
        <w:rPr>
          <w:rFonts w:eastAsia="Times New Roman" w:cs="Times New Roman"/>
          <w:kern w:val="0"/>
          <w:szCs w:val="24"/>
          <w:lang w:eastAsia="es-CO"/>
          <w14:ligatures w14:val="none"/>
        </w:rPr>
        <w:t xml:space="preserve"> no advirtió irregularidades o nulidades en lo actuado, declaró que no se presentaron excepciones previas, decretó como pruebas las aportadas y pedidas por las partes, y fijó el litigio en determinar la legalidad de los actos administrativos demandados.</w:t>
      </w:r>
    </w:p>
    <w:p w14:paraId="2504D3C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53CB69B"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SENTENCIA APELADA</w:t>
      </w:r>
    </w:p>
    <w:p w14:paraId="45363F2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D22D6F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El Tribunal declaró la nulidad de los actos administrativos demandados y no condenó en costas y agencias en derecho, por lo siguiente:</w:t>
      </w:r>
    </w:p>
    <w:p w14:paraId="4C9DF3A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29A699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Al margen de los requisitos generales de las deducciones, los gastos de financiación, que se pactan libremente, cuentan con una regulación especial que solo exige la existencia de un vínculo causal con la actividad generadora de renta y que no superen los topes establecidos para la tasa de usura.</w:t>
      </w:r>
    </w:p>
    <w:p w14:paraId="58D2EBE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EB1C3E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En el caso concreto ocurrieron tres operaciones: i) la compra de dos inmuebles hecha por la actora 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que se financió con dos créditos de bancos en el exterior; </w:t>
      </w:r>
      <w:proofErr w:type="spellStart"/>
      <w:r w:rsidRPr="0064665F">
        <w:rPr>
          <w:rFonts w:eastAsia="Times New Roman" w:cs="Times New Roman"/>
          <w:kern w:val="0"/>
          <w:szCs w:val="24"/>
          <w:lang w:eastAsia="es-CO"/>
          <w14:ligatures w14:val="none"/>
        </w:rPr>
        <w:t>ii</w:t>
      </w:r>
      <w:proofErr w:type="spellEnd"/>
      <w:r w:rsidRPr="0064665F">
        <w:rPr>
          <w:rFonts w:eastAsia="Times New Roman" w:cs="Times New Roman"/>
          <w:kern w:val="0"/>
          <w:szCs w:val="24"/>
          <w:lang w:eastAsia="es-CO"/>
          <w14:ligatures w14:val="none"/>
        </w:rPr>
        <w:t xml:space="preserve">) el arrendamiento de esos inmuebles 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y, </w:t>
      </w:r>
      <w:proofErr w:type="spellStart"/>
      <w:r w:rsidRPr="0064665F">
        <w:rPr>
          <w:rFonts w:eastAsia="Times New Roman" w:cs="Times New Roman"/>
          <w:kern w:val="0"/>
          <w:szCs w:val="24"/>
          <w:lang w:eastAsia="es-CO"/>
          <w14:ligatures w14:val="none"/>
        </w:rPr>
        <w:t>iii</w:t>
      </w:r>
      <w:proofErr w:type="spellEnd"/>
      <w:r w:rsidRPr="0064665F">
        <w:rPr>
          <w:rFonts w:eastAsia="Times New Roman" w:cs="Times New Roman"/>
          <w:kern w:val="0"/>
          <w:szCs w:val="24"/>
          <w:lang w:eastAsia="es-CO"/>
          <w14:ligatures w14:val="none"/>
        </w:rPr>
        <w:t xml:space="preserve">) la celebración de un contrato en virtud del cual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prestó dinero a la demandante para cubrir los créditos mencionados, con una tasa que, al ser modificada por las partes, originó los intereses discutidos. La DIAN no podía rechazar parte de los intereses bajo el argumento de que no corresponden a ingresos producidos por la actividad de arrendamiento, pues al hacerlo desconoció la generación de otros ingresos por venta de autopartes, que constituye otra </w:t>
      </w:r>
      <w:r w:rsidRPr="0064665F">
        <w:rPr>
          <w:rFonts w:eastAsia="Times New Roman" w:cs="Times New Roman"/>
          <w:kern w:val="0"/>
          <w:szCs w:val="24"/>
          <w:lang w:eastAsia="es-CO"/>
          <w14:ligatures w14:val="none"/>
        </w:rPr>
        <w:lastRenderedPageBreak/>
        <w:t>actividad del objeto social y, por ende, el principio de proporcionalidad y la normativa específica que regula la deducción de intereses.</w:t>
      </w:r>
    </w:p>
    <w:p w14:paraId="74B568D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E838D2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Está demostrado que el porcentaje acordado de intereses entre RTMX y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para el período en discusión, no superó la tasa de usura certificada, que no constituye una práctica ajena a las condiciones de mercado, y que la deducción cuenta con vínculo causal con la actividad generadora de renta.</w:t>
      </w:r>
    </w:p>
    <w:p w14:paraId="47CA8F4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0E81BC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No se condena en costas, comoquiera que no se demostró su causación.</w:t>
      </w:r>
    </w:p>
    <w:p w14:paraId="237E212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8CA5458"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RECURSO DE APELACIÓN</w:t>
      </w:r>
    </w:p>
    <w:p w14:paraId="45128DE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3D9EFB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 xml:space="preserve">La Dian </w:t>
      </w:r>
      <w:r w:rsidRPr="0064665F">
        <w:rPr>
          <w:rFonts w:eastAsia="Times New Roman" w:cs="Times New Roman"/>
          <w:kern w:val="0"/>
          <w:szCs w:val="24"/>
          <w:lang w:eastAsia="es-CO"/>
          <w14:ligatures w14:val="none"/>
        </w:rPr>
        <w:t>interpuso recurso de apelación, por las siguientes razones:</w:t>
      </w:r>
    </w:p>
    <w:p w14:paraId="0ACF214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73D08F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deducción rechazada no cumple los requisitos de necesidad y proporcionalidad del artículo 107 del Estatuto Tributario, teniendo en cuenta que el incremento en un 650 % de los intereses en el préstamo hecho por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a la actora, respecto a los inicialmente acordados, se dio cuando esa compañía adquirió el control de RTMX, lo cual indica que dicha obligación constituye una deuda propia.</w:t>
      </w:r>
    </w:p>
    <w:p w14:paraId="0B8EF4C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652585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Los mayores ingresos generados por venta de autopartes no significan un mayor impuesto, pues el incremento de intereses generados en una transacción entre vinculadas son una mayor deducción injustificada que disminuye el impuesto a pagar y constituye un abuso en materia tributaria, sobre el cual no se demostró la necesidad en el incremento.</w:t>
      </w:r>
    </w:p>
    <w:p w14:paraId="2013720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50A0C0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Si el ingreso de la demandante por el arrendamiento de los inmuebles adquiridos con el crédito en discusión fue de $7.514.277.852, carece de criterio comercial que para el año gravable 2012 accediera a pagar intereses de $17.855.342.580, situación que no es proporcional con el ingreso, frente a la que no se demostraron razones técnicas ni la existencia de costumbre mercantil que la avalara.</w:t>
      </w:r>
    </w:p>
    <w:p w14:paraId="0D7D073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08AC78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términos del artículo 107 del Estatuto Tributario, no se demostró que la erogación fuera acostumbrada en las actividades desarrolladas por la actora, esto es, «</w:t>
      </w:r>
      <w:r w:rsidRPr="0064665F">
        <w:rPr>
          <w:rFonts w:eastAsia="Times New Roman" w:cs="Times New Roman"/>
          <w:i/>
          <w:iCs/>
          <w:kern w:val="0"/>
          <w:szCs w:val="24"/>
          <w:lang w:eastAsia="es-CO"/>
          <w14:ligatures w14:val="none"/>
        </w:rPr>
        <w:t>que se realizó por una obligación legal, o fue consecuencia del cumplimiento de obligaciones empresariales o de la costumbre mercantil</w:t>
      </w:r>
      <w:r w:rsidRPr="0064665F">
        <w:rPr>
          <w:rFonts w:eastAsia="Times New Roman" w:cs="Times New Roman"/>
          <w:kern w:val="0"/>
          <w:szCs w:val="24"/>
          <w:lang w:eastAsia="es-CO"/>
          <w14:ligatures w14:val="none"/>
        </w:rPr>
        <w:t>», lo cual indica que no se cumplió el requisito de necesidad.</w:t>
      </w:r>
    </w:p>
    <w:p w14:paraId="3715A49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4581C2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Procede la sanción por inexactitud, porque la contribuyente declaró datos equivocados.</w:t>
      </w:r>
    </w:p>
    <w:p w14:paraId="533DFD0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C21F4F4"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lastRenderedPageBreak/>
        <w:t>ALEGATOS DE CONCLUSIÓN</w:t>
      </w:r>
    </w:p>
    <w:p w14:paraId="0DBEF99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2795A6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w:t>
      </w:r>
      <w:r w:rsidRPr="0064665F">
        <w:rPr>
          <w:rFonts w:eastAsia="Times New Roman" w:cs="Times New Roman"/>
          <w:b/>
          <w:bCs/>
          <w:kern w:val="0"/>
          <w:szCs w:val="24"/>
          <w:lang w:eastAsia="es-CO"/>
          <w14:ligatures w14:val="none"/>
        </w:rPr>
        <w:t xml:space="preserve">demandante </w:t>
      </w:r>
      <w:r w:rsidRPr="0064665F">
        <w:rPr>
          <w:rFonts w:eastAsia="Times New Roman" w:cs="Times New Roman"/>
          <w:kern w:val="0"/>
          <w:szCs w:val="24"/>
          <w:lang w:eastAsia="es-CO"/>
          <w14:ligatures w14:val="none"/>
        </w:rPr>
        <w:t>reiteró los argumentos de la demanda, y agregó que en la apelación se pretende incluir un argumento no expuesto en los actos administrativos demandados, en relación con la necesidad en el gasto, y que a partir de la operación de financiamiento debatida incrementaron las utilidades y se generó un mayor impuesto que descarta la existencia de abuso en materia tributaria.</w:t>
      </w:r>
    </w:p>
    <w:p w14:paraId="348F52F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96E339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w:t>
      </w:r>
      <w:r w:rsidRPr="0064665F">
        <w:rPr>
          <w:rFonts w:eastAsia="Times New Roman" w:cs="Times New Roman"/>
          <w:b/>
          <w:bCs/>
          <w:kern w:val="0"/>
          <w:szCs w:val="24"/>
          <w:lang w:eastAsia="es-CO"/>
          <w14:ligatures w14:val="none"/>
        </w:rPr>
        <w:t xml:space="preserve">DIAN </w:t>
      </w:r>
      <w:r w:rsidRPr="0064665F">
        <w:rPr>
          <w:rFonts w:eastAsia="Times New Roman" w:cs="Times New Roman"/>
          <w:kern w:val="0"/>
          <w:szCs w:val="24"/>
          <w:lang w:eastAsia="es-CO"/>
          <w14:ligatures w14:val="none"/>
        </w:rPr>
        <w:t>reiteró los argumentos del recurso de apelación.</w:t>
      </w:r>
    </w:p>
    <w:p w14:paraId="13BDA5E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D9299E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El </w:t>
      </w:r>
      <w:r w:rsidRPr="0064665F">
        <w:rPr>
          <w:rFonts w:eastAsia="Times New Roman" w:cs="Times New Roman"/>
          <w:b/>
          <w:bCs/>
          <w:kern w:val="0"/>
          <w:szCs w:val="24"/>
          <w:lang w:eastAsia="es-CO"/>
          <w14:ligatures w14:val="none"/>
        </w:rPr>
        <w:t xml:space="preserve">Ministerio Público </w:t>
      </w:r>
      <w:r w:rsidRPr="0064665F">
        <w:rPr>
          <w:rFonts w:eastAsia="Times New Roman" w:cs="Times New Roman"/>
          <w:kern w:val="0"/>
          <w:szCs w:val="24"/>
          <w:lang w:eastAsia="es-CO"/>
          <w14:ligatures w14:val="none"/>
        </w:rPr>
        <w:t>solicitó revocar la sentencia apelada por considerar que no se demostró el principio de necesidad en el gasto y que procede imponer sanción por inexactitud</w:t>
      </w:r>
      <w:r w:rsidRPr="0064665F">
        <w:rPr>
          <w:rFonts w:eastAsia="Times New Roman" w:cs="Times New Roman"/>
          <w:kern w:val="0"/>
          <w:szCs w:val="24"/>
          <w:vertAlign w:val="superscript"/>
          <w:lang w:eastAsia="es-CO"/>
          <w14:ligatures w14:val="none"/>
        </w:rPr>
        <w:t>5</w:t>
      </w:r>
      <w:r w:rsidRPr="0064665F">
        <w:rPr>
          <w:rFonts w:eastAsia="Times New Roman" w:cs="Times New Roman"/>
          <w:kern w:val="0"/>
          <w:szCs w:val="24"/>
          <w:lang w:eastAsia="es-CO"/>
          <w14:ligatures w14:val="none"/>
        </w:rPr>
        <w:t>.</w:t>
      </w:r>
    </w:p>
    <w:p w14:paraId="2C27575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C4D5F9E"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CONSIDERACIONES DE LA SALA</w:t>
      </w:r>
    </w:p>
    <w:p w14:paraId="3F5A1C2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EF6991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Se discute la legalidad de los actos administrativos que modificaron la declaración del impuesto sobre la renta y complementarios del año gravable 2012, presentada por la sociedad RTMX Ltda.</w:t>
      </w:r>
    </w:p>
    <w:p w14:paraId="555B3B6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801CB3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En los términos del recurso de apelación se debe establecer si procede el rechazo del incremento de los intereses acordados entre la contribuyente y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por el período discutido, para lo cual debe determinar si su deducción está sujeta a los requisitos de necesidad y proporcionalidad previstos en el artículo 107 del Estatuto Tributario, en cuyo caso se establecerá su cumplimiento, y lo relativo a la sanción por inexactitud. No se estudiará el nuevo aspecto aducido en la apelación sobre abuso en materia tributaria, por no haber sido planteado en los actos demandados.</w:t>
      </w:r>
    </w:p>
    <w:p w14:paraId="67DCA6D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6F934A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actora argumenta que, aunque en la deducción de intereses no se requiere acreditar los requisitos de necesidad y proporcionalidad, sino el de causalidad con la actividad productora de renta, así como los del artículo 117 del Estatuto Tributario, los intereses debatidos cumplen los requisitos generales de las deducciones.</w:t>
      </w:r>
    </w:p>
    <w:p w14:paraId="7165235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009771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Administración, por su parte, afirmó que el incremento de intereses, respecto de la tasa inicialmente pactada en el préstamo que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hizo a la contribuyente, incumple los requisitos de necesidad, causalidad y proporcionalidad.</w:t>
      </w:r>
    </w:p>
    <w:p w14:paraId="162A163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7A29DD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highlight w:val="yellow"/>
          <w:lang w:eastAsia="es-CO"/>
          <w14:ligatures w14:val="none"/>
        </w:rPr>
        <w:t>La Sala ha dicho</w:t>
      </w:r>
      <w:hyperlink r:id="rId9" w:anchor="cite_note-6" w:history="1">
        <w:r w:rsidRPr="0064665F">
          <w:rPr>
            <w:rFonts w:eastAsia="Times New Roman" w:cs="Times New Roman"/>
            <w:color w:val="0089E1"/>
            <w:kern w:val="0"/>
            <w:szCs w:val="24"/>
            <w:highlight w:val="yellow"/>
            <w:vertAlign w:val="superscript"/>
            <w:lang w:eastAsia="es-CO"/>
            <w14:ligatures w14:val="none"/>
          </w:rPr>
          <w:t>6</w:t>
        </w:r>
      </w:hyperlink>
      <w:r w:rsidRPr="0064665F">
        <w:rPr>
          <w:rFonts w:eastAsia="Times New Roman" w:cs="Times New Roman"/>
          <w:i/>
          <w:iCs/>
          <w:kern w:val="0"/>
          <w:szCs w:val="24"/>
          <w:highlight w:val="yellow"/>
          <w:lang w:eastAsia="es-CO"/>
          <w14:ligatures w14:val="none"/>
        </w:rPr>
        <w:t xml:space="preserve"> que, en las deducciones regladas en disposiciones adicionales, «es del caso analizar la especial interacción que pueda surgir entre esta y aquellos requisitos de causalidad, necesidad y proporcionalidad del artículo 107 del ET, pues, en ciertos casos normas especiales preceptúan connotaciones especiales que bien pueden flexibilizar o, por el contrario, tornar más estrictos los requisitos del citado artículo 107 para un tipo de expensa o erogación de modo particular».</w:t>
      </w:r>
    </w:p>
    <w:p w14:paraId="648EDA0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 </w:t>
      </w:r>
    </w:p>
    <w:p w14:paraId="574E7DC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ese contexto, el artículo 117 del Estatuto Tributario</w:t>
      </w:r>
      <w:r w:rsidRPr="0064665F">
        <w:rPr>
          <w:rFonts w:eastAsia="Times New Roman" w:cs="Times New Roman"/>
          <w:kern w:val="0"/>
          <w:szCs w:val="24"/>
          <w:vertAlign w:val="superscript"/>
          <w:lang w:eastAsia="es-CO"/>
          <w14:ligatures w14:val="none"/>
        </w:rPr>
        <w:t>7</w:t>
      </w:r>
      <w:r w:rsidRPr="0064665F">
        <w:rPr>
          <w:rFonts w:eastAsia="Times New Roman" w:cs="Times New Roman"/>
          <w:kern w:val="0"/>
          <w:szCs w:val="24"/>
          <w:lang w:eastAsia="es-CO"/>
          <w14:ligatures w14:val="none"/>
        </w:rPr>
        <w:t>, bajo la vigencia de la Ley 488 de 1998</w:t>
      </w:r>
      <w:hyperlink r:id="rId10" w:anchor="cite_note-8" w:history="1">
        <w:r w:rsidRPr="0064665F">
          <w:rPr>
            <w:rFonts w:eastAsia="Times New Roman" w:cs="Times New Roman"/>
            <w:color w:val="0089E1"/>
            <w:kern w:val="0"/>
            <w:szCs w:val="24"/>
            <w:vertAlign w:val="superscript"/>
            <w:lang w:eastAsia="es-CO"/>
            <w14:ligatures w14:val="none"/>
          </w:rPr>
          <w:t>8</w:t>
        </w:r>
      </w:hyperlink>
      <w:r w:rsidRPr="0064665F">
        <w:rPr>
          <w:rFonts w:eastAsia="Times New Roman" w:cs="Times New Roman"/>
          <w:kern w:val="0"/>
          <w:szCs w:val="24"/>
          <w:lang w:eastAsia="es-CO"/>
          <w14:ligatures w14:val="none"/>
        </w:rPr>
        <w:t>, señala que los intereses causados a favor de entidades sometidas a la otrora Superintendencia Bancaria -</w:t>
      </w:r>
      <w:r w:rsidRPr="0064665F">
        <w:rPr>
          <w:rFonts w:eastAsia="Times New Roman" w:cs="Times New Roman"/>
          <w:i/>
          <w:iCs/>
          <w:kern w:val="0"/>
          <w:szCs w:val="24"/>
          <w:lang w:eastAsia="es-CO"/>
          <w14:ligatures w14:val="none"/>
        </w:rPr>
        <w:t>hoy Superintendencia Financiera de Colombia</w:t>
      </w:r>
      <w:r w:rsidRPr="0064665F">
        <w:rPr>
          <w:rFonts w:eastAsia="Times New Roman" w:cs="Times New Roman"/>
          <w:kern w:val="0"/>
          <w:szCs w:val="24"/>
          <w:lang w:eastAsia="es-CO"/>
          <w14:ligatures w14:val="none"/>
        </w:rPr>
        <w:t>- son deducibles en su totalidad, y los que «</w:t>
      </w:r>
      <w:r w:rsidRPr="0064665F">
        <w:rPr>
          <w:rFonts w:eastAsia="Times New Roman" w:cs="Times New Roman"/>
          <w:i/>
          <w:iCs/>
          <w:kern w:val="0"/>
          <w:szCs w:val="24"/>
          <w:lang w:eastAsia="es-CO"/>
          <w14:ligatures w14:val="none"/>
        </w:rPr>
        <w:t>se causen a otras personas o entidades, únicamente son deducibles en la parte que no exceda la tasa más alta</w:t>
      </w:r>
      <w:r w:rsidRPr="0064665F">
        <w:rPr>
          <w:rFonts w:eastAsia="Times New Roman" w:cs="Times New Roman"/>
          <w:kern w:val="0"/>
          <w:szCs w:val="24"/>
          <w:lang w:eastAsia="es-CO"/>
          <w14:ligatures w14:val="none"/>
        </w:rPr>
        <w:t>» autorizada para establecimientos bancarios.</w:t>
      </w:r>
    </w:p>
    <w:p w14:paraId="793D241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99DB76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Acorde con el límite de deducibilidad de la tasa de interés establecido en la anterior disposición, el inciso 2.° del artículo 11 del Estatuto Tributario, adicionado por la Ley 488 de 1998, y el artículo 30 del Decreto 433 de 1999</w:t>
      </w:r>
      <w:r w:rsidRPr="0064665F">
        <w:rPr>
          <w:rFonts w:eastAsia="Times New Roman" w:cs="Times New Roman"/>
          <w:kern w:val="0"/>
          <w:szCs w:val="24"/>
          <w:vertAlign w:val="superscript"/>
          <w:lang w:eastAsia="es-CO"/>
          <w14:ligatures w14:val="none"/>
        </w:rPr>
        <w:t>9</w:t>
      </w:r>
      <w:r w:rsidRPr="0064665F">
        <w:rPr>
          <w:rFonts w:eastAsia="Times New Roman" w:cs="Times New Roman"/>
          <w:kern w:val="0"/>
          <w:szCs w:val="24"/>
          <w:lang w:eastAsia="es-CO"/>
          <w14:ligatures w14:val="none"/>
        </w:rPr>
        <w:t>, establecieron que, dentro del marco de bienes con fines especiales, en virtud de donaciones o asignaciones modales, los gastos de financiación ordinaria, extraordinarios o moratorios diferentes de intereses corrientes o moratorios pagados por impuestos, tasas o contribuciones fiscales o parafiscales, «</w:t>
      </w:r>
      <w:r w:rsidRPr="0064665F">
        <w:rPr>
          <w:rFonts w:eastAsia="Times New Roman" w:cs="Times New Roman"/>
          <w:i/>
          <w:iCs/>
          <w:kern w:val="0"/>
          <w:szCs w:val="24"/>
          <w:lang w:eastAsia="es-CO"/>
          <w14:ligatures w14:val="none"/>
        </w:rPr>
        <w:t>serán deducibles de la renta si tienen relación de causalidad con la actividad productora de renta»</w:t>
      </w:r>
      <w:r w:rsidRPr="0064665F">
        <w:rPr>
          <w:rFonts w:eastAsia="Times New Roman" w:cs="Times New Roman"/>
          <w:kern w:val="0"/>
          <w:szCs w:val="24"/>
          <w:lang w:eastAsia="es-CO"/>
          <w14:ligatures w14:val="none"/>
        </w:rPr>
        <w:t>.</w:t>
      </w:r>
    </w:p>
    <w:p w14:paraId="7290F35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DD4D23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El análisis sistemático de las anteriores disposiciones indica que, si bien el artículo 117 del Estatuto Tributario limitó la deducción de intereses a personas o entidades no vigiladas por la Superintendencia Financiera de Colombia, en el tope de la tasa certificada para establecimientos bancarios, y que los artículos 11 </w:t>
      </w:r>
      <w:r w:rsidRPr="0064665F">
        <w:rPr>
          <w:rFonts w:eastAsia="Times New Roman" w:cs="Times New Roman"/>
          <w:i/>
          <w:iCs/>
          <w:kern w:val="0"/>
          <w:szCs w:val="24"/>
          <w:lang w:eastAsia="es-CO"/>
          <w14:ligatures w14:val="none"/>
        </w:rPr>
        <w:t>Ib</w:t>
      </w:r>
      <w:r w:rsidRPr="0064665F">
        <w:rPr>
          <w:rFonts w:eastAsia="Times New Roman" w:cs="Times New Roman"/>
          <w:kern w:val="0"/>
          <w:szCs w:val="24"/>
          <w:lang w:eastAsia="es-CO"/>
          <w14:ligatures w14:val="none"/>
        </w:rPr>
        <w:t>. y 30 del Decreto 433 de 1999 determinaron que los intereses corrientes y moratorios, diferentes a los generados por obligaciones fiscales, deben tener un vínculo de causalidad con la actividad generadora de renta, tales circunstancias no implican una regulación específica que inhiba el cumplimiento de los demás requisitos generales de las deducciones (</w:t>
      </w:r>
      <w:r w:rsidRPr="0064665F">
        <w:rPr>
          <w:rFonts w:eastAsia="Times New Roman" w:cs="Times New Roman"/>
          <w:i/>
          <w:iCs/>
          <w:kern w:val="0"/>
          <w:szCs w:val="24"/>
          <w:lang w:eastAsia="es-CO"/>
          <w14:ligatures w14:val="none"/>
        </w:rPr>
        <w:t>necesidad y proporcionalidad</w:t>
      </w:r>
      <w:r w:rsidRPr="0064665F">
        <w:rPr>
          <w:rFonts w:eastAsia="Times New Roman" w:cs="Times New Roman"/>
          <w:kern w:val="0"/>
          <w:szCs w:val="24"/>
          <w:lang w:eastAsia="es-CO"/>
          <w14:ligatures w14:val="none"/>
        </w:rPr>
        <w:t>) frente al componente financiero de las obligaciones.</w:t>
      </w:r>
    </w:p>
    <w:p w14:paraId="289127A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3ABEB5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highlight w:val="yellow"/>
          <w:lang w:eastAsia="es-CO"/>
          <w14:ligatures w14:val="none"/>
        </w:rPr>
        <w:t>Del texto de las normas señaladas no se advierte una modificación que afecte el cumplimiento de los requisitos generales de las deducciones, o que constituyan una regulación específica de la deducción de intereses; por el contrario, complementan y reafirman su contenido, al establecer límites de deducibilidad (</w:t>
      </w:r>
      <w:r w:rsidRPr="0064665F">
        <w:rPr>
          <w:rFonts w:eastAsia="Times New Roman" w:cs="Times New Roman"/>
          <w:i/>
          <w:iCs/>
          <w:kern w:val="0"/>
          <w:szCs w:val="24"/>
          <w:highlight w:val="yellow"/>
          <w:lang w:eastAsia="es-CO"/>
          <w14:ligatures w14:val="none"/>
        </w:rPr>
        <w:t>tasa certificada</w:t>
      </w:r>
      <w:r w:rsidRPr="0064665F">
        <w:rPr>
          <w:rFonts w:eastAsia="Times New Roman" w:cs="Times New Roman"/>
          <w:kern w:val="0"/>
          <w:szCs w:val="24"/>
          <w:highlight w:val="yellow"/>
          <w:lang w:eastAsia="es-CO"/>
          <w14:ligatures w14:val="none"/>
        </w:rPr>
        <w:t>), excluir conceptos sobre los cuales no aplica la deducción de gastos de financiación ordinaria (</w:t>
      </w:r>
      <w:r w:rsidRPr="0064665F">
        <w:rPr>
          <w:rFonts w:eastAsia="Times New Roman" w:cs="Times New Roman"/>
          <w:i/>
          <w:iCs/>
          <w:kern w:val="0"/>
          <w:szCs w:val="24"/>
          <w:highlight w:val="yellow"/>
          <w:lang w:eastAsia="es-CO"/>
          <w14:ligatures w14:val="none"/>
        </w:rPr>
        <w:t>intereses por obligaciones fiscales</w:t>
      </w:r>
      <w:r w:rsidRPr="0064665F">
        <w:rPr>
          <w:rFonts w:eastAsia="Times New Roman" w:cs="Times New Roman"/>
          <w:kern w:val="0"/>
          <w:szCs w:val="24"/>
          <w:highlight w:val="yellow"/>
          <w:lang w:eastAsia="es-CO"/>
          <w14:ligatures w14:val="none"/>
        </w:rPr>
        <w:t>) o confirmar requisitos del artículo 107 del Estatuto Tributario en el marco de bienes destinados a fines especiales (</w:t>
      </w:r>
      <w:r w:rsidRPr="0064665F">
        <w:rPr>
          <w:rFonts w:eastAsia="Times New Roman" w:cs="Times New Roman"/>
          <w:i/>
          <w:iCs/>
          <w:kern w:val="0"/>
          <w:szCs w:val="24"/>
          <w:highlight w:val="yellow"/>
          <w:lang w:eastAsia="es-CO"/>
          <w14:ligatures w14:val="none"/>
        </w:rPr>
        <w:t>causalidad</w:t>
      </w:r>
      <w:r w:rsidRPr="0064665F">
        <w:rPr>
          <w:rFonts w:eastAsia="Times New Roman" w:cs="Times New Roman"/>
          <w:kern w:val="0"/>
          <w:szCs w:val="24"/>
          <w:highlight w:val="yellow"/>
          <w:lang w:eastAsia="es-CO"/>
          <w14:ligatures w14:val="none"/>
        </w:rPr>
        <w:t>).</w:t>
      </w:r>
    </w:p>
    <w:p w14:paraId="556F699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E33175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highlight w:val="yellow"/>
          <w:lang w:eastAsia="es-CO"/>
          <w14:ligatures w14:val="none"/>
        </w:rPr>
        <w:t>Partiendo de la aplicabilidad de los requisitos del artículo 107 del Estatuto Tributario, la Sección se refirió a los requisitos de la deducción de intereses contenidos en los artículos 117 y 118-1 del Estatuto Tributario, y precisó</w:t>
      </w:r>
      <w:hyperlink r:id="rId11" w:anchor="cite_note-10" w:history="1">
        <w:r w:rsidRPr="0064665F">
          <w:rPr>
            <w:rFonts w:eastAsia="Times New Roman" w:cs="Times New Roman"/>
            <w:color w:val="0089E1"/>
            <w:kern w:val="0"/>
            <w:szCs w:val="24"/>
            <w:highlight w:val="yellow"/>
            <w:vertAlign w:val="superscript"/>
            <w:lang w:eastAsia="es-CO"/>
            <w14:ligatures w14:val="none"/>
          </w:rPr>
          <w:t>10</w:t>
        </w:r>
      </w:hyperlink>
      <w:r w:rsidRPr="0064665F">
        <w:rPr>
          <w:rFonts w:eastAsia="Times New Roman" w:cs="Times New Roman"/>
          <w:i/>
          <w:iCs/>
          <w:kern w:val="0"/>
          <w:szCs w:val="24"/>
          <w:highlight w:val="yellow"/>
          <w:lang w:eastAsia="es-CO"/>
          <w14:ligatures w14:val="none"/>
        </w:rPr>
        <w:t xml:space="preserve"> que «los intereses pagados con ocasión de un crédito pueden ser deducidos del impuesto sobre la renta y complementarios, siempre y cuando cumplan con los requisitos legales, pero para determinar su cumplimiento debe analizarse en cada caso concreto, el acatamiento a dichos requisitos», con lo cual «dio aplicación a las reglas jurisprudenciales sobre relación de causalidad, proporcionalidad y necesidad», unificadas en la referida sentencia 2020 CE - SUJ-4-005 del 26 de noviembre de 2020.</w:t>
      </w:r>
    </w:p>
    <w:p w14:paraId="7913D2C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88AED0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consecuencia, hay lugar a estudiar si los intereses debatidos en el proceso cumplen los requisitos de necesidad, causalidad y proporcionalidad de las deducciones.</w:t>
      </w:r>
    </w:p>
    <w:p w14:paraId="54B3BE0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E8E950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highlight w:val="yellow"/>
          <w:lang w:eastAsia="es-CO"/>
          <w14:ligatures w14:val="none"/>
        </w:rPr>
        <w:t>Deducciones - intereses</w:t>
      </w:r>
    </w:p>
    <w:p w14:paraId="0EF8BA2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 </w:t>
      </w:r>
    </w:p>
    <w:p w14:paraId="770A97B3" w14:textId="77777777" w:rsidR="0064665F" w:rsidRPr="0064665F" w:rsidRDefault="0064665F" w:rsidP="0064665F">
      <w:pPr>
        <w:spacing w:after="285" w:line="240" w:lineRule="auto"/>
        <w:jc w:val="both"/>
        <w:rPr>
          <w:rFonts w:eastAsia="Times New Roman" w:cs="Times New Roman"/>
          <w:kern w:val="0"/>
          <w:szCs w:val="24"/>
          <w:highlight w:val="yellow"/>
          <w:lang w:eastAsia="es-CO"/>
          <w14:ligatures w14:val="none"/>
        </w:rPr>
      </w:pPr>
      <w:r w:rsidRPr="0064665F">
        <w:rPr>
          <w:rFonts w:eastAsia="Times New Roman" w:cs="Times New Roman"/>
          <w:i/>
          <w:iCs/>
          <w:kern w:val="0"/>
          <w:szCs w:val="24"/>
          <w:highlight w:val="yellow"/>
          <w:lang w:eastAsia="es-CO"/>
          <w14:ligatures w14:val="none"/>
        </w:rPr>
        <w:t>El artículo 107 del Estatuto Tributario establece que «Son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w:t>
      </w:r>
    </w:p>
    <w:p w14:paraId="6C6AA1F0" w14:textId="77777777" w:rsidR="0064665F" w:rsidRPr="0064665F" w:rsidRDefault="0064665F" w:rsidP="0064665F">
      <w:pPr>
        <w:spacing w:after="285" w:line="240" w:lineRule="auto"/>
        <w:jc w:val="both"/>
        <w:rPr>
          <w:rFonts w:eastAsia="Times New Roman" w:cs="Times New Roman"/>
          <w:kern w:val="0"/>
          <w:szCs w:val="24"/>
          <w:highlight w:val="yellow"/>
          <w:lang w:eastAsia="es-CO"/>
          <w14:ligatures w14:val="none"/>
        </w:rPr>
      </w:pPr>
      <w:r w:rsidRPr="0064665F">
        <w:rPr>
          <w:rFonts w:eastAsia="Times New Roman" w:cs="Times New Roman"/>
          <w:kern w:val="0"/>
          <w:szCs w:val="24"/>
          <w:highlight w:val="yellow"/>
          <w:lang w:eastAsia="es-CO"/>
          <w14:ligatures w14:val="none"/>
        </w:rPr>
        <w:t> </w:t>
      </w:r>
    </w:p>
    <w:p w14:paraId="51D3746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highlight w:val="yellow"/>
          <w:lang w:eastAsia="es-CO"/>
          <w14:ligatures w14:val="none"/>
        </w:rPr>
        <w:t xml:space="preserve">En cuanto a los requisitos de causalidad, necesidad y proporcionalidad de las deducciones, la Sala, en sentencia de unificación del 26 de noviembre de 2020 </w:t>
      </w:r>
      <w:r w:rsidRPr="0064665F">
        <w:rPr>
          <w:rFonts w:eastAsia="Times New Roman" w:cs="Times New Roman"/>
          <w:kern w:val="0"/>
          <w:szCs w:val="24"/>
          <w:highlight w:val="yellow"/>
          <w:vertAlign w:val="superscript"/>
          <w:lang w:eastAsia="es-CO"/>
          <w14:ligatures w14:val="none"/>
        </w:rPr>
        <w:t>11</w:t>
      </w:r>
      <w:r w:rsidRPr="0064665F">
        <w:rPr>
          <w:rFonts w:eastAsia="Times New Roman" w:cs="Times New Roman"/>
          <w:kern w:val="0"/>
          <w:szCs w:val="24"/>
          <w:highlight w:val="yellow"/>
          <w:lang w:eastAsia="es-CO"/>
          <w14:ligatures w14:val="none"/>
        </w:rPr>
        <w:t>, precisó, entre otros aspectos, los siguientes:</w:t>
      </w:r>
    </w:p>
    <w:p w14:paraId="3824F21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C67A342" w14:textId="77777777" w:rsidR="0064665F" w:rsidRPr="0064665F" w:rsidRDefault="0064665F" w:rsidP="0064665F">
      <w:pPr>
        <w:numPr>
          <w:ilvl w:val="0"/>
          <w:numId w:val="8"/>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relación de causalidad es el nexo causa-efecto que se predica entre la erogación y la actividad generadora de renta, entendida </w:t>
      </w:r>
      <w:r w:rsidRPr="0064665F">
        <w:rPr>
          <w:rFonts w:eastAsia="Times New Roman" w:cs="Times New Roman"/>
          <w:i/>
          <w:iCs/>
          <w:kern w:val="0"/>
          <w:szCs w:val="24"/>
          <w:lang w:eastAsia="es-CO"/>
          <w14:ligatures w14:val="none"/>
        </w:rPr>
        <w:t>«no como costo-ingreso, sino como gasto-actividad»</w:t>
      </w:r>
      <w:r w:rsidRPr="0064665F">
        <w:rPr>
          <w:rFonts w:eastAsia="Times New Roman" w:cs="Times New Roman"/>
          <w:kern w:val="0"/>
          <w:szCs w:val="24"/>
          <w:lang w:eastAsia="es-CO"/>
          <w14:ligatures w14:val="none"/>
        </w:rPr>
        <w:t xml:space="preserve"> y se verifica «</w:t>
      </w:r>
      <w:r w:rsidRPr="0064665F">
        <w:rPr>
          <w:rFonts w:eastAsia="Times New Roman" w:cs="Times New Roman"/>
          <w:i/>
          <w:iCs/>
          <w:kern w:val="0"/>
          <w:szCs w:val="24"/>
          <w:lang w:eastAsia="es-CO"/>
          <w14:ligatures w14:val="none"/>
        </w:rPr>
        <w:t>cuando la expensa se realiza en el desarrollo o ejecución de la actividad generadora de renta, aunque esta no genere ingresos o utilidades gravables durante el período o no esté enunciada en el objeto social</w:t>
      </w:r>
      <w:hyperlink r:id="rId12" w:anchor="cite_note-12" w:history="1">
        <w:r w:rsidRPr="0064665F">
          <w:rPr>
            <w:rFonts w:eastAsia="Times New Roman" w:cs="Times New Roman"/>
            <w:color w:val="0089E1"/>
            <w:kern w:val="0"/>
            <w:szCs w:val="24"/>
            <w:vertAlign w:val="superscript"/>
            <w:lang w:eastAsia="es-CO"/>
            <w14:ligatures w14:val="none"/>
          </w:rPr>
          <w:t>12</w:t>
        </w:r>
      </w:hyperlink>
      <w:r w:rsidRPr="0064665F">
        <w:rPr>
          <w:rFonts w:eastAsia="Times New Roman" w:cs="Times New Roman"/>
          <w:i/>
          <w:iCs/>
          <w:kern w:val="0"/>
          <w:szCs w:val="24"/>
          <w:lang w:eastAsia="es-CO"/>
          <w14:ligatures w14:val="none"/>
        </w:rPr>
        <w:t>»</w:t>
      </w:r>
      <w:r w:rsidRPr="0064665F">
        <w:rPr>
          <w:rFonts w:eastAsia="Times New Roman" w:cs="Times New Roman"/>
          <w:kern w:val="0"/>
          <w:szCs w:val="24"/>
          <w:lang w:eastAsia="es-CO"/>
          <w14:ligatures w14:val="none"/>
        </w:rPr>
        <w:t>.</w:t>
      </w:r>
    </w:p>
    <w:p w14:paraId="2EEF0B7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396E09E" w14:textId="77777777" w:rsidR="0064665F" w:rsidRPr="0064665F" w:rsidRDefault="0064665F" w:rsidP="0064665F">
      <w:pPr>
        <w:numPr>
          <w:ilvl w:val="0"/>
          <w:numId w:val="9"/>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cuanto a la necesidad, la expensa debe intervenir directa o indirectamente en la obtención de ingresos, de forma que ayude a generarlos, y se valora con «</w:t>
      </w:r>
      <w:r w:rsidRPr="0064665F">
        <w:rPr>
          <w:rFonts w:eastAsia="Times New Roman" w:cs="Times New Roman"/>
          <w:i/>
          <w:iCs/>
          <w:kern w:val="0"/>
          <w:szCs w:val="24"/>
          <w:lang w:eastAsia="es-CO"/>
          <w14:ligatures w14:val="none"/>
        </w:rPr>
        <w:t>criterio comercial»,</w:t>
      </w:r>
      <w:r w:rsidRPr="0064665F">
        <w:rPr>
          <w:rFonts w:eastAsia="Times New Roman" w:cs="Times New Roman"/>
          <w:kern w:val="0"/>
          <w:szCs w:val="24"/>
          <w:lang w:eastAsia="es-CO"/>
          <w14:ligatures w14:val="none"/>
        </w:rPr>
        <w:t xml:space="preserve"> para lo cual se debe verificar si resulta razonable, «</w:t>
      </w:r>
      <w:r w:rsidRPr="0064665F">
        <w:rPr>
          <w:rFonts w:eastAsia="Times New Roman" w:cs="Times New Roman"/>
          <w:i/>
          <w:iCs/>
          <w:kern w:val="0"/>
          <w:szCs w:val="24"/>
          <w:lang w:eastAsia="es-CO"/>
          <w14:ligatures w14:val="none"/>
        </w:rPr>
        <w:t>provechosa para el desarrollo de la actividad productora de renta en situaciones de mercado</w:t>
      </w:r>
      <w:r w:rsidRPr="0064665F">
        <w:rPr>
          <w:rFonts w:eastAsia="Times New Roman" w:cs="Times New Roman"/>
          <w:kern w:val="0"/>
          <w:szCs w:val="24"/>
          <w:lang w:eastAsia="es-CO"/>
          <w14:ligatures w14:val="none"/>
        </w:rPr>
        <w:t>», y que «</w:t>
      </w:r>
      <w:r w:rsidRPr="0064665F">
        <w:rPr>
          <w:rFonts w:eastAsia="Times New Roman" w:cs="Times New Roman"/>
          <w:i/>
          <w:iCs/>
          <w:kern w:val="0"/>
          <w:szCs w:val="24"/>
          <w:lang w:eastAsia="es-CO"/>
          <w14:ligatures w14:val="none"/>
        </w:rPr>
        <w:t>real o potencialmente, permita desarrollar, conservar o mejorar la actividad generadora de renta</w:t>
      </w:r>
      <w:r w:rsidRPr="0064665F">
        <w:rPr>
          <w:rFonts w:eastAsia="Times New Roman" w:cs="Times New Roman"/>
          <w:kern w:val="0"/>
          <w:szCs w:val="24"/>
          <w:vertAlign w:val="superscript"/>
          <w:lang w:eastAsia="es-CO"/>
          <w14:ligatures w14:val="none"/>
        </w:rPr>
        <w:t>13</w:t>
      </w:r>
      <w:r w:rsidRPr="0064665F">
        <w:rPr>
          <w:rFonts w:eastAsia="Times New Roman" w:cs="Times New Roman"/>
          <w:i/>
          <w:iCs/>
          <w:kern w:val="0"/>
          <w:szCs w:val="24"/>
          <w:lang w:eastAsia="es-CO"/>
          <w14:ligatures w14:val="none"/>
        </w:rPr>
        <w:t>»</w:t>
      </w:r>
      <w:r w:rsidRPr="0064665F">
        <w:rPr>
          <w:rFonts w:eastAsia="Times New Roman" w:cs="Times New Roman"/>
          <w:kern w:val="0"/>
          <w:szCs w:val="24"/>
          <w:lang w:eastAsia="es-CO"/>
          <w14:ligatures w14:val="none"/>
        </w:rPr>
        <w:t>.</w:t>
      </w:r>
    </w:p>
    <w:p w14:paraId="6E33DCD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6AB52CF" w14:textId="77777777" w:rsidR="0064665F" w:rsidRPr="0064665F" w:rsidRDefault="0064665F" w:rsidP="0064665F">
      <w:pPr>
        <w:numPr>
          <w:ilvl w:val="0"/>
          <w:numId w:val="10"/>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proporcionalidad es el aspecto cuantitativo de la expensa, se mide con «</w:t>
      </w:r>
      <w:r w:rsidRPr="0064665F">
        <w:rPr>
          <w:rFonts w:eastAsia="Times New Roman" w:cs="Times New Roman"/>
          <w:i/>
          <w:iCs/>
          <w:kern w:val="0"/>
          <w:szCs w:val="24"/>
          <w:lang w:eastAsia="es-CO"/>
          <w14:ligatures w14:val="none"/>
        </w:rPr>
        <w:t>criterio comercial</w:t>
      </w:r>
      <w:r w:rsidRPr="0064665F">
        <w:rPr>
          <w:rFonts w:eastAsia="Times New Roman" w:cs="Times New Roman"/>
          <w:kern w:val="0"/>
          <w:szCs w:val="24"/>
          <w:lang w:eastAsia="es-CO"/>
          <w14:ligatures w14:val="none"/>
        </w:rPr>
        <w:t>» y alude a la mesura y prudencia de la erogación frente al provecho económico que en términos comerciales y de mercado representa, según la actividad del contribuyente</w:t>
      </w:r>
      <w:hyperlink r:id="rId13" w:anchor="cite_note-14" w:history="1">
        <w:r w:rsidRPr="0064665F">
          <w:rPr>
            <w:rFonts w:eastAsia="Times New Roman" w:cs="Times New Roman"/>
            <w:color w:val="0089E1"/>
            <w:kern w:val="0"/>
            <w:szCs w:val="24"/>
            <w:vertAlign w:val="superscript"/>
            <w:lang w:eastAsia="es-CO"/>
            <w14:ligatures w14:val="none"/>
          </w:rPr>
          <w:t>14</w:t>
        </w:r>
      </w:hyperlink>
      <w:r w:rsidRPr="0064665F">
        <w:rPr>
          <w:rFonts w:eastAsia="Times New Roman" w:cs="Times New Roman"/>
          <w:kern w:val="0"/>
          <w:szCs w:val="24"/>
          <w:lang w:eastAsia="es-CO"/>
          <w14:ligatures w14:val="none"/>
        </w:rPr>
        <w:t>.</w:t>
      </w:r>
    </w:p>
    <w:p w14:paraId="0594A60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2B2BB7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Así, la valoración de las expensas a la luz de los requisitos del artículo 107 del Estatuto Tributario, parte de las condiciones internas y externas de los contribuyentes, quienes deben demostrar las circunstancias que las justifiquen, atendiendo los criterios señalados, en los eventos en que sean cuestionadas por la Administración</w:t>
      </w:r>
      <w:r w:rsidRPr="0064665F">
        <w:rPr>
          <w:rFonts w:eastAsia="Times New Roman" w:cs="Times New Roman"/>
          <w:kern w:val="0"/>
          <w:szCs w:val="24"/>
          <w:vertAlign w:val="superscript"/>
          <w:lang w:eastAsia="es-CO"/>
          <w14:ligatures w14:val="none"/>
        </w:rPr>
        <w:t>15</w:t>
      </w:r>
      <w:r w:rsidRPr="0064665F">
        <w:rPr>
          <w:rFonts w:eastAsia="Times New Roman" w:cs="Times New Roman"/>
          <w:kern w:val="0"/>
          <w:szCs w:val="24"/>
          <w:lang w:eastAsia="es-CO"/>
          <w14:ligatures w14:val="none"/>
        </w:rPr>
        <w:t>.</w:t>
      </w:r>
    </w:p>
    <w:p w14:paraId="0DCF1C1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D75D0A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Operación</w:t>
      </w:r>
    </w:p>
    <w:p w14:paraId="0BD3AF1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2F1570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Las negociaciones que fundamentaron el rechazo de intereses debatido son las siguientes:</w:t>
      </w:r>
    </w:p>
    <w:p w14:paraId="0FA3A40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3D91C4E" w14:textId="77777777" w:rsidR="0064665F" w:rsidRPr="0064665F" w:rsidRDefault="0064665F" w:rsidP="0064665F">
      <w:pPr>
        <w:numPr>
          <w:ilvl w:val="0"/>
          <w:numId w:val="11"/>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Según escritura pública 456 del 30 de marzo de 2000, RTMX compró 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dos plantas ubicadas en Envigado y Chía por $58.410.000.000, con el fin de «</w:t>
      </w:r>
      <w:r w:rsidRPr="0064665F">
        <w:rPr>
          <w:rFonts w:eastAsia="Times New Roman" w:cs="Times New Roman"/>
          <w:i/>
          <w:iCs/>
          <w:kern w:val="0"/>
          <w:szCs w:val="24"/>
          <w:lang w:eastAsia="es-CO"/>
          <w14:ligatures w14:val="none"/>
        </w:rPr>
        <w:t>colaborar con la liquidez de esa compañía</w:t>
      </w:r>
      <w:r w:rsidRPr="0064665F">
        <w:rPr>
          <w:rFonts w:eastAsia="Times New Roman" w:cs="Times New Roman"/>
          <w:kern w:val="0"/>
          <w:szCs w:val="24"/>
          <w:lang w:eastAsia="es-CO"/>
          <w14:ligatures w14:val="none"/>
        </w:rPr>
        <w:t xml:space="preserve">». Para ello, en esa fecha RTMX obtuvo dos créditos de Citibank y </w:t>
      </w:r>
      <w:proofErr w:type="spellStart"/>
      <w:r w:rsidRPr="0064665F">
        <w:rPr>
          <w:rFonts w:eastAsia="Times New Roman" w:cs="Times New Roman"/>
          <w:kern w:val="0"/>
          <w:szCs w:val="24"/>
          <w:lang w:eastAsia="es-CO"/>
          <w14:ligatures w14:val="none"/>
        </w:rPr>
        <w:t>Credit</w:t>
      </w:r>
      <w:proofErr w:type="spellEnd"/>
      <w:r w:rsidRPr="0064665F">
        <w:rPr>
          <w:rFonts w:eastAsia="Times New Roman" w:cs="Times New Roman"/>
          <w:kern w:val="0"/>
          <w:szCs w:val="24"/>
          <w:lang w:eastAsia="es-CO"/>
          <w14:ligatures w14:val="none"/>
        </w:rPr>
        <w:t xml:space="preserve"> </w:t>
      </w:r>
      <w:proofErr w:type="spellStart"/>
      <w:r w:rsidRPr="0064665F">
        <w:rPr>
          <w:rFonts w:eastAsia="Times New Roman" w:cs="Times New Roman"/>
          <w:kern w:val="0"/>
          <w:szCs w:val="24"/>
          <w:lang w:eastAsia="es-CO"/>
          <w14:ligatures w14:val="none"/>
        </w:rPr>
        <w:t>Industriel</w:t>
      </w:r>
      <w:proofErr w:type="spellEnd"/>
      <w:r w:rsidRPr="0064665F">
        <w:rPr>
          <w:rFonts w:eastAsia="Times New Roman" w:cs="Times New Roman"/>
          <w:kern w:val="0"/>
          <w:szCs w:val="24"/>
          <w:lang w:eastAsia="es-CO"/>
          <w14:ligatures w14:val="none"/>
        </w:rPr>
        <w:t xml:space="preserve"> por USD$31.000.000, y arrendó los predios señalados </w:t>
      </w:r>
      <w:r w:rsidRPr="0064665F">
        <w:rPr>
          <w:rFonts w:eastAsia="Times New Roman" w:cs="Times New Roman"/>
          <w:kern w:val="0"/>
          <w:szCs w:val="24"/>
          <w:lang w:eastAsia="es-CO"/>
          <w14:ligatures w14:val="none"/>
        </w:rPr>
        <w:lastRenderedPageBreak/>
        <w:t xml:space="preserve">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con un canon de arrendamiento equivalente a la DTF más inflación sobre el precio de </w:t>
      </w:r>
      <w:proofErr w:type="gramStart"/>
      <w:r w:rsidRPr="0064665F">
        <w:rPr>
          <w:rFonts w:eastAsia="Times New Roman" w:cs="Times New Roman"/>
          <w:kern w:val="0"/>
          <w:szCs w:val="24"/>
          <w:lang w:eastAsia="es-CO"/>
          <w14:ligatures w14:val="none"/>
        </w:rPr>
        <w:t>los mismos</w:t>
      </w:r>
      <w:proofErr w:type="gramEnd"/>
      <w:r w:rsidRPr="0064665F">
        <w:rPr>
          <w:rFonts w:eastAsia="Times New Roman" w:cs="Times New Roman"/>
          <w:kern w:val="0"/>
          <w:szCs w:val="24"/>
          <w:lang w:eastAsia="es-CO"/>
          <w14:ligatures w14:val="none"/>
        </w:rPr>
        <w:t>, que para ese año era de $88.163.732.064.</w:t>
      </w:r>
    </w:p>
    <w:p w14:paraId="0B1F9BC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6A8DB8B" w14:textId="77777777" w:rsidR="0064665F" w:rsidRPr="0064665F" w:rsidRDefault="0064665F" w:rsidP="0064665F">
      <w:pPr>
        <w:numPr>
          <w:ilvl w:val="0"/>
          <w:numId w:val="12"/>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En diciembre del año 2003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prestó a RTMX $83.048.105.000 para pagar los créditos señalados, y se estableció como tasa de interés corriente el DTF efectivo anual, que para ese período representó el 3.47 %</w:t>
      </w:r>
      <w:hyperlink r:id="rId14" w:anchor="cite_note-16" w:history="1">
        <w:r w:rsidRPr="0064665F">
          <w:rPr>
            <w:rFonts w:eastAsia="Times New Roman" w:cs="Times New Roman"/>
            <w:color w:val="0089E1"/>
            <w:kern w:val="0"/>
            <w:szCs w:val="24"/>
            <w:vertAlign w:val="superscript"/>
            <w:lang w:eastAsia="es-CO"/>
            <w14:ligatures w14:val="none"/>
          </w:rPr>
          <w:t>16</w:t>
        </w:r>
      </w:hyperlink>
      <w:r w:rsidRPr="0064665F">
        <w:rPr>
          <w:rFonts w:eastAsia="Times New Roman" w:cs="Times New Roman"/>
          <w:kern w:val="0"/>
          <w:szCs w:val="24"/>
          <w:lang w:eastAsia="es-CO"/>
          <w14:ligatures w14:val="none"/>
        </w:rPr>
        <w:t>.</w:t>
      </w:r>
    </w:p>
    <w:p w14:paraId="26FB35B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E47AB1C" w14:textId="77777777" w:rsidR="0064665F" w:rsidRPr="0064665F" w:rsidRDefault="0064665F" w:rsidP="0064665F">
      <w:pPr>
        <w:numPr>
          <w:ilvl w:val="0"/>
          <w:numId w:val="13"/>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Mediante escritura pública 916 del 31 de mayo de 2004,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adquirió la participación del 99.98 % de RTMX.</w:t>
      </w:r>
    </w:p>
    <w:p w14:paraId="6E7C028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67AA999" w14:textId="77777777" w:rsidR="0064665F" w:rsidRPr="0064665F" w:rsidRDefault="0064665F" w:rsidP="0064665F">
      <w:pPr>
        <w:numPr>
          <w:ilvl w:val="0"/>
          <w:numId w:val="14"/>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Para el año 2009, RTMX incluyó como nueva actividad del objeto social «el ensamble, fabricación, distribución, venta y exportación de toda clase de autopartes destinadas a vehículos de cualquier clase</w:t>
      </w:r>
      <w:r w:rsidRPr="0064665F">
        <w:rPr>
          <w:rFonts w:eastAsia="Times New Roman" w:cs="Times New Roman"/>
          <w:kern w:val="0"/>
          <w:szCs w:val="24"/>
          <w:vertAlign w:val="superscript"/>
          <w:lang w:eastAsia="es-CO"/>
          <w14:ligatures w14:val="none"/>
        </w:rPr>
        <w:t>17</w:t>
      </w:r>
      <w:r w:rsidRPr="0064665F">
        <w:rPr>
          <w:rFonts w:eastAsia="Times New Roman" w:cs="Times New Roman"/>
          <w:i/>
          <w:iCs/>
          <w:kern w:val="0"/>
          <w:szCs w:val="24"/>
          <w:lang w:eastAsia="es-CO"/>
          <w14:ligatures w14:val="none"/>
        </w:rPr>
        <w:t xml:space="preserve">», cuyo cliente fue </w:t>
      </w:r>
      <w:proofErr w:type="spellStart"/>
      <w:r w:rsidRPr="0064665F">
        <w:rPr>
          <w:rFonts w:eastAsia="Times New Roman" w:cs="Times New Roman"/>
          <w:i/>
          <w:iCs/>
          <w:kern w:val="0"/>
          <w:szCs w:val="24"/>
          <w:lang w:eastAsia="es-CO"/>
          <w14:ligatures w14:val="none"/>
        </w:rPr>
        <w:t>Sofasa</w:t>
      </w:r>
      <w:proofErr w:type="spellEnd"/>
      <w:r w:rsidRPr="0064665F">
        <w:rPr>
          <w:rFonts w:eastAsia="Times New Roman" w:cs="Times New Roman"/>
          <w:i/>
          <w:iCs/>
          <w:kern w:val="0"/>
          <w:szCs w:val="24"/>
          <w:lang w:eastAsia="es-CO"/>
          <w14:ligatures w14:val="none"/>
        </w:rPr>
        <w:t>, situación que para el año gravable 2012 le representó ingresos de $285.168.972.000.</w:t>
      </w:r>
    </w:p>
    <w:p w14:paraId="4AC92C6C" w14:textId="77777777" w:rsidR="0064665F" w:rsidRPr="0064665F" w:rsidRDefault="0064665F" w:rsidP="0064665F">
      <w:pPr>
        <w:spacing w:after="285" w:line="240" w:lineRule="auto"/>
        <w:ind w:left="960"/>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2B9FCE9" w14:textId="77777777" w:rsidR="0064665F" w:rsidRPr="0064665F" w:rsidRDefault="0064665F" w:rsidP="0064665F">
      <w:pPr>
        <w:numPr>
          <w:ilvl w:val="0"/>
          <w:numId w:val="15"/>
        </w:numPr>
        <w:spacing w:before="100" w:beforeAutospacing="1" w:after="100" w:afterAutospacing="1" w:line="240" w:lineRule="auto"/>
        <w:ind w:left="1320" w:firstLine="0"/>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 xml:space="preserve">A partir del año 2011, en ejercicio de la autonomía de la voluntad de las partes y con ocasión de las nuevas actividades del objeto social de RTMX, se pactó con </w:t>
      </w:r>
      <w:proofErr w:type="spellStart"/>
      <w:r w:rsidRPr="0064665F">
        <w:rPr>
          <w:rFonts w:eastAsia="Times New Roman" w:cs="Times New Roman"/>
          <w:i/>
          <w:iCs/>
          <w:kern w:val="0"/>
          <w:szCs w:val="24"/>
          <w:lang w:eastAsia="es-CO"/>
          <w14:ligatures w14:val="none"/>
        </w:rPr>
        <w:t>Sofasa</w:t>
      </w:r>
      <w:proofErr w:type="spellEnd"/>
      <w:r w:rsidRPr="0064665F">
        <w:rPr>
          <w:rFonts w:eastAsia="Times New Roman" w:cs="Times New Roman"/>
          <w:i/>
          <w:iCs/>
          <w:kern w:val="0"/>
          <w:szCs w:val="24"/>
          <w:lang w:eastAsia="es-CO"/>
          <w14:ligatures w14:val="none"/>
        </w:rPr>
        <w:t xml:space="preserve"> la modificación de la tasa del crédito inicialmente acordada, que pasó al 21.5 % efectivo anual. Dicha operación se soportó con un pagaré en blanco y una carta de instrucciones.</w:t>
      </w:r>
    </w:p>
    <w:p w14:paraId="542829A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3D379B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 xml:space="preserve">Como justificación de la tasa de interés acordada, con la demanda se allegó prueba pericial que, con fundamento en informes mensuales de colocación por modalidad de crédito y por entidad expedidos por la Superintendencia Financiera de Colombia, precisó que el préstamo con </w:t>
      </w:r>
      <w:proofErr w:type="spellStart"/>
      <w:r w:rsidRPr="0064665F">
        <w:rPr>
          <w:rFonts w:eastAsia="Times New Roman" w:cs="Times New Roman"/>
          <w:i/>
          <w:iCs/>
          <w:kern w:val="0"/>
          <w:szCs w:val="24"/>
          <w:lang w:eastAsia="es-CO"/>
          <w14:ligatures w14:val="none"/>
        </w:rPr>
        <w:t>Sofasa</w:t>
      </w:r>
      <w:proofErr w:type="spellEnd"/>
      <w:r w:rsidRPr="0064665F">
        <w:rPr>
          <w:rFonts w:eastAsia="Times New Roman" w:cs="Times New Roman"/>
          <w:i/>
          <w:iCs/>
          <w:kern w:val="0"/>
          <w:szCs w:val="24"/>
          <w:lang w:eastAsia="es-CO"/>
          <w14:ligatures w14:val="none"/>
        </w:rPr>
        <w:t xml:space="preserve"> «tuvo como finalidad la cancelación de créditos obtenidos previamente con entidades financieras del exterior, con los cuales RTMX adquirió de SOFASA dos plantas ubicadas en Chía y Envigado» y que «RTMX durante el año 2011 sí hubiera encontrado tasas de endeudamiento en el mercado financiero colombiano similares a las pactadas con SOFASA en dicho año».</w:t>
      </w:r>
    </w:p>
    <w:p w14:paraId="02F106E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3A164F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Al referirse a las actividades del objeto social de la contribuyente, anotó que «el arrendamiento y la venta de autopartes están profundamente conectadas de varias maneras, esto es, el ingreso se obtiene con el mismo cliente único [</w:t>
      </w:r>
      <w:proofErr w:type="spellStart"/>
      <w:r w:rsidRPr="0064665F">
        <w:rPr>
          <w:rFonts w:eastAsia="Times New Roman" w:cs="Times New Roman"/>
          <w:i/>
          <w:iCs/>
          <w:kern w:val="0"/>
          <w:szCs w:val="24"/>
          <w:lang w:eastAsia="es-CO"/>
          <w14:ligatures w14:val="none"/>
        </w:rPr>
        <w:t>Sofasa</w:t>
      </w:r>
      <w:proofErr w:type="spellEnd"/>
      <w:r w:rsidRPr="0064665F">
        <w:rPr>
          <w:rFonts w:eastAsia="Times New Roman" w:cs="Times New Roman"/>
          <w:i/>
          <w:iCs/>
          <w:kern w:val="0"/>
          <w:szCs w:val="24"/>
          <w:lang w:eastAsia="es-CO"/>
          <w14:ligatures w14:val="none"/>
        </w:rPr>
        <w:t>], la manufactura se realiza en las plantas que dieron origen al préstamo, y que a su vez generan el ingreso por arrendamiento», y que «RTMX ha tratado de optimizar el uso de las plantas por las cuales recibe un arriendo de SOFASA, adicionando la venta de autopartes a la cartera de productos y servicios con este mismo socio comercial en relación con el préstamo solicitado».</w:t>
      </w:r>
    </w:p>
    <w:p w14:paraId="11AC1EC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3263D4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En cuanto a evolución de la utilidad y el egreso por intereses, puntualizó que «a partir del año 2011 la utilidad antes de impuestos aumentó exponencialmente producto de la implementación de la nueva línea de negocio, a pesar del incremento casi simultáneo en la tasa de interés aplicable al préstamo».</w:t>
      </w:r>
    </w:p>
    <w:p w14:paraId="3D094CA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8CE21D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 xml:space="preserve">Al verificar las operaciones y la prueba pericial se advierte que la razón del préstamo hecho por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a la contribuyente -</w:t>
      </w:r>
      <w:r w:rsidRPr="0064665F">
        <w:rPr>
          <w:rFonts w:eastAsia="Times New Roman" w:cs="Times New Roman"/>
          <w:i/>
          <w:iCs/>
          <w:kern w:val="0"/>
          <w:szCs w:val="24"/>
          <w:lang w:eastAsia="es-CO"/>
          <w14:ligatures w14:val="none"/>
        </w:rPr>
        <w:t>que originó los intereses debatidos</w:t>
      </w:r>
      <w:r w:rsidRPr="0064665F">
        <w:rPr>
          <w:rFonts w:eastAsia="Times New Roman" w:cs="Times New Roman"/>
          <w:kern w:val="0"/>
          <w:szCs w:val="24"/>
          <w:lang w:eastAsia="es-CO"/>
          <w14:ligatures w14:val="none"/>
        </w:rPr>
        <w:t>-, fue el pago de créditos a bancos en el exterior, mediante los cuales RTMX adquirió los inmuebles con los que ejerció la que fue su actividad principal hasta el año gravable 2009, relacionada con el «</w:t>
      </w:r>
      <w:r w:rsidRPr="0064665F">
        <w:rPr>
          <w:rFonts w:eastAsia="Times New Roman" w:cs="Times New Roman"/>
          <w:i/>
          <w:iCs/>
          <w:kern w:val="0"/>
          <w:szCs w:val="24"/>
          <w:lang w:eastAsia="es-CO"/>
          <w14:ligatures w14:val="none"/>
        </w:rPr>
        <w:t>alquiler de sus bienes inmuebles a sus matrices o controlantes</w:t>
      </w:r>
      <w:r w:rsidRPr="0064665F">
        <w:rPr>
          <w:rFonts w:eastAsia="Times New Roman" w:cs="Times New Roman"/>
          <w:kern w:val="0"/>
          <w:szCs w:val="24"/>
          <w:lang w:eastAsia="es-CO"/>
          <w14:ligatures w14:val="none"/>
        </w:rPr>
        <w:t>». Sin embargo, a partir del año 2010, la actora adicionó las actividades de «</w:t>
      </w:r>
      <w:r w:rsidRPr="0064665F">
        <w:rPr>
          <w:rFonts w:eastAsia="Times New Roman" w:cs="Times New Roman"/>
          <w:i/>
          <w:iCs/>
          <w:kern w:val="0"/>
          <w:szCs w:val="24"/>
          <w:lang w:eastAsia="es-CO"/>
          <w14:ligatures w14:val="none"/>
        </w:rPr>
        <w:t>ensamble, fabricación, distribución, venta y exportación de toda clase de autopartes destinadas a vehículos de cualquier clase»</w:t>
      </w:r>
      <w:r w:rsidRPr="0064665F">
        <w:rPr>
          <w:rFonts w:eastAsia="Times New Roman" w:cs="Times New Roman"/>
          <w:kern w:val="0"/>
          <w:szCs w:val="24"/>
          <w:lang w:eastAsia="es-CO"/>
          <w14:ligatures w14:val="none"/>
        </w:rPr>
        <w:t>, lo que para el período debatido le representó ingresos adicionales de $285.168.972.000.</w:t>
      </w:r>
    </w:p>
    <w:p w14:paraId="06F5356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80DC93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Sobre la base del incremento de tales ingresos por la incorporación de una nueva actividad, y en virtud de la autonomía de la voluntad de las partes, la contribuyente justificó el aumento de los intereses inicialmente pactados, posición que fue rechazada por la DIAN al afirmar que RTMX no demostró que dicho incremento correspondiera a una práctica común en el desarrollo de las actividades de la sociedad, o a una costumbre mercantil, bajo el supuesto de que el crédito se solicitó para «</w:t>
      </w:r>
      <w:r w:rsidRPr="0064665F">
        <w:rPr>
          <w:rFonts w:eastAsia="Times New Roman" w:cs="Times New Roman"/>
          <w:i/>
          <w:iCs/>
          <w:kern w:val="0"/>
          <w:szCs w:val="24"/>
          <w:lang w:eastAsia="es-CO"/>
          <w14:ligatures w14:val="none"/>
        </w:rPr>
        <w:t>financiar actividades de arrendamiento y no de ensamble, fabricación, distribución, venta o exportación de autopartes».</w:t>
      </w:r>
    </w:p>
    <w:p w14:paraId="13EE24C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2064E5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Para ello, en los actos demandados, la DIAN cuestionó que la sociedad solicitó como deducción «una suma no proporcional con el ingreso origen del préstamo realizado el cual debe ser analizado en concordancia con los demás requisitos señalados en el artículo 107 del ordenamiento fiscal</w:t>
      </w:r>
      <w:hyperlink r:id="rId15" w:anchor="cite_note-18" w:history="1">
        <w:r w:rsidRPr="0064665F">
          <w:rPr>
            <w:rFonts w:eastAsia="Times New Roman" w:cs="Times New Roman"/>
            <w:color w:val="0089E1"/>
            <w:kern w:val="0"/>
            <w:szCs w:val="24"/>
            <w:vertAlign w:val="superscript"/>
            <w:lang w:eastAsia="es-CO"/>
            <w14:ligatures w14:val="none"/>
          </w:rPr>
          <w:t>18</w:t>
        </w:r>
      </w:hyperlink>
      <w:r w:rsidRPr="0064665F">
        <w:rPr>
          <w:rFonts w:eastAsia="Times New Roman" w:cs="Times New Roman"/>
          <w:i/>
          <w:iCs/>
          <w:kern w:val="0"/>
          <w:szCs w:val="24"/>
          <w:lang w:eastAsia="es-CO"/>
          <w14:ligatures w14:val="none"/>
        </w:rPr>
        <w:t>» y reconoció que, «si bien, la operación financiera cumple los requisitos de causalidad y con el límite de interés autorizados para las entidades financieras, también lo es, que se observa el incremento desproporcionado del pago de intereses respecto al pactado inicialmente, por el solo hecho de incluir una nueva actividad económica que en nada tiene que ver con la operación celebrada inicialmente», pues «la tasa de interés pactada inicialmente fue con el DTF EA de 3.47 % que originaba un pago mensual de intereses de $240.147.437, valor facturado de enero a octubre de 2011, mientras que para el año gravable 2012 a la nueva tasa de interés pactada del 21.5 %, los pagos ascendieron a la suma de $1.487.945.215 mensuales, representando un incremento del 620 %, que para la Administración Tributaria es desproporcional con respecto al ingreso que obtiene por el arrendamiento de los mismos bienes».</w:t>
      </w:r>
    </w:p>
    <w:p w14:paraId="36F8749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49C960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 partir de las anteriores circunstancias y en el marco del recurso de apelación, en los actos administrativos demandados, en la demanda y en su contestación se discutió el cumplimiento de los requisitos de necesidad y proporcionalidad en el </w:t>
      </w:r>
      <w:r w:rsidRPr="0064665F">
        <w:rPr>
          <w:rFonts w:eastAsia="Times New Roman" w:cs="Times New Roman"/>
          <w:kern w:val="0"/>
          <w:szCs w:val="24"/>
          <w:u w:val="single"/>
          <w:lang w:eastAsia="es-CO"/>
          <w14:ligatures w14:val="none"/>
        </w:rPr>
        <w:t>incremento</w:t>
      </w:r>
      <w:r w:rsidRPr="0064665F">
        <w:rPr>
          <w:rFonts w:eastAsia="Times New Roman" w:cs="Times New Roman"/>
          <w:kern w:val="0"/>
          <w:szCs w:val="24"/>
          <w:lang w:eastAsia="es-CO"/>
          <w14:ligatures w14:val="none"/>
        </w:rPr>
        <w:t xml:space="preserve"> de los intereses debatidos, en tanto el cumplimiento de la relación de causalidad con la actividad productora de renta fue aceptado por la liquidación de revisión.</w:t>
      </w:r>
    </w:p>
    <w:p w14:paraId="36352D1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1109AF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En el análisis concreto se observa que el incremento de intereses originados en el préstamo hecho por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para el pago de las obligaciones a bancos en el exterior fue justificado por la actora por la incorporación de una nueva actividad relacionada con el «</w:t>
      </w:r>
      <w:r w:rsidRPr="0064665F">
        <w:rPr>
          <w:rFonts w:eastAsia="Times New Roman" w:cs="Times New Roman"/>
          <w:i/>
          <w:iCs/>
          <w:kern w:val="0"/>
          <w:szCs w:val="24"/>
          <w:lang w:eastAsia="es-CO"/>
          <w14:ligatures w14:val="none"/>
        </w:rPr>
        <w:t>ensamble, fabricación, distribución, venta o exportación de autopartes»</w:t>
      </w:r>
      <w:r w:rsidRPr="0064665F">
        <w:rPr>
          <w:rFonts w:eastAsia="Times New Roman" w:cs="Times New Roman"/>
          <w:kern w:val="0"/>
          <w:szCs w:val="24"/>
          <w:lang w:eastAsia="es-CO"/>
          <w14:ligatures w14:val="none"/>
        </w:rPr>
        <w:t>, así como por el cumplimiento de los límites fijados en el artículo 117 del Estatuto Tributario y en las legislaciones comercial y penal, esto último no cuestionado en los actos acusados.</w:t>
      </w:r>
    </w:p>
    <w:p w14:paraId="651598A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88DE48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Así, el análisis para determinar la necesidad y la proporcionalidad de la erogación, constituida por el incremento de tales intereses, debe partir, bajo criterios comerciales, de la forma en que esta interviene en el desarrollo de las actividades del objeto social, y en la consecuente obtención de ingresos, para lo cual se debe establecer si resulta razonable, «</w:t>
      </w:r>
      <w:r w:rsidRPr="0064665F">
        <w:rPr>
          <w:rFonts w:eastAsia="Times New Roman" w:cs="Times New Roman"/>
          <w:i/>
          <w:iCs/>
          <w:kern w:val="0"/>
          <w:szCs w:val="24"/>
          <w:lang w:eastAsia="es-CO"/>
          <w14:ligatures w14:val="none"/>
        </w:rPr>
        <w:t>provechosa para el desarrollo de la actividad productora de renta en situaciones de mercado</w:t>
      </w:r>
      <w:r w:rsidRPr="0064665F">
        <w:rPr>
          <w:rFonts w:eastAsia="Times New Roman" w:cs="Times New Roman"/>
          <w:kern w:val="0"/>
          <w:szCs w:val="24"/>
          <w:lang w:eastAsia="es-CO"/>
          <w14:ligatures w14:val="none"/>
        </w:rPr>
        <w:t>», que «</w:t>
      </w:r>
      <w:r w:rsidRPr="0064665F">
        <w:rPr>
          <w:rFonts w:eastAsia="Times New Roman" w:cs="Times New Roman"/>
          <w:i/>
          <w:iCs/>
          <w:kern w:val="0"/>
          <w:szCs w:val="24"/>
          <w:lang w:eastAsia="es-CO"/>
          <w14:ligatures w14:val="none"/>
        </w:rPr>
        <w:t xml:space="preserve">real o potencialmente, permita </w:t>
      </w:r>
      <w:r w:rsidRPr="0064665F">
        <w:rPr>
          <w:rFonts w:eastAsia="Times New Roman" w:cs="Times New Roman"/>
          <w:i/>
          <w:iCs/>
          <w:kern w:val="0"/>
          <w:szCs w:val="24"/>
          <w:lang w:eastAsia="es-CO"/>
          <w14:ligatures w14:val="none"/>
        </w:rPr>
        <w:lastRenderedPageBreak/>
        <w:t>desarrollar, conservar o mejorar la actividad generadora de renta»</w:t>
      </w:r>
      <w:r w:rsidRPr="0064665F">
        <w:rPr>
          <w:rFonts w:eastAsia="Times New Roman" w:cs="Times New Roman"/>
          <w:kern w:val="0"/>
          <w:szCs w:val="24"/>
          <w:lang w:eastAsia="es-CO"/>
          <w14:ligatures w14:val="none"/>
        </w:rPr>
        <w:t>, y que sea mesurada y prudente según la actividad, circunstancias que deben ser demostradas por la contribuyente.</w:t>
      </w:r>
    </w:p>
    <w:p w14:paraId="46841EA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598B4D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ese contexto, la actora no demostró cuál fue la injerencia del aumento de la tasa de interés en el desarrollo de las actividades generadoras de renta de la compañía, ni en la consecuente obtención de los ingresos, pues no precisó las razones por las que el aumento del componente financiero inicialmente acordado permitiera «</w:t>
      </w:r>
      <w:r w:rsidRPr="0064665F">
        <w:rPr>
          <w:rFonts w:eastAsia="Times New Roman" w:cs="Times New Roman"/>
          <w:i/>
          <w:iCs/>
          <w:kern w:val="0"/>
          <w:szCs w:val="24"/>
          <w:lang w:eastAsia="es-CO"/>
          <w14:ligatures w14:val="none"/>
        </w:rPr>
        <w:t>desarrollar, conservar o mejorar la actividad generadora de renta»</w:t>
      </w:r>
      <w:r w:rsidRPr="0064665F">
        <w:rPr>
          <w:rFonts w:eastAsia="Times New Roman" w:cs="Times New Roman"/>
          <w:kern w:val="0"/>
          <w:szCs w:val="24"/>
          <w:lang w:eastAsia="es-CO"/>
          <w14:ligatures w14:val="none"/>
        </w:rPr>
        <w:t>.</w:t>
      </w:r>
    </w:p>
    <w:p w14:paraId="5E5DD96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16AC4B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Se resalta que el préstamo que originó los intereses debatidos</w:t>
      </w:r>
      <w:r w:rsidRPr="0064665F">
        <w:rPr>
          <w:rFonts w:eastAsia="Times New Roman" w:cs="Times New Roman"/>
          <w:kern w:val="0"/>
          <w:szCs w:val="24"/>
          <w:vertAlign w:val="superscript"/>
          <w:lang w:eastAsia="es-CO"/>
          <w14:ligatures w14:val="none"/>
        </w:rPr>
        <w:t>19</w:t>
      </w:r>
      <w:r w:rsidRPr="0064665F">
        <w:rPr>
          <w:rFonts w:eastAsia="Times New Roman" w:cs="Times New Roman"/>
          <w:kern w:val="0"/>
          <w:szCs w:val="24"/>
          <w:lang w:eastAsia="es-CO"/>
          <w14:ligatures w14:val="none"/>
        </w:rPr>
        <w:t xml:space="preserve"> tuvo como fin el pago de las obligaciones con las cuales se adquirieron de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los inmuebles arrendados a esta misma compañía en el año 2003 y no la incorporación de una nueva actividad generadora de renta en el objeto social, como lo es «</w:t>
      </w:r>
      <w:r w:rsidRPr="0064665F">
        <w:rPr>
          <w:rFonts w:eastAsia="Times New Roman" w:cs="Times New Roman"/>
          <w:i/>
          <w:iCs/>
          <w:kern w:val="0"/>
          <w:szCs w:val="24"/>
          <w:lang w:eastAsia="es-CO"/>
          <w14:ligatures w14:val="none"/>
        </w:rPr>
        <w:t>el ensamble, fabricación, distribución, venta y exportación de toda clase de autopartes destinadas a vehículos de cualquier clase»</w:t>
      </w:r>
      <w:r w:rsidRPr="0064665F">
        <w:rPr>
          <w:rFonts w:eastAsia="Times New Roman" w:cs="Times New Roman"/>
          <w:kern w:val="0"/>
          <w:szCs w:val="24"/>
          <w:lang w:eastAsia="es-CO"/>
          <w14:ligatures w14:val="none"/>
        </w:rPr>
        <w:t>, que pudo ser agregada y desarrollada sin que ello significara una carga financiera mayor.</w:t>
      </w:r>
    </w:p>
    <w:p w14:paraId="080ABC4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EE621C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Así pues, no se demostró la incidencia o vínculo que el incremento de intereses haya tenido en la incorporación de una nueva actividad en el objeto social de RTMX, teniendo en cuenta que la obligación que los generó tuvo como propósito el pago de obligaciones anteriores con bancos en el exterior para la compra de inmuebles, lo cual refleja que dicho incremento no se enmarca en un criterio o práctica comercial, que justifique la expensa debatida.</w:t>
      </w:r>
    </w:p>
    <w:p w14:paraId="7DA9856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B70E67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Lo anterior también evidencia falta de proporcionalidad en el aumento de la tasa de interés, en tanto no se demostró que tal erogación interviniera en la nueva actividad generadora de renta de la contribuyente, ni la existencia de un provecho económico derivado de la expensa, aunado a que, conforme con el artículo 553 del Estatuto Tributario, los pactos entre particulares no son oponibles al fisco.</w:t>
      </w:r>
    </w:p>
    <w:p w14:paraId="65472A4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62E53D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suma, la sociedad demandante se limitó a señalar que la tasa de interés incrementada se encontraba en los límites establecidos por el artículo 117 del Estatuto Tributario y demás normas concordantes, y que cumplía los requisitos generales de las deducciones, sin demostrar, como era su obligación, que dicho incremento cumpliera los requisitos de necesidad y proporcionalidad en el gasto, en la medida en que no probó que la expensa interviniera positivamente en las actividades productoras de renta</w:t>
      </w:r>
      <w:hyperlink r:id="rId16" w:anchor="cite_note-20" w:history="1">
        <w:r w:rsidRPr="0064665F">
          <w:rPr>
            <w:rFonts w:eastAsia="Times New Roman" w:cs="Times New Roman"/>
            <w:color w:val="0089E1"/>
            <w:kern w:val="0"/>
            <w:szCs w:val="24"/>
            <w:vertAlign w:val="superscript"/>
            <w:lang w:eastAsia="es-CO"/>
            <w14:ligatures w14:val="none"/>
          </w:rPr>
          <w:t>20</w:t>
        </w:r>
      </w:hyperlink>
      <w:r w:rsidRPr="0064665F">
        <w:rPr>
          <w:rFonts w:eastAsia="Times New Roman" w:cs="Times New Roman"/>
          <w:kern w:val="0"/>
          <w:szCs w:val="24"/>
          <w:lang w:eastAsia="es-CO"/>
          <w14:ligatures w14:val="none"/>
        </w:rPr>
        <w:t>, bajo criterios comerciales o de negocios.</w:t>
      </w:r>
    </w:p>
    <w:p w14:paraId="6A533BB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626C8C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Corolario de lo anterior, es procedente la sanción por inexactitud impuesta en el 100 %, comoquiera que la sociedad incluyó una deducción improcedente que derivó en un menor saldo a favor.</w:t>
      </w:r>
    </w:p>
    <w:p w14:paraId="68F23AD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FC7FFD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Prospera el recurso de apelación de la entidad demandada, sin que haya aspectos pendientes por resolver de la demanda no estudiados por el </w:t>
      </w:r>
      <w:r w:rsidRPr="0064665F">
        <w:rPr>
          <w:rFonts w:eastAsia="Times New Roman" w:cs="Times New Roman"/>
          <w:i/>
          <w:iCs/>
          <w:kern w:val="0"/>
          <w:szCs w:val="24"/>
          <w:lang w:eastAsia="es-CO"/>
          <w14:ligatures w14:val="none"/>
        </w:rPr>
        <w:t>a quo</w:t>
      </w:r>
      <w:r w:rsidRPr="0064665F">
        <w:rPr>
          <w:rFonts w:eastAsia="Times New Roman" w:cs="Times New Roman"/>
          <w:kern w:val="0"/>
          <w:szCs w:val="24"/>
          <w:lang w:eastAsia="es-CO"/>
          <w14:ligatures w14:val="none"/>
        </w:rPr>
        <w:t>.</w:t>
      </w:r>
    </w:p>
    <w:p w14:paraId="26AE4AE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77D109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En consecuencia, se revocará la sentencia apelada y, en su lugar, se negarán las pretensiones de la demanda.</w:t>
      </w:r>
    </w:p>
    <w:p w14:paraId="63F1FD9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59A856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Finalmente, de conformidad con lo previsto en los artículos 188 del Código de Procedimiento Administrativo y de lo Contencioso Administrativo y 365 del Código General del Proceso</w:t>
      </w:r>
      <w:r w:rsidRPr="0064665F">
        <w:rPr>
          <w:rFonts w:eastAsia="Times New Roman" w:cs="Times New Roman"/>
          <w:kern w:val="0"/>
          <w:szCs w:val="24"/>
          <w:vertAlign w:val="superscript"/>
          <w:lang w:eastAsia="es-CO"/>
          <w14:ligatures w14:val="none"/>
        </w:rPr>
        <w:t>21</w:t>
      </w:r>
      <w:r w:rsidRPr="0064665F">
        <w:rPr>
          <w:rFonts w:eastAsia="Times New Roman" w:cs="Times New Roman"/>
          <w:kern w:val="0"/>
          <w:szCs w:val="24"/>
          <w:lang w:eastAsia="es-CO"/>
          <w14:ligatures w14:val="none"/>
        </w:rPr>
        <w:t>, no se condenará en costas (agencias en derecho y gastos del proceso) en esta instancia, comoquiera que no se encuentran probadas en el proceso.</w:t>
      </w:r>
    </w:p>
    <w:p w14:paraId="23FCFB2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B3B606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mérito de lo expuesto, el Consejo de Estado, Sala de lo Contencioso Administrativo, Sección Cuarta, administrando justicia en nombre de la República y por autoridad de la ley,</w:t>
      </w:r>
    </w:p>
    <w:p w14:paraId="6FEF395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776E511"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FALLA</w:t>
      </w:r>
    </w:p>
    <w:p w14:paraId="373E94C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6DE0A0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 xml:space="preserve">1.- REVOCAR </w:t>
      </w:r>
      <w:r w:rsidRPr="0064665F">
        <w:rPr>
          <w:rFonts w:eastAsia="Times New Roman" w:cs="Times New Roman"/>
          <w:kern w:val="0"/>
          <w:szCs w:val="24"/>
          <w:lang w:eastAsia="es-CO"/>
          <w14:ligatures w14:val="none"/>
        </w:rPr>
        <w:t>la sentencia del 10 de octubre de 2019, proferida por el Tribunal Administrativo de Cundinamarca, Sección Cuarta - Subsección B. En su lugar, se dispone:</w:t>
      </w:r>
    </w:p>
    <w:p w14:paraId="3F32AA4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5BBE8AC" w14:textId="77777777" w:rsidR="0064665F" w:rsidRPr="0064665F" w:rsidRDefault="0064665F" w:rsidP="0064665F">
      <w:pPr>
        <w:spacing w:after="285" w:line="240" w:lineRule="auto"/>
        <w:ind w:left="510"/>
        <w:jc w:val="both"/>
        <w:rPr>
          <w:rFonts w:eastAsia="Times New Roman" w:cs="Times New Roman"/>
          <w:kern w:val="0"/>
          <w:szCs w:val="24"/>
          <w:lang w:eastAsia="es-CO"/>
          <w14:ligatures w14:val="none"/>
        </w:rPr>
      </w:pPr>
      <w:r w:rsidRPr="0064665F">
        <w:rPr>
          <w:rFonts w:eastAsia="Times New Roman" w:cs="Times New Roman"/>
          <w:b/>
          <w:bCs/>
          <w:i/>
          <w:iCs/>
          <w:kern w:val="0"/>
          <w:szCs w:val="24"/>
          <w:lang w:eastAsia="es-CO"/>
          <w14:ligatures w14:val="none"/>
        </w:rPr>
        <w:t xml:space="preserve">NEGAR </w:t>
      </w:r>
      <w:r w:rsidRPr="0064665F">
        <w:rPr>
          <w:rFonts w:eastAsia="Times New Roman" w:cs="Times New Roman"/>
          <w:i/>
          <w:iCs/>
          <w:kern w:val="0"/>
          <w:szCs w:val="24"/>
          <w:lang w:eastAsia="es-CO"/>
          <w14:ligatures w14:val="none"/>
        </w:rPr>
        <w:t>las pretensiones de la demanda.</w:t>
      </w:r>
    </w:p>
    <w:p w14:paraId="64D9D7C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437466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 xml:space="preserve">2.- </w:t>
      </w:r>
      <w:r w:rsidRPr="0064665F">
        <w:rPr>
          <w:rFonts w:eastAsia="Times New Roman" w:cs="Times New Roman"/>
          <w:kern w:val="0"/>
          <w:szCs w:val="24"/>
          <w:lang w:eastAsia="es-CO"/>
          <w14:ligatures w14:val="none"/>
        </w:rPr>
        <w:t>Sin condena en costas en esta instancia.</w:t>
      </w:r>
    </w:p>
    <w:p w14:paraId="2794D33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377606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Notifíquese, comuníquese y devuélvase el expediente al Tribunal de origen. Cúmplase.</w:t>
      </w:r>
    </w:p>
    <w:p w14:paraId="65BA72E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CD73B8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La presente providencia se aprobó en la sesión de la fecha.</w:t>
      </w:r>
    </w:p>
    <w:p w14:paraId="2813463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679913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0C4874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(Firmado electrónicamente)</w:t>
      </w:r>
    </w:p>
    <w:p w14:paraId="0E87882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JULIO ROBERTO PIZA RODRÍGUEZ</w:t>
      </w:r>
    </w:p>
    <w:p w14:paraId="007E878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Presidente</w:t>
      </w:r>
    </w:p>
    <w:p w14:paraId="1121F8B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F50065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C105AF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(Firmado electrónicamente)</w:t>
      </w:r>
    </w:p>
    <w:p w14:paraId="3A7DF53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STELLA JEANNETTE CARVAJAL BASTO</w:t>
      </w:r>
    </w:p>
    <w:p w14:paraId="0D35302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 </w:t>
      </w:r>
    </w:p>
    <w:p w14:paraId="4C83F9B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E10B7C0"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(Firmado electrónicamente)</w:t>
      </w:r>
    </w:p>
    <w:p w14:paraId="626636C3"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MILTON CHAVES GARCÍA</w:t>
      </w:r>
    </w:p>
    <w:p w14:paraId="064FB3FB"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Aclara voto</w:t>
      </w:r>
    </w:p>
    <w:p w14:paraId="3AB84F3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BC2EEA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04B67E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(Firmado electrónicamente)</w:t>
      </w:r>
    </w:p>
    <w:p w14:paraId="37DE92F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MYRIAM STELLA GUTIÉRREZ ARGÜELLO</w:t>
      </w:r>
    </w:p>
    <w:p w14:paraId="70B9CDF9"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Salva voto</w:t>
      </w:r>
    </w:p>
    <w:p w14:paraId="231FB009"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11B11660"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1B410D4"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CONSEJO DE ESTADO</w:t>
      </w:r>
    </w:p>
    <w:p w14:paraId="03F67873"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SALA DE LO CONTENCIOSO ADMINISTRATIVO</w:t>
      </w:r>
    </w:p>
    <w:p w14:paraId="217788AE"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SECCIÓN CUARTA</w:t>
      </w:r>
    </w:p>
    <w:p w14:paraId="01C337D5"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94197D5"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SALVAMENTO DE VOTO</w:t>
      </w:r>
    </w:p>
    <w:p w14:paraId="246A9BBA"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8E4F4C8"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Referencia Nulidad y restablecimiento del derecho</w:t>
      </w:r>
    </w:p>
    <w:p w14:paraId="728F57B2"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Radicación 25000-23-37-000-2017-01038-01 (25122)</w:t>
      </w:r>
    </w:p>
    <w:p w14:paraId="00244CF7"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Demandante RTMX LTDA</w:t>
      </w:r>
    </w:p>
    <w:p w14:paraId="0BA9589B"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Demandado DIRRECCIÓN (SIC) DE IMPUESTOS Y ADUANAS NACIONALES DIAN</w:t>
      </w:r>
    </w:p>
    <w:p w14:paraId="7AB8E09D"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18DD8F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9CA5D7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Con el debido respeto por la decisión mayoritaria, salvo el voto en la sentencia del proceso en referencia, que negó las pretensiones de la demanda dirigidas a declarar la nulidad de los actos que desconocieron la deducción por concepto de intereses.</w:t>
      </w:r>
    </w:p>
    <w:p w14:paraId="43708C3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FC0596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La Sala estableció que </w:t>
      </w:r>
      <w:r w:rsidRPr="0064665F">
        <w:rPr>
          <w:rFonts w:eastAsia="Times New Roman" w:cs="Times New Roman"/>
          <w:i/>
          <w:iCs/>
          <w:kern w:val="0"/>
          <w:szCs w:val="24"/>
          <w:lang w:eastAsia="es-CO"/>
          <w14:ligatures w14:val="none"/>
        </w:rPr>
        <w:t xml:space="preserve">“la actora no demostró cuál fue la injerencia del aumento de la tasa de interés en el desarrollo de las actividades generadoras de renta de la compañía, ni en la consecuente obtención de los ingresos, pues no precisó las razones por las que el aumento del componente financiero inicialmente acordado permitiera «desarrollar, conservar o mejorar la </w:t>
      </w:r>
      <w:r w:rsidRPr="0064665F">
        <w:rPr>
          <w:rFonts w:eastAsia="Times New Roman" w:cs="Times New Roman"/>
          <w:i/>
          <w:iCs/>
          <w:kern w:val="0"/>
          <w:szCs w:val="24"/>
          <w:lang w:eastAsia="es-CO"/>
          <w14:ligatures w14:val="none"/>
        </w:rPr>
        <w:lastRenderedPageBreak/>
        <w:t>actividad generadora de renta»</w:t>
      </w:r>
      <w:r w:rsidRPr="0064665F">
        <w:rPr>
          <w:rFonts w:eastAsia="Times New Roman" w:cs="Times New Roman"/>
          <w:kern w:val="0"/>
          <w:szCs w:val="24"/>
          <w:lang w:eastAsia="es-CO"/>
          <w14:ligatures w14:val="none"/>
        </w:rPr>
        <w:t>”. Así, concluyó que no se cumplieron los requisitos de necesidad y proporcionalidad en el gasto, en la medida en que no probó que la expensa interviniera positivamente en las actividades productoras de renta, bajo criterios comerciales o de negocios.</w:t>
      </w:r>
    </w:p>
    <w:p w14:paraId="2133619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B33EA7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Mi desacuerdo se fundamenta en la valoración probatoria que se adelantó para negar pretensiones, por esto, considero relevante tener en cuenta las operaciones en las que se enmarcó la deducción solicitada.</w:t>
      </w:r>
    </w:p>
    <w:p w14:paraId="21B7E1A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658A38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En el caso concreto ocurrieron las siguientes negociaciones: i) RTMX compró 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dos plantas por $58.410.000.000, para ello, obtuvo dos créditos de Citibank y </w:t>
      </w:r>
      <w:proofErr w:type="spellStart"/>
      <w:r w:rsidRPr="0064665F">
        <w:rPr>
          <w:rFonts w:eastAsia="Times New Roman" w:cs="Times New Roman"/>
          <w:kern w:val="0"/>
          <w:szCs w:val="24"/>
          <w:lang w:eastAsia="es-CO"/>
          <w14:ligatures w14:val="none"/>
        </w:rPr>
        <w:t>Credit</w:t>
      </w:r>
      <w:proofErr w:type="spellEnd"/>
      <w:r w:rsidRPr="0064665F">
        <w:rPr>
          <w:rFonts w:eastAsia="Times New Roman" w:cs="Times New Roman"/>
          <w:kern w:val="0"/>
          <w:szCs w:val="24"/>
          <w:lang w:eastAsia="es-CO"/>
          <w14:ligatures w14:val="none"/>
        </w:rPr>
        <w:t xml:space="preserve"> </w:t>
      </w:r>
      <w:proofErr w:type="spellStart"/>
      <w:r w:rsidRPr="0064665F">
        <w:rPr>
          <w:rFonts w:eastAsia="Times New Roman" w:cs="Times New Roman"/>
          <w:kern w:val="0"/>
          <w:szCs w:val="24"/>
          <w:lang w:eastAsia="es-CO"/>
          <w14:ligatures w14:val="none"/>
        </w:rPr>
        <w:t>Industriel</w:t>
      </w:r>
      <w:proofErr w:type="spellEnd"/>
      <w:r w:rsidRPr="0064665F">
        <w:rPr>
          <w:rFonts w:eastAsia="Times New Roman" w:cs="Times New Roman"/>
          <w:kern w:val="0"/>
          <w:szCs w:val="24"/>
          <w:lang w:eastAsia="es-CO"/>
          <w14:ligatures w14:val="none"/>
        </w:rPr>
        <w:t xml:space="preserve"> por USD$31.000.000, </w:t>
      </w:r>
      <w:proofErr w:type="spellStart"/>
      <w:r w:rsidRPr="0064665F">
        <w:rPr>
          <w:rFonts w:eastAsia="Times New Roman" w:cs="Times New Roman"/>
          <w:kern w:val="0"/>
          <w:szCs w:val="24"/>
          <w:lang w:eastAsia="es-CO"/>
          <w14:ligatures w14:val="none"/>
        </w:rPr>
        <w:t>ii</w:t>
      </w:r>
      <w:proofErr w:type="spellEnd"/>
      <w:r w:rsidRPr="0064665F">
        <w:rPr>
          <w:rFonts w:eastAsia="Times New Roman" w:cs="Times New Roman"/>
          <w:kern w:val="0"/>
          <w:szCs w:val="24"/>
          <w:lang w:eastAsia="es-CO"/>
          <w14:ligatures w14:val="none"/>
        </w:rPr>
        <w:t xml:space="preserve">) RTMX arrendó los predios señalados 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con un canon de arrendamiento equivalente a la DTF más inflación sobre el precio de los mismos, </w:t>
      </w:r>
      <w:proofErr w:type="spellStart"/>
      <w:r w:rsidRPr="0064665F">
        <w:rPr>
          <w:rFonts w:eastAsia="Times New Roman" w:cs="Times New Roman"/>
          <w:kern w:val="0"/>
          <w:szCs w:val="24"/>
          <w:lang w:eastAsia="es-CO"/>
          <w14:ligatures w14:val="none"/>
        </w:rPr>
        <w:t>iii</w:t>
      </w:r>
      <w:proofErr w:type="spellEnd"/>
      <w:r w:rsidRPr="0064665F">
        <w:rPr>
          <w:rFonts w:eastAsia="Times New Roman" w:cs="Times New Roman"/>
          <w:kern w:val="0"/>
          <w:szCs w:val="24"/>
          <w:lang w:eastAsia="es-CO"/>
          <w14:ligatures w14:val="none"/>
        </w:rPr>
        <w:t xml:space="preserve">) En diciembre del año 2003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prestó a RTMX $83.048.105.000 para pagar los créditos señalados, y se estableció como tasa de interés corriente el DTF efectivo anual, que para ese período representó el 3.47 %, </w:t>
      </w:r>
      <w:proofErr w:type="spellStart"/>
      <w:r w:rsidRPr="0064665F">
        <w:rPr>
          <w:rFonts w:eastAsia="Times New Roman" w:cs="Times New Roman"/>
          <w:kern w:val="0"/>
          <w:szCs w:val="24"/>
          <w:lang w:eastAsia="es-CO"/>
          <w14:ligatures w14:val="none"/>
        </w:rPr>
        <w:t>iv</w:t>
      </w:r>
      <w:proofErr w:type="spellEnd"/>
      <w:r w:rsidRPr="0064665F">
        <w:rPr>
          <w:rFonts w:eastAsia="Times New Roman" w:cs="Times New Roman"/>
          <w:kern w:val="0"/>
          <w:szCs w:val="24"/>
          <w:lang w:eastAsia="es-CO"/>
          <w14:ligatures w14:val="none"/>
        </w:rPr>
        <w:t>) En el año 2009, RTMX incluyó una nueva actividad en su objeto social “</w:t>
      </w:r>
      <w:r w:rsidRPr="0064665F">
        <w:rPr>
          <w:rFonts w:eastAsia="Times New Roman" w:cs="Times New Roman"/>
          <w:i/>
          <w:iCs/>
          <w:kern w:val="0"/>
          <w:szCs w:val="24"/>
          <w:lang w:eastAsia="es-CO"/>
          <w14:ligatures w14:val="none"/>
        </w:rPr>
        <w:t>el ensamble, fabricación, distribución, venta y exportación de toda clase de autopartes destinadas a vehículos de cualquier clase”</w:t>
      </w:r>
      <w:r w:rsidRPr="0064665F">
        <w:rPr>
          <w:rFonts w:eastAsia="Times New Roman" w:cs="Times New Roman"/>
          <w:kern w:val="0"/>
          <w:szCs w:val="24"/>
          <w:lang w:eastAsia="es-CO"/>
          <w14:ligatures w14:val="none"/>
        </w:rPr>
        <w:t xml:space="preserve">, cuyo cliente fue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y v) En el año 2011, se pactó con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la modificación de la tasa del crédito inicialmente acordada, que pasó al 21.5 % efectivo anual.</w:t>
      </w:r>
    </w:p>
    <w:p w14:paraId="31854B8E"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1B0493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Así mismo, debe observarse el Dictamen Técnico que se allegó al proceso. En esta prueba se citaron los documentos e información que sirvió de sustento para llegar a las siguientes conclusiones: i) En el mercado financiero para el año 2011 </w:t>
      </w:r>
      <w:r w:rsidRPr="0064665F">
        <w:rPr>
          <w:rFonts w:eastAsia="Times New Roman" w:cs="Times New Roman"/>
          <w:i/>
          <w:iCs/>
          <w:kern w:val="0"/>
          <w:szCs w:val="24"/>
          <w:lang w:eastAsia="es-CO"/>
          <w14:ligatures w14:val="none"/>
        </w:rPr>
        <w:t xml:space="preserve">existían tasas de endeudamiento superiores a la pactada con </w:t>
      </w:r>
      <w:proofErr w:type="spellStart"/>
      <w:r w:rsidRPr="0064665F">
        <w:rPr>
          <w:rFonts w:eastAsia="Times New Roman" w:cs="Times New Roman"/>
          <w:i/>
          <w:iCs/>
          <w:kern w:val="0"/>
          <w:szCs w:val="24"/>
          <w:lang w:eastAsia="es-CO"/>
          <w14:ligatures w14:val="none"/>
        </w:rPr>
        <w:t>Sofasa</w:t>
      </w:r>
      <w:proofErr w:type="spellEnd"/>
      <w:r w:rsidRPr="0064665F">
        <w:rPr>
          <w:rFonts w:eastAsia="Times New Roman" w:cs="Times New Roman"/>
          <w:i/>
          <w:iCs/>
          <w:kern w:val="0"/>
          <w:szCs w:val="24"/>
          <w:lang w:eastAsia="es-CO"/>
          <w14:ligatures w14:val="none"/>
        </w:rPr>
        <w:t xml:space="preserve"> (21.5%) y </w:t>
      </w:r>
      <w:proofErr w:type="spellStart"/>
      <w:r w:rsidRPr="0064665F">
        <w:rPr>
          <w:rFonts w:eastAsia="Times New Roman" w:cs="Times New Roman"/>
          <w:i/>
          <w:iCs/>
          <w:kern w:val="0"/>
          <w:szCs w:val="24"/>
          <w:lang w:eastAsia="es-CO"/>
          <w14:ligatures w14:val="none"/>
        </w:rPr>
        <w:t>ii</w:t>
      </w:r>
      <w:proofErr w:type="spellEnd"/>
      <w:r w:rsidRPr="0064665F">
        <w:rPr>
          <w:rFonts w:eastAsia="Times New Roman" w:cs="Times New Roman"/>
          <w:i/>
          <w:iCs/>
          <w:kern w:val="0"/>
          <w:szCs w:val="24"/>
          <w:lang w:eastAsia="es-CO"/>
          <w14:ligatures w14:val="none"/>
        </w:rPr>
        <w:t>) “A partir del año 2011 la utilidad antes de impuesto aumentó exponencialmente producto de la implementación de una nueva línea de negocio, a pesar del incremento casi simultáneo en la tasa de interés aplicable en el préstamo. Esto permite inferir además que, en efecto, las actividades de arrendamiento, pago de intereses asociados y el negocio autopartista se encuadra dentro de un negocio y estrategias integrados, en el que el objetivo es buscar una rentabilidad global adecuada.”</w:t>
      </w:r>
    </w:p>
    <w:p w14:paraId="42F4EF5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98F815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Reparo que en este caso, la deducción de los intereses solo se consideró respecto de los ingresos derivados de la operación de arrendamiento, sin tener en cuenta que el negocio entre RTMX y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se reestructuró, dada la nueva franja mercantil, la de autopartes, por esto, debe atenderse toda la actividad de renta del período 2012, que creció a partir de esa vigencia y siguientes, lo que se observa en el dictamen, específicamente en el gráfico denominado </w:t>
      </w:r>
      <w:r w:rsidRPr="0064665F">
        <w:rPr>
          <w:rFonts w:eastAsia="Times New Roman" w:cs="Times New Roman"/>
          <w:i/>
          <w:iCs/>
          <w:kern w:val="0"/>
          <w:szCs w:val="24"/>
          <w:lang w:eastAsia="es-CO"/>
          <w14:ligatures w14:val="none"/>
        </w:rPr>
        <w:t>“Evolución de utilidad antes del impuesto y egreso por terceros”</w:t>
      </w:r>
      <w:r w:rsidRPr="0064665F">
        <w:rPr>
          <w:rFonts w:eastAsia="Times New Roman" w:cs="Times New Roman"/>
          <w:kern w:val="0"/>
          <w:szCs w:val="24"/>
          <w:lang w:eastAsia="es-CO"/>
          <w14:ligatures w14:val="none"/>
        </w:rPr>
        <w:t>, que tuvo en cuenta, la utilidad antes del impuesto de renta y el gasto por intereses.</w:t>
      </w:r>
    </w:p>
    <w:p w14:paraId="216226E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D7A164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Entonces, los requisitos de necesidad y proporcionalidad, en mi criterio, se encontraban acreditados porque se demostró que la expensa resulta razonable, para el desarrollo de la actividad productora de renta, aunado a que el juicio de proporcionalidad, no se puede mirar solo desde el incremento de la tasa como elemento definitorio, porque el análisis debe hacerse con criterio comercial atendiendo el negocio adelantado.</w:t>
      </w:r>
    </w:p>
    <w:p w14:paraId="5FB640E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DE55302"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dicho sentido, como lo consideró el Tribunal, el demandante tenía derecho a la deducción por intereses.</w:t>
      </w:r>
    </w:p>
    <w:p w14:paraId="11AE533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7BA1BCC"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Atentamente,</w:t>
      </w:r>
    </w:p>
    <w:p w14:paraId="69C94643"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69995A6B"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B2EB22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(Firmado electrónicamente)</w:t>
      </w:r>
    </w:p>
    <w:p w14:paraId="097588F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MYRIAM STELLA GUTIÉRREZ ARGÜELLO</w:t>
      </w:r>
    </w:p>
    <w:p w14:paraId="7D143CCD"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Magistrada</w:t>
      </w:r>
    </w:p>
    <w:p w14:paraId="0C6D72D8"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5DDB915F"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B64DF99"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CONSEJO DE ESTADO</w:t>
      </w:r>
    </w:p>
    <w:p w14:paraId="77E2D49C"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SALA DE LO CONTENCIOSO ADMINISTRATIVO</w:t>
      </w:r>
    </w:p>
    <w:p w14:paraId="54035151"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SECCIÓN CUARTA</w:t>
      </w:r>
    </w:p>
    <w:p w14:paraId="1E5378F4"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353EB08"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Referencia: Nulidad y restablecimiento del derecho</w:t>
      </w:r>
    </w:p>
    <w:p w14:paraId="456C42D6"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Radicación: 25000-23-37-000-2017-01038-01 (25122)</w:t>
      </w:r>
    </w:p>
    <w:p w14:paraId="654CD6AC"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Demandante: RTMX LTDA.</w:t>
      </w:r>
    </w:p>
    <w:p w14:paraId="4FD4678A"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Demandado: DIAN</w:t>
      </w:r>
    </w:p>
    <w:p w14:paraId="2294F7EB"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7F7C398" w14:textId="77777777" w:rsidR="0064665F" w:rsidRPr="0064665F" w:rsidRDefault="0064665F" w:rsidP="0064665F">
      <w:pPr>
        <w:spacing w:after="285" w:line="240" w:lineRule="auto"/>
        <w:jc w:val="center"/>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ACLARACIÓN DE VOTO DEL CONSEJERO MILTON CHAVES GARCÍA A LA SENTENCIA DEL 3 DE NOVIEMBRE DE 2022, C.P. STELLA JEANNETTE CARVAJAL BASTO</w:t>
      </w:r>
    </w:p>
    <w:p w14:paraId="0717742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9D02FD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32C86156"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De manera respetuosa por la decisión de la mayoría, debo aclarar mi voto en la providencia de la referencia que revocó el fallo apelado y, en su lugar, negó las pretensiones de la demanda, en relación con el estudio del criterio de proporcionalidad de la deducción de los intereses solicitados por el contribuyente en la declaración de renta del año 2012.</w:t>
      </w:r>
    </w:p>
    <w:p w14:paraId="4C4B015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47F9CC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Lo anterior, porque en sentencia de unificación del 26 de noviembre de 2020, la Sala estableció el alcance de los requisitos de las deducciones y en la regla nro. 3 precisó que: “</w:t>
      </w:r>
      <w:r w:rsidRPr="0064665F">
        <w:rPr>
          <w:rFonts w:eastAsia="Times New Roman" w:cs="Times New Roman"/>
          <w:i/>
          <w:iCs/>
          <w:kern w:val="0"/>
          <w:szCs w:val="24"/>
          <w:lang w:eastAsia="es-CO"/>
          <w14:ligatures w14:val="none"/>
        </w:rPr>
        <w:t>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5EAD87C1"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423DE9D4"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lastRenderedPageBreak/>
        <w:t>De manera que el requisito de proporcionalidad debe analizarse bajo un criterio comercial frente a la actividad productora de renta y no limitado a la obtención de ingresos por parte de la contribuyente o al provecho económico que pretende percibir con la erogación respecto de una de las actividades que conforme a su objeto social realiza.</w:t>
      </w:r>
    </w:p>
    <w:p w14:paraId="5C404760"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8FF1427"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Además, en el presente caso no hay lugar a abordar la proporcionalidad de la expensa ligado exclusivamente a la actividad de arrendamiento, bajo el presupuesto de que los intereses en discusión se originaron en el préstamo adquirido por la demandante que tuvo como fin el pago de la obligación por la compra de los predios a </w:t>
      </w:r>
      <w:proofErr w:type="spellStart"/>
      <w:r w:rsidRPr="0064665F">
        <w:rPr>
          <w:rFonts w:eastAsia="Times New Roman" w:cs="Times New Roman"/>
          <w:kern w:val="0"/>
          <w:szCs w:val="24"/>
          <w:lang w:eastAsia="es-CO"/>
          <w14:ligatures w14:val="none"/>
        </w:rPr>
        <w:t>Sofasa</w:t>
      </w:r>
      <w:proofErr w:type="spellEnd"/>
      <w:r w:rsidRPr="0064665F">
        <w:rPr>
          <w:rFonts w:eastAsia="Times New Roman" w:cs="Times New Roman"/>
          <w:kern w:val="0"/>
          <w:szCs w:val="24"/>
          <w:lang w:eastAsia="es-CO"/>
          <w14:ligatures w14:val="none"/>
        </w:rPr>
        <w:t xml:space="preserve"> que le son arrendados a esta, y no en la nueva actividad incorporada al objeto social que refiere al “</w:t>
      </w:r>
      <w:r w:rsidRPr="0064665F">
        <w:rPr>
          <w:rFonts w:eastAsia="Times New Roman" w:cs="Times New Roman"/>
          <w:i/>
          <w:iCs/>
          <w:kern w:val="0"/>
          <w:szCs w:val="24"/>
          <w:lang w:eastAsia="es-CO"/>
          <w14:ligatures w14:val="none"/>
        </w:rPr>
        <w:t>ensamble, fabricación, distribución, venta y exportación de toda clase de autopartes destinadas a vehículos de cualquier clase”,</w:t>
      </w:r>
      <w:r w:rsidRPr="0064665F">
        <w:rPr>
          <w:rFonts w:eastAsia="Times New Roman" w:cs="Times New Roman"/>
          <w:kern w:val="0"/>
          <w:szCs w:val="24"/>
          <w:lang w:eastAsia="es-CO"/>
          <w14:ligatures w14:val="none"/>
        </w:rPr>
        <w:t xml:space="preserve"> pues ello desconoce que la proporcionalidad es vista a partir de la actividad productora de renta y no relacionada únicamente con la actividad económica principal del contribuyente o una actividad en particular condicionada en el tiempo.</w:t>
      </w:r>
    </w:p>
    <w:p w14:paraId="5CB4F3AF"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4F56069"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ese orden, la proporcionalidad de las erogaciones no debe medirse exclusivamente sobre los ingresos obtenidos por la actividad de arrendamiento sino sobre la renta bruta total que incluye los ingresos obtenidos por la actividad de ensamble que hace parte de su objeto social. Siendo así en el presente caso, el estudio de la proporcionalidad se hubiera abordado en los anteriores términos, sería procedente la deducción de intereses.</w:t>
      </w:r>
    </w:p>
    <w:p w14:paraId="74805BD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7B4FE35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En los anteriores términos dejo expresadas las razones de mi aclaración de voto.</w:t>
      </w:r>
    </w:p>
    <w:p w14:paraId="42D1DFF8"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0889F2B5"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w:t>
      </w:r>
    </w:p>
    <w:p w14:paraId="2F30B36A" w14:textId="77777777" w:rsidR="0064665F" w:rsidRPr="0064665F" w:rsidRDefault="0064665F" w:rsidP="0064665F">
      <w:pPr>
        <w:spacing w:after="285" w:line="240" w:lineRule="auto"/>
        <w:jc w:val="both"/>
        <w:rPr>
          <w:rFonts w:eastAsia="Times New Roman" w:cs="Times New Roman"/>
          <w:kern w:val="0"/>
          <w:szCs w:val="24"/>
          <w:lang w:eastAsia="es-CO"/>
          <w14:ligatures w14:val="none"/>
        </w:rPr>
      </w:pPr>
      <w:r w:rsidRPr="0064665F">
        <w:rPr>
          <w:rFonts w:eastAsia="Times New Roman" w:cs="Times New Roman"/>
          <w:i/>
          <w:iCs/>
          <w:kern w:val="0"/>
          <w:szCs w:val="24"/>
          <w:lang w:eastAsia="es-CO"/>
          <w14:ligatures w14:val="none"/>
        </w:rPr>
        <w:t>(Firmado electrónicamente)</w:t>
      </w:r>
    </w:p>
    <w:p w14:paraId="7A5FC30B" w14:textId="77777777" w:rsidR="0064665F" w:rsidRPr="0064665F" w:rsidRDefault="0064665F" w:rsidP="0064665F">
      <w:pPr>
        <w:spacing w:after="285" w:line="240" w:lineRule="auto"/>
        <w:rPr>
          <w:rFonts w:eastAsia="Times New Roman" w:cs="Times New Roman"/>
          <w:kern w:val="0"/>
          <w:szCs w:val="24"/>
          <w:lang w:eastAsia="es-CO"/>
          <w14:ligatures w14:val="none"/>
        </w:rPr>
      </w:pPr>
      <w:r w:rsidRPr="0064665F">
        <w:rPr>
          <w:rFonts w:eastAsia="Times New Roman" w:cs="Times New Roman"/>
          <w:b/>
          <w:bCs/>
          <w:kern w:val="0"/>
          <w:szCs w:val="24"/>
          <w:lang w:eastAsia="es-CO"/>
          <w14:ligatures w14:val="none"/>
        </w:rPr>
        <w:t>MILTON CHAVES GARCÍA</w:t>
      </w:r>
    </w:p>
    <w:p w14:paraId="46CA7F85" w14:textId="77777777" w:rsidR="0064665F" w:rsidRPr="0064665F" w:rsidRDefault="0064665F" w:rsidP="0064665F">
      <w:pPr>
        <w:spacing w:after="285" w:line="240" w:lineRule="auto"/>
        <w:outlineLvl w:val="2"/>
        <w:rPr>
          <w:rFonts w:eastAsia="Times New Roman" w:cs="Times New Roman"/>
          <w:b/>
          <w:bCs/>
          <w:kern w:val="0"/>
          <w:sz w:val="27"/>
          <w:szCs w:val="27"/>
          <w:lang w:eastAsia="es-CO"/>
          <w14:ligatures w14:val="none"/>
        </w:rPr>
      </w:pPr>
      <w:r w:rsidRPr="0064665F">
        <w:rPr>
          <w:rFonts w:eastAsia="Times New Roman" w:cs="Times New Roman"/>
          <w:b/>
          <w:bCs/>
          <w:kern w:val="0"/>
          <w:sz w:val="27"/>
          <w:szCs w:val="27"/>
          <w:lang w:eastAsia="es-CO"/>
          <w14:ligatures w14:val="none"/>
        </w:rPr>
        <w:t>Notas al pie</w:t>
      </w:r>
    </w:p>
    <w:p w14:paraId="618AFB57" w14:textId="77777777" w:rsidR="0064665F" w:rsidRPr="0064665F" w:rsidRDefault="0064665F" w:rsidP="0064665F">
      <w:pPr>
        <w:spacing w:after="0" w:line="240" w:lineRule="auto"/>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pict w14:anchorId="1A1A77F0">
          <v:rect id="_x0000_i1025" style="width:0;height:1.5pt" o:hralign="center" o:hrstd="t" o:hr="t" fillcolor="#a0a0a0" stroked="f"/>
        </w:pict>
      </w:r>
    </w:p>
    <w:p w14:paraId="2BD91345"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17" w:anchor="cite_ref-1"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La sociedad tiene por objeto «1.- El ensamble, fabricación, distribución, venta y exportación de toda clase de autopartes destinadas a vehículos de cualquier clase. 2.- El alquiler de sus bienes inmuebles a sus matrices o controlantes». </w:t>
      </w:r>
    </w:p>
    <w:p w14:paraId="41C50FAA"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 Inciso </w:t>
      </w:r>
      <w:proofErr w:type="gramStart"/>
      <w:r w:rsidRPr="0064665F">
        <w:rPr>
          <w:rFonts w:eastAsia="Times New Roman" w:cs="Times New Roman"/>
          <w:kern w:val="0"/>
          <w:szCs w:val="24"/>
          <w:lang w:eastAsia="es-CO"/>
          <w14:ligatures w14:val="none"/>
        </w:rPr>
        <w:t>2.°</w:t>
      </w:r>
      <w:proofErr w:type="gramEnd"/>
      <w:r w:rsidRPr="0064665F">
        <w:rPr>
          <w:rFonts w:eastAsia="Times New Roman" w:cs="Times New Roman"/>
          <w:kern w:val="0"/>
          <w:szCs w:val="24"/>
          <w:lang w:eastAsia="es-CO"/>
          <w14:ligatures w14:val="none"/>
        </w:rPr>
        <w:t xml:space="preserve"> del artículo 11 del Estatuto Tributario [adicionado por art.</w:t>
      </w:r>
      <w:hyperlink r:id="rId18" w:tgtFrame="_blank" w:history="1">
        <w:r w:rsidRPr="0064665F">
          <w:rPr>
            <w:rFonts w:eastAsia="Times New Roman" w:cs="Times New Roman"/>
            <w:color w:val="0089E1"/>
            <w:kern w:val="0"/>
            <w:szCs w:val="24"/>
            <w:lang w:eastAsia="es-CO"/>
            <w14:ligatures w14:val="none"/>
          </w:rPr>
          <w:t xml:space="preserve"> 38 </w:t>
        </w:r>
      </w:hyperlink>
      <w:r w:rsidRPr="0064665F">
        <w:rPr>
          <w:rFonts w:eastAsia="Times New Roman" w:cs="Times New Roman"/>
          <w:kern w:val="0"/>
          <w:szCs w:val="24"/>
          <w:lang w:eastAsia="es-CO"/>
          <w14:ligatures w14:val="none"/>
        </w:rPr>
        <w:t xml:space="preserve">Ley 488 de 1998] y artículo 30 del Decreto 433 de 1999. </w:t>
      </w:r>
    </w:p>
    <w:p w14:paraId="3FF6BF2E"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 Concepto DIAN 83813 del 28 de septiembre de 2006. </w:t>
      </w:r>
    </w:p>
    <w:p w14:paraId="78111A0E"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19" w:anchor="cite_ref-4"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Solo invocado sin sustentación. </w:t>
      </w:r>
    </w:p>
    <w:p w14:paraId="43217CD4"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 Índice 18 de </w:t>
      </w:r>
      <w:proofErr w:type="spellStart"/>
      <w:r w:rsidRPr="0064665F">
        <w:rPr>
          <w:rFonts w:eastAsia="Times New Roman" w:cs="Times New Roman"/>
          <w:kern w:val="0"/>
          <w:szCs w:val="24"/>
          <w:lang w:eastAsia="es-CO"/>
          <w14:ligatures w14:val="none"/>
        </w:rPr>
        <w:t>Samai</w:t>
      </w:r>
      <w:proofErr w:type="spellEnd"/>
      <w:r w:rsidRPr="0064665F">
        <w:rPr>
          <w:rFonts w:eastAsia="Times New Roman" w:cs="Times New Roman"/>
          <w:kern w:val="0"/>
          <w:szCs w:val="24"/>
          <w:lang w:eastAsia="es-CO"/>
          <w14:ligatures w14:val="none"/>
        </w:rPr>
        <w:t xml:space="preserve">. </w:t>
      </w:r>
    </w:p>
    <w:p w14:paraId="76BEA0A9"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0" w:anchor="cite_ref-6"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Sentencia de Unificación 2020CE-SUJ-4-005 del 26 de noviembre de 2020, Exp. 21329, C. P. Julio Roberto Piza Rodríguez. </w:t>
      </w:r>
    </w:p>
    <w:p w14:paraId="0A2676D3"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 El artículo 117 del Estatuto Tributario fue modificado por el artículo 68 de la Ley 1819 de 2016. </w:t>
      </w:r>
    </w:p>
    <w:p w14:paraId="00A920D9"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1" w:anchor="cite_ref-8"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w:t>
      </w:r>
      <w:r w:rsidRPr="0064665F">
        <w:rPr>
          <w:rFonts w:eastAsia="Times New Roman" w:cs="Times New Roman"/>
          <w:i/>
          <w:iCs/>
          <w:kern w:val="0"/>
          <w:szCs w:val="24"/>
          <w:lang w:eastAsia="es-CO"/>
          <w14:ligatures w14:val="none"/>
        </w:rPr>
        <w:t>Por la cual se expiden normas en materia tributaria y se dictan otras disposiciones fiscales de las Entidades Territoriales».</w:t>
      </w:r>
      <w:r w:rsidRPr="0064665F">
        <w:rPr>
          <w:rFonts w:eastAsia="Times New Roman" w:cs="Times New Roman"/>
          <w:kern w:val="0"/>
          <w:szCs w:val="24"/>
          <w:lang w:eastAsia="es-CO"/>
          <w14:ligatures w14:val="none"/>
        </w:rPr>
        <w:t xml:space="preserve"> </w:t>
      </w:r>
    </w:p>
    <w:p w14:paraId="735DCE0A"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El artículo 30 del Decreto 433 del 10 de marzo de 1999, «</w:t>
      </w:r>
      <w:r w:rsidRPr="0064665F">
        <w:rPr>
          <w:rFonts w:eastAsia="Times New Roman" w:cs="Times New Roman"/>
          <w:i/>
          <w:iCs/>
          <w:kern w:val="0"/>
          <w:szCs w:val="24"/>
          <w:lang w:eastAsia="es-CO"/>
          <w14:ligatures w14:val="none"/>
        </w:rPr>
        <w:t>Por el cual se reglamenta la Ley 488 de 1998, el Estatuto Tributario y se dictan otras disposiciones»,</w:t>
      </w:r>
      <w:r w:rsidRPr="0064665F">
        <w:rPr>
          <w:rFonts w:eastAsia="Times New Roman" w:cs="Times New Roman"/>
          <w:kern w:val="0"/>
          <w:szCs w:val="24"/>
          <w:lang w:eastAsia="es-CO"/>
          <w14:ligatures w14:val="none"/>
        </w:rPr>
        <w:t xml:space="preserve"> fue Compilado por el artículo 1.2.1.18.37 del Decreto 1625 de 2016. </w:t>
      </w:r>
    </w:p>
    <w:p w14:paraId="70B65216"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2" w:anchor="cite_ref-10"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Sentencia del 29 de julio de 2021, Exp. 25346, C. P. Myriam Stella Gutiérrez Argüello. </w:t>
      </w:r>
    </w:p>
    <w:p w14:paraId="1D78167F"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 Sentencia de Unificación 2020CE-SUJ-4-005 del 26 de noviembre de 2020, Exp. 21329, C. P. Julio Roberto Piza Rodríguez. </w:t>
      </w:r>
    </w:p>
    <w:p w14:paraId="2303CD65"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3" w:anchor="cite_ref-12"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Se fijó como regla de decisión 1 que: «</w:t>
      </w:r>
      <w:r w:rsidRPr="0064665F">
        <w:rPr>
          <w:rFonts w:eastAsia="Times New Roman" w:cs="Times New Roman"/>
          <w:i/>
          <w:iCs/>
          <w:kern w:val="0"/>
          <w:szCs w:val="24"/>
          <w:lang w:eastAsia="es-CO"/>
          <w14:ligatures w14:val="none"/>
        </w:rPr>
        <w:t>1. Tienen relación de causalidad con la actividad productora de renta, todas las expensas realizadas por el contribuyente en desarrollo o ejecución de la actividad productora de renta. Para establecer el nexo causal entre el gasto y la actividad lucrativa, no es determinante la obtención de ingresos ni el enunciado del objeto social del sujeto pasivo».</w:t>
      </w:r>
      <w:r w:rsidRPr="0064665F">
        <w:rPr>
          <w:rFonts w:eastAsia="Times New Roman" w:cs="Times New Roman"/>
          <w:kern w:val="0"/>
          <w:szCs w:val="24"/>
          <w:lang w:eastAsia="es-CO"/>
          <w14:ligatures w14:val="none"/>
        </w:rPr>
        <w:t xml:space="preserve"> </w:t>
      </w:r>
    </w:p>
    <w:p w14:paraId="63EB6B90"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Se fijó como regla de decisión 2 que: «</w:t>
      </w:r>
      <w:r w:rsidRPr="0064665F">
        <w:rPr>
          <w:rFonts w:eastAsia="Times New Roman" w:cs="Times New Roman"/>
          <w:i/>
          <w:iCs/>
          <w:kern w:val="0"/>
          <w:szCs w:val="24"/>
          <w:lang w:eastAsia="es-CO"/>
          <w14:ligatures w14:val="none"/>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64665F">
        <w:rPr>
          <w:rFonts w:eastAsia="Times New Roman" w:cs="Times New Roman"/>
          <w:kern w:val="0"/>
          <w:szCs w:val="24"/>
          <w:lang w:eastAsia="es-CO"/>
          <w14:ligatures w14:val="none"/>
        </w:rPr>
        <w:t xml:space="preserve"> </w:t>
      </w:r>
    </w:p>
    <w:p w14:paraId="598A6547"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4" w:anchor="cite_ref-14"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Se fijó como regla de decisión 3 que: «</w:t>
      </w:r>
      <w:r w:rsidRPr="0064665F">
        <w:rPr>
          <w:rFonts w:eastAsia="Times New Roman" w:cs="Times New Roman"/>
          <w:i/>
          <w:iCs/>
          <w:kern w:val="0"/>
          <w:szCs w:val="24"/>
          <w:lang w:eastAsia="es-CO"/>
          <w14:ligatures w14:val="none"/>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r w:rsidRPr="0064665F">
        <w:rPr>
          <w:rFonts w:eastAsia="Times New Roman" w:cs="Times New Roman"/>
          <w:kern w:val="0"/>
          <w:szCs w:val="24"/>
          <w:lang w:eastAsia="es-CO"/>
          <w14:ligatures w14:val="none"/>
        </w:rPr>
        <w:t xml:space="preserve"> </w:t>
      </w:r>
    </w:p>
    <w:p w14:paraId="2D5C3933"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Se fijó como regla de decisión 4 que: «4</w:t>
      </w:r>
      <w:r w:rsidRPr="0064665F">
        <w:rPr>
          <w:rFonts w:eastAsia="Times New Roman" w:cs="Times New Roman"/>
          <w:i/>
          <w:iCs/>
          <w:kern w:val="0"/>
          <w:szCs w:val="24"/>
          <w:lang w:eastAsia="es-CO"/>
          <w14:ligatures w14:val="none"/>
        </w:rPr>
        <w:t>.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r w:rsidRPr="0064665F">
        <w:rPr>
          <w:rFonts w:eastAsia="Times New Roman" w:cs="Times New Roman"/>
          <w:kern w:val="0"/>
          <w:szCs w:val="24"/>
          <w:lang w:eastAsia="es-CO"/>
          <w14:ligatures w14:val="none"/>
        </w:rPr>
        <w:t xml:space="preserve">». </w:t>
      </w:r>
    </w:p>
    <w:p w14:paraId="460B1C4A"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5" w:anchor="cite_ref-16"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La liquidación de revisión precisó que para los años 2009 y 2010 la tasa sobre la cual se pagaron intereses fue del 9.82 %, con lo cual, la tasa acordada del 21.5 % para el año 2012, significó un incremento del 54 %. </w:t>
      </w:r>
    </w:p>
    <w:p w14:paraId="334916A7"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Para el año 2012 el objeto social de la actora consistía en «</w:t>
      </w:r>
      <w:r w:rsidRPr="0064665F">
        <w:rPr>
          <w:rFonts w:eastAsia="Times New Roman" w:cs="Times New Roman"/>
          <w:i/>
          <w:iCs/>
          <w:kern w:val="0"/>
          <w:szCs w:val="24"/>
          <w:lang w:eastAsia="es-CO"/>
          <w14:ligatures w14:val="none"/>
        </w:rPr>
        <w:t>1.- El ensamble, fabricación, distribución, venta y exportación de toda clase de autopartes destinadas a vehículos de cualquier clase. 2.- El alquiler de sus bienes inmuebles a sus matrices o controlantes</w:t>
      </w:r>
      <w:r w:rsidRPr="0064665F">
        <w:rPr>
          <w:rFonts w:eastAsia="Times New Roman" w:cs="Times New Roman"/>
          <w:kern w:val="0"/>
          <w:szCs w:val="24"/>
          <w:lang w:eastAsia="es-CO"/>
          <w14:ligatures w14:val="none"/>
        </w:rPr>
        <w:t xml:space="preserve">». </w:t>
      </w:r>
    </w:p>
    <w:p w14:paraId="15F6E15B"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6" w:anchor="cite_ref-18"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w:t>
      </w:r>
      <w:proofErr w:type="spellStart"/>
      <w:r w:rsidRPr="0064665F">
        <w:rPr>
          <w:rFonts w:eastAsia="Times New Roman" w:cs="Times New Roman"/>
          <w:kern w:val="0"/>
          <w:szCs w:val="24"/>
          <w:lang w:eastAsia="es-CO"/>
          <w14:ligatures w14:val="none"/>
        </w:rPr>
        <w:t>Fl</w:t>
      </w:r>
      <w:proofErr w:type="spellEnd"/>
      <w:r w:rsidRPr="0064665F">
        <w:rPr>
          <w:rFonts w:eastAsia="Times New Roman" w:cs="Times New Roman"/>
          <w:kern w:val="0"/>
          <w:szCs w:val="24"/>
          <w:lang w:eastAsia="es-CO"/>
          <w14:ligatures w14:val="none"/>
        </w:rPr>
        <w:t xml:space="preserve">. 11 de la liquidación de revisión. </w:t>
      </w:r>
    </w:p>
    <w:p w14:paraId="3B302DFC"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 De $17.855.342.580 </w:t>
      </w:r>
      <w:proofErr w:type="gramStart"/>
      <w:r w:rsidRPr="0064665F">
        <w:rPr>
          <w:rFonts w:eastAsia="Times New Roman" w:cs="Times New Roman"/>
          <w:kern w:val="0"/>
          <w:szCs w:val="24"/>
          <w:lang w:eastAsia="es-CO"/>
          <w14:ligatures w14:val="none"/>
        </w:rPr>
        <w:t>declarados como</w:t>
      </w:r>
      <w:proofErr w:type="gramEnd"/>
      <w:r w:rsidRPr="0064665F">
        <w:rPr>
          <w:rFonts w:eastAsia="Times New Roman" w:cs="Times New Roman"/>
          <w:kern w:val="0"/>
          <w:szCs w:val="24"/>
          <w:lang w:eastAsia="es-CO"/>
          <w14:ligatures w14:val="none"/>
        </w:rPr>
        <w:t xml:space="preserve"> intereses en el período en discusión, la DIAN reconoció $7.514.277.852, que corresponde al ingreso que la actora tuvo por concepto de arrendamientos. </w:t>
      </w:r>
    </w:p>
    <w:p w14:paraId="4260F2CA"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hyperlink r:id="rId27" w:anchor="cite_ref-20" w:tooltip="Volver arriba" w:history="1">
        <w:r w:rsidRPr="0064665F">
          <w:rPr>
            <w:rFonts w:eastAsia="Times New Roman" w:cs="Times New Roman"/>
            <w:color w:val="0089E1"/>
            <w:kern w:val="0"/>
            <w:szCs w:val="24"/>
            <w:lang w:eastAsia="es-CO"/>
            <w14:ligatures w14:val="none"/>
          </w:rPr>
          <w:t>↑</w:t>
        </w:r>
      </w:hyperlink>
      <w:r w:rsidRPr="0064665F">
        <w:rPr>
          <w:rFonts w:eastAsia="Times New Roman" w:cs="Times New Roman"/>
          <w:kern w:val="0"/>
          <w:szCs w:val="24"/>
          <w:lang w:eastAsia="es-CO"/>
          <w14:ligatures w14:val="none"/>
        </w:rPr>
        <w:t xml:space="preserve"> «</w:t>
      </w:r>
      <w:r w:rsidRPr="0064665F">
        <w:rPr>
          <w:rFonts w:eastAsia="Times New Roman" w:cs="Times New Roman"/>
          <w:i/>
          <w:iCs/>
          <w:kern w:val="0"/>
          <w:szCs w:val="24"/>
          <w:lang w:eastAsia="es-CO"/>
          <w14:ligatures w14:val="none"/>
        </w:rPr>
        <w:t>1.- El ensamble, fabricación, distribución, venta y exportación de toda clase de autopartes destinadas a vehículos de cualquier clase. (...).</w:t>
      </w:r>
      <w:r w:rsidRPr="0064665F">
        <w:rPr>
          <w:rFonts w:eastAsia="Times New Roman" w:cs="Times New Roman"/>
          <w:kern w:val="0"/>
          <w:szCs w:val="24"/>
          <w:lang w:eastAsia="es-CO"/>
          <w14:ligatures w14:val="none"/>
        </w:rPr>
        <w:t xml:space="preserve"> </w:t>
      </w:r>
    </w:p>
    <w:p w14:paraId="1C4F0BD9" w14:textId="77777777" w:rsidR="0064665F" w:rsidRPr="0064665F" w:rsidRDefault="0064665F" w:rsidP="0064665F">
      <w:pPr>
        <w:numPr>
          <w:ilvl w:val="1"/>
          <w:numId w:val="16"/>
        </w:numPr>
        <w:spacing w:before="100" w:beforeAutospacing="1" w:after="100" w:afterAutospacing="1" w:line="240" w:lineRule="auto"/>
        <w:ind w:left="960"/>
        <w:rPr>
          <w:rFonts w:eastAsia="Times New Roman" w:cs="Times New Roman"/>
          <w:kern w:val="0"/>
          <w:szCs w:val="24"/>
          <w:lang w:eastAsia="es-CO"/>
          <w14:ligatures w14:val="none"/>
        </w:rPr>
      </w:pPr>
      <w:r w:rsidRPr="0064665F">
        <w:rPr>
          <w:rFonts w:eastAsia="Times New Roman" w:cs="Times New Roman"/>
          <w:kern w:val="0"/>
          <w:szCs w:val="24"/>
          <w:lang w:eastAsia="es-CO"/>
          <w14:ligatures w14:val="none"/>
        </w:rPr>
        <w:t xml:space="preserve">↑ C.G.P. </w:t>
      </w:r>
      <w:r w:rsidRPr="0064665F">
        <w:rPr>
          <w:rFonts w:eastAsia="Times New Roman" w:cs="Times New Roman"/>
          <w:i/>
          <w:iCs/>
          <w:kern w:val="0"/>
          <w:szCs w:val="24"/>
          <w:lang w:eastAsia="es-CO"/>
          <w14:ligatures w14:val="none"/>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r w:rsidRPr="0064665F">
        <w:rPr>
          <w:rFonts w:eastAsia="Times New Roman" w:cs="Times New Roman"/>
          <w:kern w:val="0"/>
          <w:szCs w:val="24"/>
          <w:lang w:eastAsia="es-CO"/>
          <w14:ligatures w14:val="none"/>
        </w:rPr>
        <w:t xml:space="preserve"> </w:t>
      </w:r>
    </w:p>
    <w:p w14:paraId="5F0ED46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FE"/>
    <w:multiLevelType w:val="multilevel"/>
    <w:tmpl w:val="272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5429A"/>
    <w:multiLevelType w:val="multilevel"/>
    <w:tmpl w:val="ADC6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3038B"/>
    <w:multiLevelType w:val="multilevel"/>
    <w:tmpl w:val="482AC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C64F5"/>
    <w:multiLevelType w:val="multilevel"/>
    <w:tmpl w:val="9326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7A3970"/>
    <w:multiLevelType w:val="multilevel"/>
    <w:tmpl w:val="9C8A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B39F8"/>
    <w:multiLevelType w:val="multilevel"/>
    <w:tmpl w:val="33D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44AE5"/>
    <w:multiLevelType w:val="multilevel"/>
    <w:tmpl w:val="E06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810953"/>
    <w:multiLevelType w:val="multilevel"/>
    <w:tmpl w:val="AA8C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A25025"/>
    <w:multiLevelType w:val="multilevel"/>
    <w:tmpl w:val="CE94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B710C1"/>
    <w:multiLevelType w:val="multilevel"/>
    <w:tmpl w:val="BB70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471528">
    <w:abstractNumId w:val="3"/>
    <w:lvlOverride w:ilvl="0">
      <w:startOverride w:val="1"/>
    </w:lvlOverride>
  </w:num>
  <w:num w:numId="2" w16cid:durableId="1141000443">
    <w:abstractNumId w:val="3"/>
    <w:lvlOverride w:ilvl="0">
      <w:startOverride w:val="2"/>
    </w:lvlOverride>
  </w:num>
  <w:num w:numId="3" w16cid:durableId="1958022818">
    <w:abstractNumId w:val="3"/>
    <w:lvlOverride w:ilvl="0">
      <w:startOverride w:val="3"/>
    </w:lvlOverride>
  </w:num>
  <w:num w:numId="4" w16cid:durableId="776363429">
    <w:abstractNumId w:val="3"/>
    <w:lvlOverride w:ilvl="0">
      <w:startOverride w:val="4"/>
    </w:lvlOverride>
  </w:num>
  <w:num w:numId="5" w16cid:durableId="1241519436">
    <w:abstractNumId w:val="3"/>
    <w:lvlOverride w:ilvl="0">
      <w:startOverride w:val="5"/>
    </w:lvlOverride>
  </w:num>
  <w:num w:numId="6" w16cid:durableId="940259377">
    <w:abstractNumId w:val="3"/>
    <w:lvlOverride w:ilvl="0">
      <w:startOverride w:val="6"/>
    </w:lvlOverride>
  </w:num>
  <w:num w:numId="7" w16cid:durableId="724835020">
    <w:abstractNumId w:val="3"/>
    <w:lvlOverride w:ilvl="0">
      <w:startOverride w:val="7"/>
    </w:lvlOverride>
  </w:num>
  <w:num w:numId="8" w16cid:durableId="386956664">
    <w:abstractNumId w:val="6"/>
    <w:lvlOverride w:ilvl="0">
      <w:startOverride w:val="1"/>
    </w:lvlOverride>
  </w:num>
  <w:num w:numId="9" w16cid:durableId="1017344437">
    <w:abstractNumId w:val="5"/>
    <w:lvlOverride w:ilvl="0">
      <w:startOverride w:val="2"/>
    </w:lvlOverride>
  </w:num>
  <w:num w:numId="10" w16cid:durableId="1517426527">
    <w:abstractNumId w:val="1"/>
    <w:lvlOverride w:ilvl="0">
      <w:startOverride w:val="3"/>
    </w:lvlOverride>
  </w:num>
  <w:num w:numId="11" w16cid:durableId="915435951">
    <w:abstractNumId w:val="7"/>
    <w:lvlOverride w:ilvl="0">
      <w:startOverride w:val="1"/>
    </w:lvlOverride>
  </w:num>
  <w:num w:numId="12" w16cid:durableId="427624562">
    <w:abstractNumId w:val="0"/>
    <w:lvlOverride w:ilvl="0">
      <w:startOverride w:val="2"/>
    </w:lvlOverride>
  </w:num>
  <w:num w:numId="13" w16cid:durableId="1831167187">
    <w:abstractNumId w:val="8"/>
    <w:lvlOverride w:ilvl="0">
      <w:startOverride w:val="3"/>
    </w:lvlOverride>
  </w:num>
  <w:num w:numId="14" w16cid:durableId="373120158">
    <w:abstractNumId w:val="4"/>
    <w:lvlOverride w:ilvl="0">
      <w:startOverride w:val="4"/>
    </w:lvlOverride>
  </w:num>
  <w:num w:numId="15" w16cid:durableId="1523011103">
    <w:abstractNumId w:val="9"/>
    <w:lvlOverride w:ilvl="0">
      <w:startOverride w:val="5"/>
    </w:lvlOverride>
  </w:num>
  <w:num w:numId="16" w16cid:durableId="846404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5F"/>
    <w:rsid w:val="000F3837"/>
    <w:rsid w:val="00145CE1"/>
    <w:rsid w:val="001E311E"/>
    <w:rsid w:val="00434AE6"/>
    <w:rsid w:val="005D25EE"/>
    <w:rsid w:val="0064665F"/>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6B9"/>
  <w15:chartTrackingRefBased/>
  <w15:docId w15:val="{E28D82B3-69D4-496D-99C0-32C7FC57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0559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69072074">
          <w:marLeft w:val="0"/>
          <w:marRight w:val="0"/>
          <w:marTop w:val="0"/>
          <w:marBottom w:val="0"/>
          <w:divBdr>
            <w:top w:val="none" w:sz="0" w:space="0" w:color="auto"/>
            <w:left w:val="none" w:sz="0" w:space="0" w:color="auto"/>
            <w:bottom w:val="none" w:sz="0" w:space="0" w:color="auto"/>
            <w:right w:val="none" w:sz="0" w:space="0" w:color="auto"/>
          </w:divBdr>
          <w:divsChild>
            <w:div w:id="574171500">
              <w:marLeft w:val="0"/>
              <w:marRight w:val="0"/>
              <w:marTop w:val="0"/>
              <w:marBottom w:val="0"/>
              <w:divBdr>
                <w:top w:val="none" w:sz="0" w:space="0" w:color="auto"/>
                <w:left w:val="none" w:sz="0" w:space="0" w:color="auto"/>
                <w:bottom w:val="none" w:sz="0" w:space="0" w:color="auto"/>
                <w:right w:val="none" w:sz="0" w:space="0" w:color="auto"/>
              </w:divBdr>
            </w:div>
            <w:div w:id="672606069">
              <w:marLeft w:val="0"/>
              <w:marRight w:val="0"/>
              <w:marTop w:val="0"/>
              <w:marBottom w:val="0"/>
              <w:divBdr>
                <w:top w:val="none" w:sz="0" w:space="0" w:color="auto"/>
                <w:left w:val="none" w:sz="0" w:space="0" w:color="auto"/>
                <w:bottom w:val="none" w:sz="0" w:space="0" w:color="auto"/>
                <w:right w:val="none" w:sz="0" w:space="0" w:color="auto"/>
              </w:divBdr>
            </w:div>
            <w:div w:id="1130708136">
              <w:marLeft w:val="0"/>
              <w:marRight w:val="0"/>
              <w:marTop w:val="0"/>
              <w:marBottom w:val="0"/>
              <w:divBdr>
                <w:top w:val="none" w:sz="0" w:space="0" w:color="auto"/>
                <w:left w:val="none" w:sz="0" w:space="0" w:color="auto"/>
                <w:bottom w:val="none" w:sz="0" w:space="0" w:color="auto"/>
                <w:right w:val="none" w:sz="0" w:space="0" w:color="auto"/>
              </w:divBdr>
            </w:div>
          </w:divsChild>
        </w:div>
        <w:div w:id="137331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45783&amp;ETD=1&amp;UID=10215729&amp;Token=3F50F8A7A7B1416A" TargetMode="External"/><Relationship Id="rId13" Type="http://schemas.openxmlformats.org/officeDocument/2006/relationships/hyperlink" Target="http://www.ceta.org.co/html/d.asp?d=45783&amp;ETD=1&amp;UID=10215729&amp;Token=3F50F8A7A7B1416A" TargetMode="External"/><Relationship Id="rId18" Type="http://schemas.openxmlformats.org/officeDocument/2006/relationships/hyperlink" Target="http://www.secretariasenado.gov.co/senado/basedoc/ley_0488_1998.html%2338" TargetMode="External"/><Relationship Id="rId26" Type="http://schemas.openxmlformats.org/officeDocument/2006/relationships/hyperlink" Target="http://www.ceta.org.co/html/d.asp?d=45783&amp;ETD=1&amp;UID=10215729&amp;Token=3F50F8A7A7B1416A" TargetMode="External"/><Relationship Id="rId3" Type="http://schemas.openxmlformats.org/officeDocument/2006/relationships/settings" Target="settings.xml"/><Relationship Id="rId21" Type="http://schemas.openxmlformats.org/officeDocument/2006/relationships/hyperlink" Target="http://www.ceta.org.co/html/d.asp?d=45783&amp;ETD=1&amp;UID=10215729&amp;Token=3F50F8A7A7B1416A" TargetMode="External"/><Relationship Id="rId7" Type="http://schemas.openxmlformats.org/officeDocument/2006/relationships/hyperlink" Target="http://www.ceta.org.co/html/d.asp?d=45783&amp;ETD=1&amp;UID=10215729&amp;Token=3F50F8A7A7B1416A" TargetMode="External"/><Relationship Id="rId12" Type="http://schemas.openxmlformats.org/officeDocument/2006/relationships/hyperlink" Target="http://www.ceta.org.co/html/d.asp?d=45783&amp;ETD=1&amp;UID=10215729&amp;Token=3F50F8A7A7B1416A" TargetMode="External"/><Relationship Id="rId17" Type="http://schemas.openxmlformats.org/officeDocument/2006/relationships/hyperlink" Target="http://www.ceta.org.co/html/d.asp?d=45783&amp;ETD=1&amp;UID=10215729&amp;Token=3F50F8A7A7B1416A" TargetMode="External"/><Relationship Id="rId25" Type="http://schemas.openxmlformats.org/officeDocument/2006/relationships/hyperlink" Target="http://www.ceta.org.co/html/d.asp?d=45783&amp;ETD=1&amp;UID=10215729&amp;Token=3F50F8A7A7B1416A" TargetMode="External"/><Relationship Id="rId2" Type="http://schemas.openxmlformats.org/officeDocument/2006/relationships/styles" Target="styles.xml"/><Relationship Id="rId16" Type="http://schemas.openxmlformats.org/officeDocument/2006/relationships/hyperlink" Target="http://www.ceta.org.co/html/d.asp?d=45783&amp;ETD=1&amp;UID=10215729&amp;Token=3F50F8A7A7B1416A" TargetMode="External"/><Relationship Id="rId20" Type="http://schemas.openxmlformats.org/officeDocument/2006/relationships/hyperlink" Target="http://www.ceta.org.co/html/d.asp?d=45783&amp;ETD=1&amp;UID=10215729&amp;Token=3F50F8A7A7B1416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clases/DownloadManager.asp?ETD=1&amp;UID=10215729&amp;DocOrigen=45783&amp;Token=3F50F8A7A7B1416A&amp;file=Anexos/45783/ArchivosOriginales/45783--Sentencia%20en%20PDF--true--da49c7be-4668-484e-8f03-a5c762a5ab13--.pdf" TargetMode="External"/><Relationship Id="rId11" Type="http://schemas.openxmlformats.org/officeDocument/2006/relationships/hyperlink" Target="http://www.ceta.org.co/html/d.asp?d=45783&amp;ETD=1&amp;UID=10215729&amp;Token=3F50F8A7A7B1416A" TargetMode="External"/><Relationship Id="rId24" Type="http://schemas.openxmlformats.org/officeDocument/2006/relationships/hyperlink" Target="http://www.ceta.org.co/html/d.asp?d=45783&amp;ETD=1&amp;UID=10215729&amp;Token=3F50F8A7A7B1416A" TargetMode="External"/><Relationship Id="rId5" Type="http://schemas.openxmlformats.org/officeDocument/2006/relationships/hyperlink" Target="https://www.ceta.org.co/html/clases/DownloadManager.asp?ETD=1&amp;UID=10215729&amp;DocOrigen=45783&amp;Token=3F50F8A7A7B1416A&amp;file=Anexos/45783/ArchivosOriginales/45783--Salvamento%20de%20Voto%20en%20PDF--true--07a12b8b-e20d-4bde-931a-471d70c170e3--.pdf" TargetMode="External"/><Relationship Id="rId15" Type="http://schemas.openxmlformats.org/officeDocument/2006/relationships/hyperlink" Target="http://www.ceta.org.co/html/d.asp?d=45783&amp;ETD=1&amp;UID=10215729&amp;Token=3F50F8A7A7B1416A" TargetMode="External"/><Relationship Id="rId23" Type="http://schemas.openxmlformats.org/officeDocument/2006/relationships/hyperlink" Target="http://www.ceta.org.co/html/d.asp?d=45783&amp;ETD=1&amp;UID=10215729&amp;Token=3F50F8A7A7B1416A" TargetMode="External"/><Relationship Id="rId28" Type="http://schemas.openxmlformats.org/officeDocument/2006/relationships/fontTable" Target="fontTable.xml"/><Relationship Id="rId10" Type="http://schemas.openxmlformats.org/officeDocument/2006/relationships/hyperlink" Target="http://www.ceta.org.co/html/d.asp?d=45783&amp;ETD=1&amp;UID=10215729&amp;Token=3F50F8A7A7B1416A" TargetMode="External"/><Relationship Id="rId19" Type="http://schemas.openxmlformats.org/officeDocument/2006/relationships/hyperlink" Target="http://www.ceta.org.co/html/d.asp?d=45783&amp;ETD=1&amp;UID=10215729&amp;Token=3F50F8A7A7B1416A" TargetMode="External"/><Relationship Id="rId4" Type="http://schemas.openxmlformats.org/officeDocument/2006/relationships/webSettings" Target="webSettings.xml"/><Relationship Id="rId9" Type="http://schemas.openxmlformats.org/officeDocument/2006/relationships/hyperlink" Target="http://www.ceta.org.co/html/d.asp?d=45783&amp;ETD=1&amp;UID=10215729&amp;Token=3F50F8A7A7B1416A" TargetMode="External"/><Relationship Id="rId14" Type="http://schemas.openxmlformats.org/officeDocument/2006/relationships/hyperlink" Target="http://www.ceta.org.co/html/d.asp?d=45783&amp;ETD=1&amp;UID=10215729&amp;Token=3F50F8A7A7B1416A" TargetMode="External"/><Relationship Id="rId22" Type="http://schemas.openxmlformats.org/officeDocument/2006/relationships/hyperlink" Target="http://www.ceta.org.co/html/d.asp?d=45783&amp;ETD=1&amp;UID=10215729&amp;Token=3F50F8A7A7B1416A" TargetMode="External"/><Relationship Id="rId27" Type="http://schemas.openxmlformats.org/officeDocument/2006/relationships/hyperlink" Target="http://www.ceta.org.co/html/d.asp?d=45783&amp;ETD=1&amp;UID=10215729&amp;Token=3F50F8A7A7B1416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7376</Words>
  <Characters>40572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2023-11-03T12:38:00Z</dcterms:created>
  <dcterms:modified xsi:type="dcterms:W3CDTF">2023-11-03T12:49:00Z</dcterms:modified>
</cp:coreProperties>
</file>