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AE2EE" w14:textId="7CAF956B" w:rsidR="006E49EB" w:rsidRPr="006E49EB" w:rsidRDefault="006E49EB" w:rsidP="006E49EB">
      <w:pPr>
        <w:pStyle w:val="Sinespaciado"/>
        <w:jc w:val="both"/>
        <w:rPr>
          <w:rFonts w:ascii="Verdana" w:hAnsi="Verdana"/>
          <w:b/>
          <w:bCs/>
        </w:rPr>
      </w:pPr>
      <w:r w:rsidRPr="006E49EB">
        <w:rPr>
          <w:rFonts w:ascii="Verdana" w:hAnsi="Verdana"/>
          <w:b/>
          <w:bCs/>
        </w:rPr>
        <w:t>COMUNICADO DE PRENSA DEL 14 DE DICIEMBRE DE 2022</w:t>
      </w:r>
    </w:p>
    <w:p w14:paraId="3D867632" w14:textId="77777777" w:rsidR="006E49EB" w:rsidRDefault="006E49EB" w:rsidP="006E49EB">
      <w:pPr>
        <w:pStyle w:val="Sinespaciado"/>
        <w:jc w:val="both"/>
        <w:rPr>
          <w:rFonts w:ascii="Verdana" w:hAnsi="Verdana"/>
          <w:b/>
          <w:bCs/>
        </w:rPr>
      </w:pPr>
      <w:r w:rsidRPr="006E49EB">
        <w:rPr>
          <w:rFonts w:ascii="Verdana" w:hAnsi="Verdana"/>
          <w:b/>
          <w:bCs/>
        </w:rPr>
        <w:t>SUPERINTENDENCIA DE SOCIEDADES</w:t>
      </w:r>
    </w:p>
    <w:p w14:paraId="11C1D21A" w14:textId="77777777" w:rsidR="006E49EB" w:rsidRDefault="006E49EB" w:rsidP="006E49EB">
      <w:pPr>
        <w:pStyle w:val="Sinespaciado"/>
        <w:jc w:val="both"/>
        <w:rPr>
          <w:rFonts w:ascii="Verdana" w:hAnsi="Verdana"/>
          <w:b/>
          <w:bCs/>
        </w:rPr>
      </w:pPr>
    </w:p>
    <w:p w14:paraId="3ADBCEB5" w14:textId="22D2F93C" w:rsidR="00E852A9" w:rsidRDefault="00000000" w:rsidP="006E49EB">
      <w:pPr>
        <w:pStyle w:val="Sinespaciado"/>
        <w:jc w:val="both"/>
        <w:rPr>
          <w:rStyle w:val="Cuerpodeltexto12Tahoma14pto"/>
          <w:rFonts w:ascii="Verdana" w:hAnsi="Verdana"/>
          <w:sz w:val="24"/>
          <w:szCs w:val="24"/>
        </w:rPr>
      </w:pPr>
      <w:bookmarkStart w:id="0" w:name="bookmark0"/>
      <w:r w:rsidRPr="006E49EB">
        <w:rPr>
          <w:rStyle w:val="Cuerpodeltexto122"/>
          <w:rFonts w:ascii="Verdana" w:hAnsi="Verdana"/>
          <w:sz w:val="24"/>
          <w:szCs w:val="24"/>
        </w:rPr>
        <w:t xml:space="preserve">La Superintendencia de Sociedades confirma la prórroga de los Decretos Legislativos 560 y 772 de </w:t>
      </w:r>
      <w:r w:rsidRPr="006E49EB">
        <w:rPr>
          <w:rStyle w:val="Cuerpodeltexto12Tahoma14pto"/>
          <w:rFonts w:ascii="Verdana" w:hAnsi="Verdana"/>
          <w:sz w:val="24"/>
          <w:szCs w:val="24"/>
        </w:rPr>
        <w:t>2020</w:t>
      </w:r>
      <w:bookmarkEnd w:id="0"/>
    </w:p>
    <w:p w14:paraId="12B03CD4" w14:textId="0E1A562E" w:rsidR="006E49EB" w:rsidRDefault="006E49EB" w:rsidP="006E49EB">
      <w:pPr>
        <w:pStyle w:val="Sinespaciado"/>
        <w:jc w:val="both"/>
        <w:rPr>
          <w:rStyle w:val="Cuerpodeltexto12Tahoma14pto"/>
          <w:rFonts w:ascii="Verdana" w:hAnsi="Verdana"/>
          <w:sz w:val="24"/>
          <w:szCs w:val="24"/>
        </w:rPr>
      </w:pPr>
    </w:p>
    <w:p w14:paraId="2368C8ED" w14:textId="052108E9" w:rsidR="006E49EB" w:rsidRPr="006E49EB" w:rsidRDefault="006E49EB" w:rsidP="006E49EB">
      <w:pPr>
        <w:pStyle w:val="Sinespaciado"/>
        <w:jc w:val="both"/>
        <w:rPr>
          <w:rFonts w:ascii="Verdana" w:hAnsi="Verdana"/>
        </w:rPr>
      </w:pPr>
      <w:r w:rsidRPr="006E49EB">
        <w:rPr>
          <w:rFonts w:ascii="Verdana" w:hAnsi="Verdana"/>
          <w:noProof/>
        </w:rPr>
        <w:drawing>
          <wp:inline distT="0" distB="0" distL="0" distR="0" wp14:anchorId="5F5F879E" wp14:editId="6D9F87B9">
            <wp:extent cx="5612130" cy="278701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612130" cy="2787015"/>
                    </a:xfrm>
                    <a:prstGeom prst="rect">
                      <a:avLst/>
                    </a:prstGeom>
                  </pic:spPr>
                </pic:pic>
              </a:graphicData>
            </a:graphic>
          </wp:inline>
        </w:drawing>
      </w:r>
    </w:p>
    <w:p w14:paraId="4DC53D71" w14:textId="1C26A491" w:rsidR="006E49EB" w:rsidRDefault="006E49EB" w:rsidP="006E49EB">
      <w:pPr>
        <w:pStyle w:val="Sinespaciado"/>
        <w:jc w:val="both"/>
        <w:rPr>
          <w:rStyle w:val="Leyendadelaimagen31"/>
          <w:rFonts w:ascii="Verdana" w:hAnsi="Verdana"/>
          <w:sz w:val="24"/>
          <w:szCs w:val="24"/>
        </w:rPr>
      </w:pPr>
    </w:p>
    <w:p w14:paraId="546104B1" w14:textId="77777777" w:rsidR="006E49EB" w:rsidRDefault="006E49EB" w:rsidP="006E49EB">
      <w:pPr>
        <w:pStyle w:val="Sinespaciado"/>
        <w:jc w:val="both"/>
        <w:rPr>
          <w:rStyle w:val="Leyendadelaimagen31"/>
          <w:rFonts w:ascii="Verdana" w:hAnsi="Verdana"/>
          <w:sz w:val="24"/>
          <w:szCs w:val="24"/>
          <w:lang w:val="es-CO"/>
        </w:rPr>
      </w:pPr>
      <w:r w:rsidRPr="006E49EB">
        <w:rPr>
          <w:rStyle w:val="Leyendadelaimagen31"/>
          <w:rFonts w:ascii="Verdana" w:hAnsi="Verdana"/>
          <w:b/>
          <w:bCs/>
          <w:sz w:val="24"/>
          <w:szCs w:val="24"/>
          <w:lang w:val="es-CO"/>
        </w:rPr>
        <w:t>Bogotá D.C., 14 de diciembre de 2022.</w:t>
      </w:r>
      <w:r w:rsidRPr="006E49EB">
        <w:rPr>
          <w:rStyle w:val="Leyendadelaimagen31"/>
          <w:rFonts w:ascii="Verdana" w:hAnsi="Verdana"/>
          <w:sz w:val="24"/>
          <w:szCs w:val="24"/>
          <w:lang w:val="es-CO"/>
        </w:rPr>
        <w:t xml:space="preserve">  La Superintendencia de Sociedades se permite informar que mediante la Ley 2277 de 2022 (Artículo 96), fueron prorrogados los Decretos Legislativos 560 y 772 de 2020 y sus decretos reglamentarios, hasta el 31 de diciembre de 2023.</w:t>
      </w:r>
    </w:p>
    <w:p w14:paraId="2DEB2D4D" w14:textId="77777777" w:rsidR="006E49EB" w:rsidRDefault="006E49EB" w:rsidP="006E49EB">
      <w:pPr>
        <w:pStyle w:val="Sinespaciado"/>
        <w:jc w:val="both"/>
        <w:rPr>
          <w:rStyle w:val="Leyendadelaimagen31"/>
          <w:rFonts w:ascii="Verdana" w:hAnsi="Verdana"/>
          <w:sz w:val="24"/>
          <w:szCs w:val="24"/>
          <w:lang w:val="es-CO"/>
        </w:rPr>
      </w:pPr>
    </w:p>
    <w:p w14:paraId="2421C597" w14:textId="77777777" w:rsidR="006E49EB" w:rsidRDefault="006E49EB" w:rsidP="006E49EB">
      <w:pPr>
        <w:pStyle w:val="Sinespaciado"/>
        <w:jc w:val="both"/>
        <w:rPr>
          <w:rStyle w:val="Leyendadelaimagen31"/>
          <w:rFonts w:ascii="Verdana" w:hAnsi="Verdana"/>
          <w:sz w:val="24"/>
          <w:szCs w:val="24"/>
          <w:lang w:val="es-CO"/>
        </w:rPr>
      </w:pPr>
      <w:r w:rsidRPr="006E49EB">
        <w:rPr>
          <w:rStyle w:val="Leyendadelaimagen31"/>
          <w:rFonts w:ascii="Verdana" w:hAnsi="Verdana"/>
          <w:sz w:val="24"/>
          <w:szCs w:val="24"/>
          <w:lang w:val="es-CO"/>
        </w:rPr>
        <w:t>Los decretos mencionados establecen mecanismos para atender de manera oportuna las dificultades financieras de los empresarios, así como un proceso especial de insolvencia para las micro y pequeñas empresas, y otros mecanismos que permiten contar con un régimen de insolvencia flexible para la reorganización ágil y efectiva de las empresas viables o su pronta liquidación en caso de no ser viables, para que recirculen los activos en la economía, generando una mayor dinámica económica y de crecimiento.</w:t>
      </w:r>
    </w:p>
    <w:p w14:paraId="7F52C8EA" w14:textId="77777777" w:rsidR="006E49EB" w:rsidRDefault="006E49EB" w:rsidP="006E49EB">
      <w:pPr>
        <w:pStyle w:val="Sinespaciado"/>
        <w:jc w:val="both"/>
        <w:rPr>
          <w:rStyle w:val="Leyendadelaimagen31"/>
          <w:rFonts w:ascii="Verdana" w:hAnsi="Verdana"/>
          <w:sz w:val="24"/>
          <w:szCs w:val="24"/>
          <w:lang w:val="es-CO"/>
        </w:rPr>
      </w:pPr>
    </w:p>
    <w:p w14:paraId="01866DE9" w14:textId="77777777" w:rsidR="006E49EB" w:rsidRDefault="006E49EB" w:rsidP="006E49EB">
      <w:pPr>
        <w:pStyle w:val="Sinespaciado"/>
        <w:jc w:val="both"/>
        <w:rPr>
          <w:rStyle w:val="Leyendadelaimagen31"/>
          <w:rFonts w:ascii="Verdana" w:hAnsi="Verdana"/>
          <w:sz w:val="24"/>
          <w:szCs w:val="24"/>
          <w:lang w:val="es-CO"/>
        </w:rPr>
      </w:pPr>
      <w:r w:rsidRPr="006E49EB">
        <w:rPr>
          <w:rStyle w:val="Leyendadelaimagen31"/>
          <w:rFonts w:ascii="Verdana" w:hAnsi="Verdana"/>
          <w:sz w:val="24"/>
          <w:szCs w:val="24"/>
          <w:lang w:val="es-CO"/>
        </w:rPr>
        <w:t xml:space="preserve">A su vez, las normas contemplan medidas especiales en materia de </w:t>
      </w:r>
      <w:r>
        <w:rPr>
          <w:rStyle w:val="Leyendadelaimagen31"/>
          <w:rFonts w:ascii="Verdana" w:hAnsi="Verdana"/>
          <w:sz w:val="24"/>
          <w:szCs w:val="24"/>
          <w:lang w:val="es-CO"/>
        </w:rPr>
        <w:t>I</w:t>
      </w:r>
      <w:r w:rsidRPr="006E49EB">
        <w:rPr>
          <w:rStyle w:val="Leyendadelaimagen31"/>
          <w:rFonts w:ascii="Verdana" w:hAnsi="Verdana"/>
          <w:sz w:val="24"/>
          <w:szCs w:val="24"/>
          <w:lang w:val="es-CO"/>
        </w:rPr>
        <w:t>nsolvencia como:</w:t>
      </w:r>
    </w:p>
    <w:p w14:paraId="51BC6797" w14:textId="77777777" w:rsidR="006E49EB" w:rsidRDefault="006E49EB" w:rsidP="006E49EB">
      <w:pPr>
        <w:pStyle w:val="Sinespaciado"/>
        <w:jc w:val="both"/>
        <w:rPr>
          <w:rStyle w:val="Leyendadelaimagen31"/>
          <w:rFonts w:ascii="Verdana" w:hAnsi="Verdana"/>
          <w:sz w:val="24"/>
          <w:szCs w:val="24"/>
          <w:lang w:val="es-CO"/>
        </w:rPr>
      </w:pPr>
    </w:p>
    <w:p w14:paraId="3B0C3E41" w14:textId="77777777" w:rsidR="006E49EB" w:rsidRDefault="006E49EB" w:rsidP="006E49EB">
      <w:pPr>
        <w:pStyle w:val="Sinespaciado"/>
        <w:numPr>
          <w:ilvl w:val="0"/>
          <w:numId w:val="2"/>
        </w:numPr>
        <w:jc w:val="both"/>
        <w:rPr>
          <w:rStyle w:val="Leyendadelaimagen31"/>
          <w:rFonts w:ascii="Verdana" w:hAnsi="Verdana"/>
          <w:sz w:val="24"/>
          <w:szCs w:val="24"/>
          <w:lang w:val="es-CO"/>
        </w:rPr>
      </w:pPr>
      <w:r w:rsidRPr="006E49EB">
        <w:rPr>
          <w:rStyle w:val="Leyendadelaimagen31"/>
          <w:rFonts w:ascii="Verdana" w:hAnsi="Verdana"/>
          <w:sz w:val="24"/>
          <w:szCs w:val="24"/>
          <w:lang w:val="es-CO"/>
        </w:rPr>
        <w:t>Procesos Extrajudiciales de Reorganización para dar una solución pronta y efectiva de la crisis de la empresa: Negociación de Emergencia de un Acuerdo de Reorganización (NEAR) y Procedimiento de Recuperación Empresarial ante las Cámaras de Comercio (PRES).</w:t>
      </w:r>
    </w:p>
    <w:p w14:paraId="18FA820A" w14:textId="77777777" w:rsidR="006E49EB" w:rsidRDefault="006E49EB" w:rsidP="006E49EB">
      <w:pPr>
        <w:pStyle w:val="Sinespaciado"/>
        <w:numPr>
          <w:ilvl w:val="0"/>
          <w:numId w:val="2"/>
        </w:numPr>
        <w:jc w:val="both"/>
        <w:rPr>
          <w:rStyle w:val="Leyendadelaimagen31"/>
          <w:rFonts w:ascii="Verdana" w:hAnsi="Verdana"/>
          <w:sz w:val="24"/>
          <w:szCs w:val="24"/>
          <w:lang w:val="es-CO"/>
        </w:rPr>
      </w:pPr>
      <w:r w:rsidRPr="006E49EB">
        <w:rPr>
          <w:rStyle w:val="Leyendadelaimagen31"/>
          <w:rFonts w:ascii="Verdana" w:hAnsi="Verdana"/>
          <w:sz w:val="24"/>
          <w:szCs w:val="24"/>
          <w:lang w:val="es-CO"/>
        </w:rPr>
        <w:lastRenderedPageBreak/>
        <w:t>Procesos de insolvencia especiales para micro y pequeñas empresas: reorganización abreviada y liquidación simplificada.</w:t>
      </w:r>
    </w:p>
    <w:p w14:paraId="61D82B79" w14:textId="77777777" w:rsidR="006E49EB" w:rsidRDefault="006E49EB" w:rsidP="006E49EB">
      <w:pPr>
        <w:pStyle w:val="Sinespaciado"/>
        <w:numPr>
          <w:ilvl w:val="0"/>
          <w:numId w:val="2"/>
        </w:numPr>
        <w:jc w:val="both"/>
        <w:rPr>
          <w:rStyle w:val="Leyendadelaimagen31"/>
          <w:rFonts w:ascii="Verdana" w:hAnsi="Verdana"/>
          <w:sz w:val="24"/>
          <w:szCs w:val="24"/>
          <w:lang w:val="es-CO"/>
        </w:rPr>
      </w:pPr>
      <w:r w:rsidRPr="006E49EB">
        <w:rPr>
          <w:rStyle w:val="Leyendadelaimagen31"/>
          <w:rFonts w:ascii="Verdana" w:hAnsi="Verdana"/>
          <w:sz w:val="24"/>
          <w:szCs w:val="24"/>
          <w:lang w:val="es-CO"/>
        </w:rPr>
        <w:t>Medidas de descongestión judicial.</w:t>
      </w:r>
    </w:p>
    <w:p w14:paraId="4F900DAF" w14:textId="03D6C88B" w:rsidR="006E49EB" w:rsidRPr="006E49EB" w:rsidRDefault="006E49EB" w:rsidP="006E49EB">
      <w:pPr>
        <w:pStyle w:val="Sinespaciado"/>
        <w:numPr>
          <w:ilvl w:val="0"/>
          <w:numId w:val="2"/>
        </w:numPr>
        <w:jc w:val="both"/>
        <w:rPr>
          <w:rStyle w:val="Leyendadelaimagen31"/>
          <w:rFonts w:ascii="Verdana" w:hAnsi="Verdana"/>
          <w:sz w:val="24"/>
          <w:szCs w:val="24"/>
          <w:lang w:val="es-CO"/>
        </w:rPr>
      </w:pPr>
      <w:r w:rsidRPr="006E49EB">
        <w:rPr>
          <w:rStyle w:val="Leyendadelaimagen31"/>
          <w:rFonts w:ascii="Verdana" w:hAnsi="Verdana"/>
          <w:sz w:val="24"/>
          <w:szCs w:val="24"/>
          <w:lang w:val="es-CO"/>
        </w:rPr>
        <w:t>Mecanismos para facilitar la financiación, la aprobación de los acuerdos de reorganización y la protección de la empresa.</w:t>
      </w:r>
    </w:p>
    <w:p w14:paraId="6469D04F" w14:textId="77777777" w:rsidR="006E49EB" w:rsidRPr="006E49EB" w:rsidRDefault="006E49EB" w:rsidP="006E49EB">
      <w:pPr>
        <w:pStyle w:val="Sinespaciado"/>
        <w:jc w:val="both"/>
        <w:rPr>
          <w:rStyle w:val="Leyendadelaimagen31"/>
          <w:rFonts w:ascii="Verdana" w:hAnsi="Verdana"/>
          <w:sz w:val="24"/>
          <w:szCs w:val="24"/>
          <w:lang w:val="es-CO"/>
        </w:rPr>
      </w:pPr>
    </w:p>
    <w:p w14:paraId="6518ACBB" w14:textId="77777777" w:rsidR="006E49EB" w:rsidRDefault="006E49EB" w:rsidP="006E49EB">
      <w:pPr>
        <w:pStyle w:val="Sinespaciado"/>
        <w:jc w:val="both"/>
        <w:rPr>
          <w:rStyle w:val="Leyendadelaimagen31"/>
          <w:rFonts w:ascii="Verdana" w:hAnsi="Verdana"/>
          <w:sz w:val="24"/>
          <w:szCs w:val="24"/>
          <w:lang w:val="es-CO"/>
        </w:rPr>
      </w:pPr>
      <w:r w:rsidRPr="006E49EB">
        <w:rPr>
          <w:rStyle w:val="Leyendadelaimagen31"/>
          <w:rFonts w:ascii="Verdana" w:hAnsi="Verdana"/>
          <w:i/>
          <w:iCs/>
          <w:sz w:val="24"/>
          <w:szCs w:val="24"/>
          <w:lang w:val="es-CO"/>
        </w:rPr>
        <w:t xml:space="preserve">“Con el apoyo de diferentes entidades como el Ministerio de Comercio, Industria y Turismo, el Ministerio de Hacienda y Crédito Público, la DIAN, ponentes del Congreso y congresistas que participaron activamente en la reforma, gestionamos la prórroga de los decretos. Los mecanismos que se crearon en su momento han tenido un gran impacto en los procesos de insolvencia tramitados ante la Entidad, con el objeto de salvar empresas. Ahora bien, el reto de cara al año 2023 es lograr que estos mecanismos se mantengan de manera permanente y se actualice el régimen de insolvencia ante el Congreso de la República”, </w:t>
      </w:r>
      <w:r w:rsidRPr="006E49EB">
        <w:rPr>
          <w:rStyle w:val="Leyendadelaimagen31"/>
          <w:rFonts w:ascii="Verdana" w:hAnsi="Verdana"/>
          <w:sz w:val="24"/>
          <w:szCs w:val="24"/>
          <w:lang w:val="es-CO"/>
        </w:rPr>
        <w:t>señaló el Superintendente de Sociedades, Billy Escobar Pérez.</w:t>
      </w:r>
    </w:p>
    <w:p w14:paraId="79835E0B" w14:textId="77777777" w:rsidR="006E49EB" w:rsidRDefault="006E49EB" w:rsidP="006E49EB">
      <w:pPr>
        <w:pStyle w:val="Sinespaciado"/>
        <w:jc w:val="both"/>
        <w:rPr>
          <w:rStyle w:val="Leyendadelaimagen31"/>
          <w:rFonts w:ascii="Verdana" w:hAnsi="Verdana"/>
          <w:sz w:val="24"/>
          <w:szCs w:val="24"/>
          <w:lang w:val="es-CO"/>
        </w:rPr>
      </w:pPr>
    </w:p>
    <w:p w14:paraId="20561534" w14:textId="77777777" w:rsidR="006E49EB" w:rsidRDefault="006E49EB" w:rsidP="006E49EB">
      <w:pPr>
        <w:pStyle w:val="Sinespaciado"/>
        <w:jc w:val="both"/>
        <w:rPr>
          <w:rStyle w:val="Leyendadelaimagen31"/>
          <w:rFonts w:ascii="Verdana" w:hAnsi="Verdana"/>
          <w:sz w:val="24"/>
          <w:szCs w:val="24"/>
          <w:lang w:val="es-CO"/>
        </w:rPr>
      </w:pPr>
      <w:r w:rsidRPr="006E49EB">
        <w:rPr>
          <w:rStyle w:val="Leyendadelaimagen31"/>
          <w:rFonts w:ascii="Verdana" w:hAnsi="Verdana"/>
          <w:sz w:val="24"/>
          <w:szCs w:val="24"/>
          <w:lang w:val="es-CO"/>
        </w:rPr>
        <w:t>Las solicitudes de admisión desde el 01 de abril de 2020 hasta el 9 de diciembre de 2022:</w:t>
      </w:r>
    </w:p>
    <w:p w14:paraId="1C0CC025" w14:textId="77777777" w:rsidR="006E49EB" w:rsidRDefault="006E49EB" w:rsidP="006E49EB">
      <w:pPr>
        <w:pStyle w:val="Sinespaciado"/>
        <w:jc w:val="both"/>
        <w:rPr>
          <w:rStyle w:val="Leyendadelaimagen31"/>
          <w:rFonts w:ascii="Verdana" w:hAnsi="Verdana"/>
          <w:sz w:val="24"/>
          <w:szCs w:val="24"/>
          <w:lang w:val="es-CO"/>
        </w:rPr>
      </w:pPr>
    </w:p>
    <w:p w14:paraId="66A02B65" w14:textId="77777777" w:rsidR="006E49EB" w:rsidRDefault="006E49EB" w:rsidP="006E49EB">
      <w:pPr>
        <w:pStyle w:val="Sinespaciado"/>
        <w:jc w:val="both"/>
        <w:rPr>
          <w:rStyle w:val="Leyendadelaimagen31"/>
          <w:rFonts w:ascii="Verdana" w:hAnsi="Verdana"/>
          <w:sz w:val="24"/>
          <w:szCs w:val="24"/>
          <w:lang w:val="es-CO"/>
        </w:rPr>
      </w:pPr>
      <w:r w:rsidRPr="006E49EB">
        <w:rPr>
          <w:rStyle w:val="Leyendadelaimagen31"/>
          <w:rFonts w:ascii="Verdana" w:hAnsi="Verdana"/>
          <w:sz w:val="24"/>
          <w:szCs w:val="24"/>
          <w:lang w:val="es-CO"/>
        </w:rPr>
        <w:t>Del total de 3.363 solicitudes, 61.87% (2.081) corresponde a procesos creados con el Decreto Legislativo 772 de 2020 para pequeñas insolvencias, el 22.42% (754) corresponde a los procesos de reorganización y liquidación ordinarios previstos en la Ley 1116 de 2006 y el 15.70% (528) restante a procesos NEAR, trámite creado por el Decreto Legislativo 560 de 2020. Finalmente, el 77.57% de los deudores en crisis, hacen uso de los mecanismos creados con los Decretos Legislativos.</w:t>
      </w:r>
    </w:p>
    <w:p w14:paraId="067C07D4" w14:textId="77777777" w:rsidR="006E49EB" w:rsidRDefault="006E49EB" w:rsidP="006E49EB">
      <w:pPr>
        <w:pStyle w:val="Sinespaciado"/>
        <w:jc w:val="both"/>
        <w:rPr>
          <w:rStyle w:val="Leyendadelaimagen31"/>
          <w:rFonts w:ascii="Verdana" w:hAnsi="Verdana"/>
          <w:sz w:val="24"/>
          <w:szCs w:val="24"/>
          <w:lang w:val="es-CO"/>
        </w:rPr>
      </w:pPr>
    </w:p>
    <w:p w14:paraId="118418EF" w14:textId="29ADAABE" w:rsidR="006E49EB" w:rsidRPr="006E49EB" w:rsidRDefault="006E49EB" w:rsidP="006E49EB">
      <w:pPr>
        <w:pStyle w:val="Sinespaciado"/>
        <w:jc w:val="both"/>
        <w:rPr>
          <w:rStyle w:val="Leyendadelaimagen31"/>
          <w:rFonts w:ascii="Verdana" w:hAnsi="Verdana"/>
          <w:sz w:val="24"/>
          <w:szCs w:val="24"/>
          <w:lang w:val="es-CO"/>
        </w:rPr>
      </w:pPr>
      <w:r w:rsidRPr="006E49EB">
        <w:rPr>
          <w:rStyle w:val="Leyendadelaimagen31"/>
          <w:rFonts w:ascii="Verdana" w:hAnsi="Verdana"/>
          <w:sz w:val="24"/>
          <w:szCs w:val="24"/>
          <w:lang w:val="es-CO"/>
        </w:rPr>
        <w:t>Desde la Superintendencia de Sociedades continuamos apoyando la recuperación de las empresas viables y socialmente responsables del país, velando por el cumplimiento de las garantías legales, para contribuir a la conservación de la empresa y la recuperación del empleo y el trabajo digno.</w:t>
      </w:r>
    </w:p>
    <w:sectPr w:rsidR="006E49EB" w:rsidRPr="006E49EB" w:rsidSect="006E49EB">
      <w:pgSz w:w="12240" w:h="15840" w:code="1"/>
      <w:pgMar w:top="1418" w:right="1701" w:bottom="1418" w:left="1701" w:header="709" w:footer="125"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9D6D00" w14:textId="77777777" w:rsidR="00074B5C" w:rsidRDefault="00074B5C">
      <w:r>
        <w:separator/>
      </w:r>
    </w:p>
  </w:endnote>
  <w:endnote w:type="continuationSeparator" w:id="0">
    <w:p w14:paraId="6D8C5185" w14:textId="77777777" w:rsidR="00074B5C" w:rsidRDefault="00074B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55F1A" w14:textId="77777777" w:rsidR="00074B5C" w:rsidRDefault="00074B5C"/>
  </w:footnote>
  <w:footnote w:type="continuationSeparator" w:id="0">
    <w:p w14:paraId="26A4FD7D" w14:textId="77777777" w:rsidR="00074B5C" w:rsidRDefault="00074B5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277B9"/>
    <w:multiLevelType w:val="multilevel"/>
    <w:tmpl w:val="6FF203B8"/>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65BB7F89"/>
    <w:multiLevelType w:val="hybridMultilevel"/>
    <w:tmpl w:val="1C7066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633514828">
    <w:abstractNumId w:val="0"/>
  </w:num>
  <w:num w:numId="2" w16cid:durableId="8058547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2A9"/>
    <w:rsid w:val="00074B5C"/>
    <w:rsid w:val="006E49EB"/>
    <w:rsid w:val="00BD7CCF"/>
    <w:rsid w:val="00E24ECB"/>
    <w:rsid w:val="00E852A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65CD9"/>
  <w15:docId w15:val="{E47244EC-B797-4BBD-81CF-C4C2F4BBE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Microsoft Sans Serif" w:hAnsi="Microsoft Sans Serif" w:cs="Microsoft Sans Serif"/>
        <w:sz w:val="24"/>
        <w:szCs w:val="24"/>
        <w:lang w:val="es-ES" w:eastAsia="es-ES" w:bidi="es-E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Pr>
      <w:color w:val="0066CC"/>
      <w:u w:val="single"/>
    </w:rPr>
  </w:style>
  <w:style w:type="character" w:customStyle="1" w:styleId="Cuerpodeltexto12">
    <w:name w:val="Cuerpo del texto (12)_"/>
    <w:basedOn w:val="Fuentedeprrafopredeter"/>
    <w:link w:val="Cuerpodeltexto120"/>
    <w:rPr>
      <w:rFonts w:ascii="Arial" w:eastAsia="Arial" w:hAnsi="Arial" w:cs="Arial"/>
      <w:b/>
      <w:bCs/>
      <w:i w:val="0"/>
      <w:iCs w:val="0"/>
      <w:smallCaps w:val="0"/>
      <w:strike w:val="0"/>
      <w:spacing w:val="-10"/>
      <w:sz w:val="32"/>
      <w:szCs w:val="32"/>
      <w:u w:val="none"/>
    </w:rPr>
  </w:style>
  <w:style w:type="character" w:customStyle="1" w:styleId="Cuerpodeltexto121">
    <w:name w:val="Cuerpo del texto (12)"/>
    <w:basedOn w:val="Cuerpodeltexto12"/>
    <w:rPr>
      <w:rFonts w:ascii="Arial" w:eastAsia="Arial" w:hAnsi="Arial" w:cs="Arial"/>
      <w:b/>
      <w:bCs/>
      <w:i w:val="0"/>
      <w:iCs w:val="0"/>
      <w:smallCaps w:val="0"/>
      <w:strike w:val="0"/>
      <w:color w:val="000000"/>
      <w:spacing w:val="-10"/>
      <w:w w:val="100"/>
      <w:position w:val="0"/>
      <w:sz w:val="32"/>
      <w:szCs w:val="32"/>
      <w:u w:val="none"/>
      <w:lang w:val="es-ES" w:eastAsia="es-ES" w:bidi="es-ES"/>
    </w:rPr>
  </w:style>
  <w:style w:type="character" w:customStyle="1" w:styleId="Cuerpodeltexto122">
    <w:name w:val="Cuerpo del texto (12)"/>
    <w:basedOn w:val="Cuerpodeltexto12"/>
    <w:rPr>
      <w:rFonts w:ascii="Arial" w:eastAsia="Arial" w:hAnsi="Arial" w:cs="Arial"/>
      <w:b/>
      <w:bCs/>
      <w:i w:val="0"/>
      <w:iCs w:val="0"/>
      <w:smallCaps w:val="0"/>
      <w:strike w:val="0"/>
      <w:color w:val="000000"/>
      <w:spacing w:val="-10"/>
      <w:w w:val="100"/>
      <w:position w:val="0"/>
      <w:sz w:val="32"/>
      <w:szCs w:val="32"/>
      <w:u w:val="none"/>
      <w:lang w:val="es-ES" w:eastAsia="es-ES" w:bidi="es-ES"/>
    </w:rPr>
  </w:style>
  <w:style w:type="character" w:customStyle="1" w:styleId="Cuerpodeltexto12Tahoma14pto">
    <w:name w:val="Cuerpo del texto (12) + Tahoma;14 pto"/>
    <w:basedOn w:val="Cuerpodeltexto12"/>
    <w:rPr>
      <w:rFonts w:ascii="Tahoma" w:eastAsia="Tahoma" w:hAnsi="Tahoma" w:cs="Tahoma"/>
      <w:b/>
      <w:bCs/>
      <w:i w:val="0"/>
      <w:iCs w:val="0"/>
      <w:smallCaps w:val="0"/>
      <w:strike w:val="0"/>
      <w:color w:val="000000"/>
      <w:spacing w:val="-10"/>
      <w:w w:val="100"/>
      <w:position w:val="0"/>
      <w:sz w:val="28"/>
      <w:szCs w:val="28"/>
      <w:u w:val="none"/>
      <w:lang w:val="es-ES" w:eastAsia="es-ES" w:bidi="es-ES"/>
    </w:rPr>
  </w:style>
  <w:style w:type="character" w:customStyle="1" w:styleId="Leyendadelaimagen3">
    <w:name w:val="Leyenda de la imagen (3)_"/>
    <w:basedOn w:val="Fuentedeprrafopredeter"/>
    <w:link w:val="Leyendadelaimagen30"/>
    <w:rPr>
      <w:rFonts w:ascii="Arial" w:eastAsia="Arial" w:hAnsi="Arial" w:cs="Arial"/>
      <w:b w:val="0"/>
      <w:bCs w:val="0"/>
      <w:i w:val="0"/>
      <w:iCs w:val="0"/>
      <w:smallCaps w:val="0"/>
      <w:strike w:val="0"/>
      <w:sz w:val="20"/>
      <w:szCs w:val="20"/>
      <w:u w:val="none"/>
    </w:rPr>
  </w:style>
  <w:style w:type="character" w:customStyle="1" w:styleId="Leyendadelaimagen31">
    <w:name w:val="Leyenda de la imagen (3)"/>
    <w:basedOn w:val="Leyendadelaimagen3"/>
    <w:rPr>
      <w:rFonts w:ascii="Arial" w:eastAsia="Arial" w:hAnsi="Arial" w:cs="Arial"/>
      <w:b w:val="0"/>
      <w:bCs w:val="0"/>
      <w:i w:val="0"/>
      <w:iCs w:val="0"/>
      <w:smallCaps w:val="0"/>
      <w:strike w:val="0"/>
      <w:color w:val="000000"/>
      <w:spacing w:val="0"/>
      <w:w w:val="100"/>
      <w:position w:val="0"/>
      <w:sz w:val="20"/>
      <w:szCs w:val="20"/>
      <w:u w:val="none"/>
      <w:lang w:val="es-ES" w:eastAsia="es-ES" w:bidi="es-ES"/>
    </w:rPr>
  </w:style>
  <w:style w:type="character" w:customStyle="1" w:styleId="Ttulo12">
    <w:name w:val="Título #1 (2)_"/>
    <w:basedOn w:val="Fuentedeprrafopredeter"/>
    <w:link w:val="Ttulo120"/>
    <w:rPr>
      <w:rFonts w:ascii="Arial" w:eastAsia="Arial" w:hAnsi="Arial" w:cs="Arial"/>
      <w:b/>
      <w:bCs/>
      <w:i/>
      <w:iCs/>
      <w:smallCaps w:val="0"/>
      <w:strike w:val="0"/>
      <w:spacing w:val="0"/>
      <w:u w:val="none"/>
    </w:rPr>
  </w:style>
  <w:style w:type="character" w:customStyle="1" w:styleId="Ttulo121">
    <w:name w:val="Título #1 (2)"/>
    <w:basedOn w:val="Ttulo12"/>
    <w:rPr>
      <w:rFonts w:ascii="Arial" w:eastAsia="Arial" w:hAnsi="Arial" w:cs="Arial"/>
      <w:b/>
      <w:bCs/>
      <w:i/>
      <w:iCs/>
      <w:smallCaps w:val="0"/>
      <w:strike w:val="0"/>
      <w:color w:val="000000"/>
      <w:spacing w:val="0"/>
      <w:w w:val="100"/>
      <w:position w:val="0"/>
      <w:sz w:val="24"/>
      <w:szCs w:val="24"/>
      <w:u w:val="none"/>
      <w:lang w:val="es-ES" w:eastAsia="es-ES" w:bidi="es-ES"/>
    </w:rPr>
  </w:style>
  <w:style w:type="character" w:customStyle="1" w:styleId="Cuerpodeltexto2">
    <w:name w:val="Cuerpo del texto (2)_"/>
    <w:basedOn w:val="Fuentedeprrafopredeter"/>
    <w:link w:val="Cuerpodeltexto20"/>
    <w:rPr>
      <w:rFonts w:ascii="Arial" w:eastAsia="Arial" w:hAnsi="Arial" w:cs="Arial"/>
      <w:b w:val="0"/>
      <w:bCs w:val="0"/>
      <w:i w:val="0"/>
      <w:iCs w:val="0"/>
      <w:smallCaps w:val="0"/>
      <w:strike w:val="0"/>
      <w:sz w:val="20"/>
      <w:szCs w:val="20"/>
      <w:u w:val="none"/>
    </w:rPr>
  </w:style>
  <w:style w:type="character" w:customStyle="1" w:styleId="Cuerpodeltexto2Negrita">
    <w:name w:val="Cuerpo del texto (2) + Negrita"/>
    <w:basedOn w:val="Cuerpodeltexto2"/>
    <w:rPr>
      <w:rFonts w:ascii="Arial" w:eastAsia="Arial" w:hAnsi="Arial" w:cs="Arial"/>
      <w:b/>
      <w:bCs/>
      <w:i w:val="0"/>
      <w:iCs w:val="0"/>
      <w:smallCaps w:val="0"/>
      <w:strike w:val="0"/>
      <w:color w:val="000000"/>
      <w:spacing w:val="0"/>
      <w:w w:val="100"/>
      <w:position w:val="0"/>
      <w:sz w:val="20"/>
      <w:szCs w:val="20"/>
      <w:u w:val="none"/>
      <w:lang w:val="es-ES" w:eastAsia="es-ES" w:bidi="es-ES"/>
    </w:rPr>
  </w:style>
  <w:style w:type="character" w:customStyle="1" w:styleId="Cuerpodeltexto21">
    <w:name w:val="Cuerpo del texto (2)"/>
    <w:basedOn w:val="Cuerpodeltexto2"/>
    <w:rPr>
      <w:rFonts w:ascii="Arial" w:eastAsia="Arial" w:hAnsi="Arial" w:cs="Arial"/>
      <w:b w:val="0"/>
      <w:bCs w:val="0"/>
      <w:i w:val="0"/>
      <w:iCs w:val="0"/>
      <w:smallCaps w:val="0"/>
      <w:strike w:val="0"/>
      <w:color w:val="000000"/>
      <w:spacing w:val="0"/>
      <w:w w:val="100"/>
      <w:position w:val="0"/>
      <w:sz w:val="20"/>
      <w:szCs w:val="20"/>
      <w:u w:val="none"/>
      <w:lang w:val="es-ES" w:eastAsia="es-ES" w:bidi="es-ES"/>
    </w:rPr>
  </w:style>
  <w:style w:type="character" w:customStyle="1" w:styleId="Cuerpodeltexto7">
    <w:name w:val="Cuerpo del texto (7)_"/>
    <w:basedOn w:val="Fuentedeprrafopredeter"/>
    <w:link w:val="Cuerpodeltexto70"/>
    <w:rPr>
      <w:rFonts w:ascii="Arial" w:eastAsia="Arial" w:hAnsi="Arial" w:cs="Arial"/>
      <w:b w:val="0"/>
      <w:bCs w:val="0"/>
      <w:i/>
      <w:iCs/>
      <w:smallCaps w:val="0"/>
      <w:strike w:val="0"/>
      <w:sz w:val="20"/>
      <w:szCs w:val="20"/>
      <w:u w:val="none"/>
    </w:rPr>
  </w:style>
  <w:style w:type="character" w:customStyle="1" w:styleId="Cuerpodeltexto71">
    <w:name w:val="Cuerpo del texto (7)"/>
    <w:basedOn w:val="Cuerpodeltexto7"/>
    <w:rPr>
      <w:rFonts w:ascii="Arial" w:eastAsia="Arial" w:hAnsi="Arial" w:cs="Arial"/>
      <w:b w:val="0"/>
      <w:bCs w:val="0"/>
      <w:i/>
      <w:iCs/>
      <w:smallCaps w:val="0"/>
      <w:strike w:val="0"/>
      <w:color w:val="000000"/>
      <w:spacing w:val="0"/>
      <w:w w:val="100"/>
      <w:position w:val="0"/>
      <w:sz w:val="20"/>
      <w:szCs w:val="20"/>
      <w:u w:val="none"/>
      <w:lang w:val="es-ES" w:eastAsia="es-ES" w:bidi="es-ES"/>
    </w:rPr>
  </w:style>
  <w:style w:type="character" w:customStyle="1" w:styleId="Cuerpodeltexto7Sincursiva">
    <w:name w:val="Cuerpo del texto (7) + Sin cursiva"/>
    <w:basedOn w:val="Cuerpodeltexto7"/>
    <w:rPr>
      <w:rFonts w:ascii="Arial" w:eastAsia="Arial" w:hAnsi="Arial" w:cs="Arial"/>
      <w:b w:val="0"/>
      <w:bCs w:val="0"/>
      <w:i/>
      <w:iCs/>
      <w:smallCaps w:val="0"/>
      <w:strike w:val="0"/>
      <w:color w:val="000000"/>
      <w:spacing w:val="0"/>
      <w:w w:val="100"/>
      <w:position w:val="0"/>
      <w:sz w:val="20"/>
      <w:szCs w:val="20"/>
      <w:u w:val="none"/>
      <w:lang w:val="es-ES" w:eastAsia="es-ES" w:bidi="es-ES"/>
    </w:rPr>
  </w:style>
  <w:style w:type="paragraph" w:customStyle="1" w:styleId="Cuerpodeltexto120">
    <w:name w:val="Cuerpo del texto (12)"/>
    <w:basedOn w:val="Normal"/>
    <w:link w:val="Cuerpodeltexto12"/>
    <w:pPr>
      <w:shd w:val="clear" w:color="auto" w:fill="FFFFFF"/>
      <w:spacing w:after="6240" w:line="355" w:lineRule="exact"/>
    </w:pPr>
    <w:rPr>
      <w:rFonts w:ascii="Arial" w:eastAsia="Arial" w:hAnsi="Arial" w:cs="Arial"/>
      <w:b/>
      <w:bCs/>
      <w:spacing w:val="-10"/>
      <w:sz w:val="32"/>
      <w:szCs w:val="32"/>
    </w:rPr>
  </w:style>
  <w:style w:type="paragraph" w:customStyle="1" w:styleId="Leyendadelaimagen30">
    <w:name w:val="Leyenda de la imagen (3)"/>
    <w:basedOn w:val="Normal"/>
    <w:link w:val="Leyendadelaimagen3"/>
    <w:pPr>
      <w:shd w:val="clear" w:color="auto" w:fill="FFFFFF"/>
      <w:spacing w:before="6240" w:after="60" w:line="0" w:lineRule="atLeast"/>
      <w:jc w:val="both"/>
    </w:pPr>
    <w:rPr>
      <w:rFonts w:ascii="Arial" w:eastAsia="Arial" w:hAnsi="Arial" w:cs="Arial"/>
      <w:sz w:val="20"/>
      <w:szCs w:val="20"/>
    </w:rPr>
  </w:style>
  <w:style w:type="paragraph" w:customStyle="1" w:styleId="Ttulo120">
    <w:name w:val="Título #1 (2)"/>
    <w:basedOn w:val="Normal"/>
    <w:link w:val="Ttulo12"/>
    <w:pPr>
      <w:shd w:val="clear" w:color="auto" w:fill="FFFFFF"/>
      <w:spacing w:before="60" w:after="300" w:line="0" w:lineRule="atLeast"/>
      <w:jc w:val="right"/>
      <w:outlineLvl w:val="0"/>
    </w:pPr>
    <w:rPr>
      <w:rFonts w:ascii="Arial" w:eastAsia="Arial" w:hAnsi="Arial" w:cs="Arial"/>
      <w:b/>
      <w:bCs/>
      <w:i/>
      <w:iCs/>
    </w:rPr>
  </w:style>
  <w:style w:type="paragraph" w:customStyle="1" w:styleId="Cuerpodeltexto20">
    <w:name w:val="Cuerpo del texto (2)"/>
    <w:basedOn w:val="Normal"/>
    <w:link w:val="Cuerpodeltexto2"/>
    <w:pPr>
      <w:shd w:val="clear" w:color="auto" w:fill="FFFFFF"/>
      <w:spacing w:before="300" w:after="180" w:line="298" w:lineRule="exact"/>
      <w:ind w:hanging="220"/>
      <w:jc w:val="both"/>
    </w:pPr>
    <w:rPr>
      <w:rFonts w:ascii="Arial" w:eastAsia="Arial" w:hAnsi="Arial" w:cs="Arial"/>
      <w:sz w:val="20"/>
      <w:szCs w:val="20"/>
    </w:rPr>
  </w:style>
  <w:style w:type="paragraph" w:customStyle="1" w:styleId="Cuerpodeltexto70">
    <w:name w:val="Cuerpo del texto (7)"/>
    <w:basedOn w:val="Normal"/>
    <w:link w:val="Cuerpodeltexto7"/>
    <w:pPr>
      <w:shd w:val="clear" w:color="auto" w:fill="FFFFFF"/>
      <w:spacing w:before="180" w:after="180" w:line="298" w:lineRule="exact"/>
      <w:jc w:val="both"/>
    </w:pPr>
    <w:rPr>
      <w:rFonts w:ascii="Arial" w:eastAsia="Arial" w:hAnsi="Arial" w:cs="Arial"/>
      <w:i/>
      <w:iCs/>
      <w:sz w:val="20"/>
      <w:szCs w:val="20"/>
    </w:rPr>
  </w:style>
  <w:style w:type="paragraph" w:styleId="Sinespaciado">
    <w:name w:val="No Spacing"/>
    <w:uiPriority w:val="1"/>
    <w:qFormat/>
    <w:rsid w:val="006E49EB"/>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5636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479</Words>
  <Characters>2638</Characters>
  <Application>Microsoft Office Word</Application>
  <DocSecurity>0</DocSecurity>
  <Lines>21</Lines>
  <Paragraphs>6</Paragraphs>
  <ScaleCrop>false</ScaleCrop>
  <Company/>
  <LinksUpToDate>false</LinksUpToDate>
  <CharactersWithSpaces>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Acuerdo OEA y CTPAT con Estados Unidos va por buen camino</dc:title>
  <dc:subject/>
  <dc:creator>Guillermo Alzate Duque</dc:creator>
  <cp:keywords/>
  <cp:lastModifiedBy>Guillermo Alzate Duque</cp:lastModifiedBy>
  <cp:revision>2</cp:revision>
  <dcterms:created xsi:type="dcterms:W3CDTF">2022-12-16T16:44:00Z</dcterms:created>
  <dcterms:modified xsi:type="dcterms:W3CDTF">2022-12-16T16:44:00Z</dcterms:modified>
</cp:coreProperties>
</file>