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A1C1" w14:textId="77777777" w:rsidR="00897950" w:rsidRDefault="00897950" w:rsidP="0014339A">
      <w:pPr>
        <w:shd w:val="clear" w:color="auto" w:fill="FFFFFF"/>
        <w:tabs>
          <w:tab w:val="num" w:pos="720"/>
        </w:tabs>
        <w:spacing w:before="100" w:beforeAutospacing="1" w:after="100" w:afterAutospacing="1"/>
        <w:ind w:left="360"/>
      </w:pPr>
    </w:p>
    <w:p w14:paraId="70C2D8B0" w14:textId="77777777" w:rsidR="00897950" w:rsidRDefault="00897950" w:rsidP="0014339A">
      <w:pPr>
        <w:shd w:val="clear" w:color="auto" w:fill="FFFFFF"/>
        <w:spacing w:before="100" w:beforeAutospacing="1" w:after="100" w:afterAutospacing="1"/>
        <w:rPr>
          <w:rFonts w:ascii="Segoe UI" w:eastAsia="Times New Roman" w:hAnsi="Segoe UI" w:cs="Segoe UI"/>
          <w:color w:val="000000"/>
          <w:sz w:val="21"/>
          <w:szCs w:val="21"/>
          <w:lang w:eastAsia="es-419"/>
        </w:rPr>
      </w:pPr>
    </w:p>
    <w:p w14:paraId="71B06B36" w14:textId="77777777" w:rsidR="00897950" w:rsidRPr="00897950" w:rsidRDefault="00897950" w:rsidP="0014339A">
      <w:pPr>
        <w:numPr>
          <w:ilvl w:val="0"/>
          <w:numId w:val="17"/>
        </w:numPr>
        <w:jc w:val="center"/>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 xml:space="preserve">Concepto </w:t>
      </w:r>
      <w:proofErr w:type="spellStart"/>
      <w:r w:rsidRPr="00897950">
        <w:rPr>
          <w:rFonts w:ascii="Segoe UI" w:eastAsia="Times New Roman" w:hAnsi="Segoe UI" w:cs="Segoe UI"/>
          <w:b/>
          <w:bCs/>
          <w:color w:val="000000"/>
          <w:sz w:val="21"/>
          <w:szCs w:val="21"/>
          <w:lang w:eastAsia="es-419"/>
        </w:rPr>
        <w:t>Nº</w:t>
      </w:r>
      <w:proofErr w:type="spellEnd"/>
      <w:r w:rsidRPr="00897950">
        <w:rPr>
          <w:rFonts w:ascii="Segoe UI" w:eastAsia="Times New Roman" w:hAnsi="Segoe UI" w:cs="Segoe UI"/>
          <w:b/>
          <w:bCs/>
          <w:color w:val="000000"/>
          <w:sz w:val="21"/>
          <w:szCs w:val="21"/>
          <w:lang w:eastAsia="es-419"/>
        </w:rPr>
        <w:t xml:space="preserve"> 039560</w:t>
      </w:r>
    </w:p>
    <w:p w14:paraId="180DDDDF" w14:textId="77777777" w:rsidR="00897950" w:rsidRPr="00897950" w:rsidRDefault="00897950" w:rsidP="0014339A">
      <w:pPr>
        <w:numPr>
          <w:ilvl w:val="0"/>
          <w:numId w:val="17"/>
        </w:numPr>
        <w:jc w:val="center"/>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06-09-2022</w:t>
      </w:r>
    </w:p>
    <w:p w14:paraId="6705732D" w14:textId="77777777" w:rsidR="00897950" w:rsidRPr="00897950" w:rsidRDefault="00897950" w:rsidP="0014339A">
      <w:pPr>
        <w:ind w:left="360"/>
        <w:jc w:val="center"/>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Ministerio de Hacienda y Crédito Público</w:t>
      </w:r>
    </w:p>
    <w:p w14:paraId="572063E8" w14:textId="247D8E1F" w:rsidR="00897950" w:rsidRPr="00897950" w:rsidRDefault="00897950" w:rsidP="0014339A">
      <w:pPr>
        <w:ind w:firstLine="60"/>
        <w:rPr>
          <w:rFonts w:ascii="Segoe UI" w:eastAsia="Times New Roman" w:hAnsi="Segoe UI" w:cs="Segoe UI"/>
          <w:color w:val="000000"/>
          <w:sz w:val="21"/>
          <w:szCs w:val="21"/>
          <w:lang w:eastAsia="es-419"/>
        </w:rPr>
      </w:pPr>
    </w:p>
    <w:p w14:paraId="10A59DF7" w14:textId="77777777" w:rsidR="00897950" w:rsidRPr="00897950" w:rsidRDefault="00897950" w:rsidP="0014339A">
      <w:p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3CA9C8AC"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6.2. Subdirección de Fortalecimiento Institucional Territorial</w:t>
      </w:r>
    </w:p>
    <w:p w14:paraId="58845450" w14:textId="77777777" w:rsidR="00897950" w:rsidRPr="00897950" w:rsidRDefault="00897950" w:rsidP="0014339A">
      <w:pPr>
        <w:ind w:left="360"/>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67A35521" w14:textId="77777777" w:rsidR="00897950" w:rsidRPr="00897950" w:rsidRDefault="00897950" w:rsidP="00CF3472">
      <w:pPr>
        <w:ind w:left="720"/>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Radicado:</w:t>
      </w:r>
      <w:r w:rsidRPr="00897950">
        <w:rPr>
          <w:rFonts w:ascii="Segoe UI" w:eastAsia="Times New Roman" w:hAnsi="Segoe UI" w:cs="Segoe UI"/>
          <w:color w:val="000000"/>
          <w:sz w:val="21"/>
          <w:szCs w:val="21"/>
          <w:lang w:eastAsia="es-419"/>
        </w:rPr>
        <w:t> 2-2022-039560</w:t>
      </w:r>
    </w:p>
    <w:p w14:paraId="0005CB8D" w14:textId="77777777" w:rsidR="00897950" w:rsidRPr="00897950" w:rsidRDefault="00897950" w:rsidP="00CF3472">
      <w:pPr>
        <w:ind w:left="720"/>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Bogotá D.C.,</w:t>
      </w:r>
    </w:p>
    <w:p w14:paraId="795E9DA9" w14:textId="08773D32" w:rsidR="00897950" w:rsidRPr="00897950" w:rsidRDefault="00897950" w:rsidP="00CF3472">
      <w:pPr>
        <w:ind w:left="720"/>
        <w:rPr>
          <w:rFonts w:ascii="Segoe UI" w:eastAsia="Times New Roman" w:hAnsi="Segoe UI" w:cs="Segoe UI"/>
          <w:color w:val="000000"/>
          <w:sz w:val="21"/>
          <w:szCs w:val="21"/>
          <w:lang w:eastAsia="es-419"/>
        </w:rPr>
      </w:pPr>
    </w:p>
    <w:p w14:paraId="3DD35A80" w14:textId="77777777" w:rsidR="00897950" w:rsidRPr="00897950" w:rsidRDefault="00897950" w:rsidP="00CF3472">
      <w:pPr>
        <w:ind w:left="360"/>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Radicado entrada 1-2022-071711 del 1 de septiembre de 2022</w:t>
      </w:r>
    </w:p>
    <w:p w14:paraId="7043BCBC"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No. Expediente 7160/2022/</w:t>
      </w:r>
      <w:proofErr w:type="spellStart"/>
      <w:r w:rsidRPr="00897950">
        <w:rPr>
          <w:rFonts w:ascii="Segoe UI" w:eastAsia="Times New Roman" w:hAnsi="Segoe UI" w:cs="Segoe UI"/>
          <w:color w:val="000000"/>
          <w:sz w:val="21"/>
          <w:szCs w:val="21"/>
          <w:lang w:eastAsia="es-419"/>
        </w:rPr>
        <w:t>RCO</w:t>
      </w:r>
      <w:proofErr w:type="spellEnd"/>
    </w:p>
    <w:p w14:paraId="71AC6923"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7E4A52D4"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Tema:</w:t>
      </w:r>
      <w:r w:rsidRPr="00897950">
        <w:rPr>
          <w:rFonts w:ascii="Segoe UI" w:eastAsia="Times New Roman" w:hAnsi="Segoe UI" w:cs="Segoe UI"/>
          <w:color w:val="000000"/>
          <w:sz w:val="21"/>
          <w:szCs w:val="21"/>
          <w:lang w:eastAsia="es-419"/>
        </w:rPr>
        <w:t> Procedimiento tributario y régimen sancionatorio</w:t>
      </w:r>
    </w:p>
    <w:p w14:paraId="04589D9C"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Subtema:</w:t>
      </w:r>
      <w:r w:rsidRPr="00897950">
        <w:rPr>
          <w:rFonts w:ascii="Segoe UI" w:eastAsia="Times New Roman" w:hAnsi="Segoe UI" w:cs="Segoe UI"/>
          <w:color w:val="000000"/>
          <w:sz w:val="21"/>
          <w:szCs w:val="21"/>
          <w:lang w:eastAsia="es-419"/>
        </w:rPr>
        <w:t> Generalidades</w:t>
      </w:r>
    </w:p>
    <w:p w14:paraId="56A31042"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48448A37" w14:textId="77777777" w:rsidR="00CF3472" w:rsidRDefault="00897950" w:rsidP="00CF3472">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Cordial saludo :</w:t>
      </w:r>
    </w:p>
    <w:p w14:paraId="0D2E9A78" w14:textId="25299BA3" w:rsidR="00897950" w:rsidRPr="00897950" w:rsidRDefault="00897950" w:rsidP="00CF3472">
      <w:pPr>
        <w:ind w:left="720"/>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Mediante escrito radicado en el buzón de atención al cliente de este Ministerio con el número y fecha del asunto, la Dirección de Impuestos y Aduanas Nacionales DIAN remite a esta Dirección su solicitud en la que consulta “... </w:t>
      </w:r>
      <w:r w:rsidRPr="00897950">
        <w:rPr>
          <w:rFonts w:ascii="Segoe UI" w:eastAsia="Times New Roman" w:hAnsi="Segoe UI" w:cs="Segoe UI"/>
          <w:i/>
          <w:iCs/>
          <w:color w:val="000000"/>
          <w:sz w:val="21"/>
          <w:szCs w:val="21"/>
          <w:lang w:eastAsia="es-419"/>
        </w:rPr>
        <w:t xml:space="preserve">teniendo en cuenta que el artículo 49 de la Ley 1955 de 2019 reglamentó que las multas que son impuestas en salarios mínimos se debe realizar la equivalencia en </w:t>
      </w:r>
      <w:proofErr w:type="spellStart"/>
      <w:r w:rsidRPr="00897950">
        <w:rPr>
          <w:rFonts w:ascii="Segoe UI" w:eastAsia="Times New Roman" w:hAnsi="Segoe UI" w:cs="Segoe UI"/>
          <w:i/>
          <w:iCs/>
          <w:color w:val="000000"/>
          <w:sz w:val="21"/>
          <w:szCs w:val="21"/>
          <w:lang w:eastAsia="es-419"/>
        </w:rPr>
        <w:t>UVT</w:t>
      </w:r>
      <w:proofErr w:type="spellEnd"/>
      <w:r w:rsidRPr="00897950">
        <w:rPr>
          <w:rFonts w:ascii="Segoe UI" w:eastAsia="Times New Roman" w:hAnsi="Segoe UI" w:cs="Segoe UI"/>
          <w:i/>
          <w:iCs/>
          <w:color w:val="000000"/>
          <w:sz w:val="21"/>
          <w:szCs w:val="21"/>
          <w:lang w:eastAsia="es-419"/>
        </w:rPr>
        <w:t xml:space="preserve">, ahora bien de acuerdo al artículo 31 de la Ley 769 de 2002, se sancionará a los conductores por infringir las normas de tránsito en salarios mínimos diarios. De acuerdo con lo anterior a cuantas </w:t>
      </w:r>
      <w:proofErr w:type="spellStart"/>
      <w:r w:rsidRPr="00897950">
        <w:rPr>
          <w:rFonts w:ascii="Segoe UI" w:eastAsia="Times New Roman" w:hAnsi="Segoe UI" w:cs="Segoe UI"/>
          <w:i/>
          <w:iCs/>
          <w:color w:val="000000"/>
          <w:sz w:val="21"/>
          <w:szCs w:val="21"/>
          <w:lang w:eastAsia="es-419"/>
        </w:rPr>
        <w:t>UVT</w:t>
      </w:r>
      <w:proofErr w:type="spellEnd"/>
      <w:r w:rsidRPr="00897950">
        <w:rPr>
          <w:rFonts w:ascii="Segoe UI" w:eastAsia="Times New Roman" w:hAnsi="Segoe UI" w:cs="Segoe UI"/>
          <w:i/>
          <w:iCs/>
          <w:color w:val="000000"/>
          <w:sz w:val="21"/>
          <w:szCs w:val="21"/>
          <w:lang w:eastAsia="es-419"/>
        </w:rPr>
        <w:t xml:space="preserve"> equivale una multa de 30 salarios mínimos diarios para el año 2022</w:t>
      </w:r>
      <w:r w:rsidRPr="00897950">
        <w:rPr>
          <w:rFonts w:ascii="Segoe UI" w:eastAsia="Times New Roman" w:hAnsi="Segoe UI" w:cs="Segoe UI"/>
          <w:color w:val="000000"/>
          <w:sz w:val="21"/>
          <w:szCs w:val="21"/>
          <w:lang w:eastAsia="es-419"/>
        </w:rPr>
        <w:t>”.</w:t>
      </w:r>
    </w:p>
    <w:p w14:paraId="4FE8B141"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2CE4E547"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Sea lo primero señalar que los pronunciamientos de esta Dirección se emiten en los términos y con los estrictos alcances de los artículos 14-2 y 28 del Código de Procedimiento Administrativo y de lo Contencioso Administrativo, por lo que la respuesta es general, no tiene efectos obligatorios ni vinculantes, y no compromete la responsabilidad de este Ministerio.</w:t>
      </w:r>
    </w:p>
    <w:p w14:paraId="643CA663"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05C81CC1"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Para dar respuesta a su interrogante, es necesario dar un repaso de lo normado por el artículo 49 de la Ley 1955 de 2019, así:</w:t>
      </w:r>
    </w:p>
    <w:p w14:paraId="6903C418"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5086BE76"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w:t>
      </w:r>
      <w:r w:rsidRPr="00897950">
        <w:rPr>
          <w:rFonts w:ascii="Segoe UI" w:eastAsia="Times New Roman" w:hAnsi="Segoe UI" w:cs="Segoe UI"/>
          <w:b/>
          <w:bCs/>
          <w:color w:val="000000"/>
          <w:sz w:val="21"/>
          <w:szCs w:val="21"/>
          <w:lang w:eastAsia="es-419"/>
        </w:rPr>
        <w:t>Artículo 49.</w:t>
      </w:r>
      <w:r w:rsidRPr="00897950">
        <w:rPr>
          <w:rFonts w:ascii="Segoe UI" w:eastAsia="Times New Roman" w:hAnsi="Segoe UI" w:cs="Segoe UI"/>
          <w:color w:val="000000"/>
          <w:sz w:val="21"/>
          <w:szCs w:val="21"/>
          <w:lang w:eastAsia="es-419"/>
        </w:rPr>
        <w:t xml:space="preserve"> Cálculo de valores en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A partir del 1 de enero de 2020, todos los cobros, sanciones, multas, tasas, tarifas y estampillas, actualmente denominados y establecidos con base en el salario mínimo mensual legal vigente (</w:t>
      </w:r>
      <w:proofErr w:type="spellStart"/>
      <w:r w:rsidRPr="00897950">
        <w:rPr>
          <w:rFonts w:ascii="Segoe UI" w:eastAsia="Times New Roman" w:hAnsi="Segoe UI" w:cs="Segoe UI"/>
          <w:color w:val="000000"/>
          <w:sz w:val="21"/>
          <w:szCs w:val="21"/>
          <w:lang w:eastAsia="es-419"/>
        </w:rPr>
        <w:t>smmlv</w:t>
      </w:r>
      <w:proofErr w:type="spellEnd"/>
      <w:r w:rsidRPr="00897950">
        <w:rPr>
          <w:rFonts w:ascii="Segoe UI" w:eastAsia="Times New Roman" w:hAnsi="Segoe UI" w:cs="Segoe UI"/>
          <w:color w:val="000000"/>
          <w:sz w:val="21"/>
          <w:szCs w:val="21"/>
          <w:lang w:eastAsia="es-419"/>
        </w:rPr>
        <w:t xml:space="preserve">), deberán ser calculados con base en su equivalencia en </w:t>
      </w:r>
      <w:r w:rsidRPr="00897950">
        <w:rPr>
          <w:rFonts w:ascii="Segoe UI" w:eastAsia="Times New Roman" w:hAnsi="Segoe UI" w:cs="Segoe UI"/>
          <w:color w:val="000000"/>
          <w:sz w:val="21"/>
          <w:szCs w:val="21"/>
          <w:lang w:eastAsia="es-419"/>
        </w:rPr>
        <w:lastRenderedPageBreak/>
        <w:t>términos de la Unidad de Valor Tributario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xml:space="preserve">). En adelante, las actualizaciones de estos valores también se harán con base en el valor de la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xml:space="preserve"> vigente.</w:t>
      </w:r>
    </w:p>
    <w:p w14:paraId="5C45845D"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71F3D945"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Parágrafo.</w:t>
      </w:r>
      <w:r w:rsidRPr="00897950">
        <w:rPr>
          <w:rFonts w:ascii="Segoe UI" w:eastAsia="Times New Roman" w:hAnsi="Segoe UI" w:cs="Segoe UI"/>
          <w:color w:val="000000"/>
          <w:sz w:val="21"/>
          <w:szCs w:val="21"/>
          <w:lang w:eastAsia="es-419"/>
        </w:rPr>
        <w:t xml:space="preserve"> Los cobros, sanciones, multas, tasas, tarifas y estampillas, que se encuentren ejecutoriados con anterioridad al 1 de enero de 2020 se mantendrán determinados en </w:t>
      </w:r>
      <w:proofErr w:type="spellStart"/>
      <w:r w:rsidRPr="00897950">
        <w:rPr>
          <w:rFonts w:ascii="Segoe UI" w:eastAsia="Times New Roman" w:hAnsi="Segoe UI" w:cs="Segoe UI"/>
          <w:color w:val="000000"/>
          <w:sz w:val="21"/>
          <w:szCs w:val="21"/>
          <w:lang w:eastAsia="es-419"/>
        </w:rPr>
        <w:t>smmlv</w:t>
      </w:r>
      <w:proofErr w:type="spellEnd"/>
      <w:r w:rsidRPr="00897950">
        <w:rPr>
          <w:rFonts w:ascii="Segoe UI" w:eastAsia="Times New Roman" w:hAnsi="Segoe UI" w:cs="Segoe UI"/>
          <w:color w:val="000000"/>
          <w:sz w:val="21"/>
          <w:szCs w:val="21"/>
          <w:lang w:eastAsia="es-419"/>
        </w:rPr>
        <w:t>.”</w:t>
      </w:r>
    </w:p>
    <w:p w14:paraId="32E32514"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4F12313A"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Del análisis del apartado normativo trascrito se puede colegir lo siguiente:</w:t>
      </w:r>
    </w:p>
    <w:p w14:paraId="07F76A6C"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39BA5760"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Dispone que todos los cobros, sanciones, multas, tasas, tarifas y estampillas, cuya determinación se haga teniendo como parámetro de cálculo el salario mínimo mensual legal vigente (</w:t>
      </w:r>
      <w:proofErr w:type="spellStart"/>
      <w:r w:rsidRPr="00897950">
        <w:rPr>
          <w:rFonts w:ascii="Segoe UI" w:eastAsia="Times New Roman" w:hAnsi="Segoe UI" w:cs="Segoe UI"/>
          <w:color w:val="000000"/>
          <w:sz w:val="21"/>
          <w:szCs w:val="21"/>
          <w:lang w:eastAsia="es-419"/>
        </w:rPr>
        <w:t>smmlv</w:t>
      </w:r>
      <w:proofErr w:type="spellEnd"/>
      <w:r w:rsidRPr="00897950">
        <w:rPr>
          <w:rFonts w:ascii="Segoe UI" w:eastAsia="Times New Roman" w:hAnsi="Segoe UI" w:cs="Segoe UI"/>
          <w:color w:val="000000"/>
          <w:sz w:val="21"/>
          <w:szCs w:val="21"/>
          <w:lang w:eastAsia="es-419"/>
        </w:rPr>
        <w:t>), sean calculados con base en su equivalencia en términos de la Unidad de Valor Tributario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w:t>
      </w:r>
    </w:p>
    <w:p w14:paraId="3CB6C2CF"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4A5C5D3C"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La norma no distingue el nivel de gobierno al que corresponden los conceptos a los cuales se aplica, motivo por el cual es de aplicación general indistintamente del nivel de gobierno al que correspondan, esto es municipal, departamental o nacional.</w:t>
      </w:r>
    </w:p>
    <w:p w14:paraId="54719F10"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25F0019B"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Se trata de una norma de carácter imperativo, conclusión a la que se arriba de la expresión “</w:t>
      </w:r>
      <w:r w:rsidRPr="00897950">
        <w:rPr>
          <w:rFonts w:ascii="Segoe UI" w:eastAsia="Times New Roman" w:hAnsi="Segoe UI" w:cs="Segoe UI"/>
          <w:b/>
          <w:bCs/>
          <w:i/>
          <w:iCs/>
          <w:color w:val="000000"/>
          <w:sz w:val="21"/>
          <w:szCs w:val="21"/>
          <w:u w:val="single"/>
          <w:lang w:eastAsia="es-419"/>
        </w:rPr>
        <w:t>deberán ser calculados</w:t>
      </w:r>
      <w:r w:rsidRPr="00897950">
        <w:rPr>
          <w:rFonts w:ascii="Segoe UI" w:eastAsia="Times New Roman" w:hAnsi="Segoe UI" w:cs="Segoe UI"/>
          <w:b/>
          <w:bCs/>
          <w:i/>
          <w:iCs/>
          <w:color w:val="000000"/>
          <w:sz w:val="21"/>
          <w:szCs w:val="21"/>
          <w:lang w:eastAsia="es-419"/>
        </w:rPr>
        <w:t> </w:t>
      </w:r>
      <w:r w:rsidRPr="00897950">
        <w:rPr>
          <w:rFonts w:ascii="Segoe UI" w:eastAsia="Times New Roman" w:hAnsi="Segoe UI" w:cs="Segoe UI"/>
          <w:i/>
          <w:iCs/>
          <w:color w:val="000000"/>
          <w:sz w:val="21"/>
          <w:szCs w:val="21"/>
          <w:lang w:eastAsia="es-419"/>
        </w:rPr>
        <w:t>con base en su equivalencia en términos de la Unidad de Valor Tributario (</w:t>
      </w:r>
      <w:proofErr w:type="spellStart"/>
      <w:r w:rsidRPr="00897950">
        <w:rPr>
          <w:rFonts w:ascii="Segoe UI" w:eastAsia="Times New Roman" w:hAnsi="Segoe UI" w:cs="Segoe UI"/>
          <w:i/>
          <w:iCs/>
          <w:color w:val="000000"/>
          <w:sz w:val="21"/>
          <w:szCs w:val="21"/>
          <w:lang w:eastAsia="es-419"/>
        </w:rPr>
        <w:t>UVT</w:t>
      </w:r>
      <w:proofErr w:type="spellEnd"/>
      <w:r w:rsidRPr="00897950">
        <w:rPr>
          <w:rFonts w:ascii="Segoe UI" w:eastAsia="Times New Roman" w:hAnsi="Segoe UI" w:cs="Segoe UI"/>
          <w:i/>
          <w:iCs/>
          <w:color w:val="000000"/>
          <w:sz w:val="21"/>
          <w:szCs w:val="21"/>
          <w:lang w:eastAsia="es-419"/>
        </w:rPr>
        <w:t>)”</w:t>
      </w:r>
    </w:p>
    <w:p w14:paraId="037A5428"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06FB2288"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El cálculo de los cobros, sanciones, multas, tasas, tarifas y estampillas conforme con la norma trascrita aplica por ministerio de la ley a partir del 1 ° de enero de 2020.</w:t>
      </w:r>
    </w:p>
    <w:p w14:paraId="6B685E05"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1DEBE2E0"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Toda vez que su aplicación inicia a partir del 1° de enero de 2020, la equivalencia a la que se refiere la norma tiene como parámetros los valores vigentes a dicha fecha (1 ° de enero de 2020).</w:t>
      </w:r>
    </w:p>
    <w:p w14:paraId="7D6B64FE"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1C0E5844"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En consecuencia, la equivalencia se obtendrá dividiendo el valor del salario mínimo legal mensual vigente para 2020, esto es $877.803</w:t>
      </w:r>
      <w:hyperlink r:id="rId5" w:anchor="cite_note-1" w:history="1">
        <w:r w:rsidRPr="00897950">
          <w:rPr>
            <w:rFonts w:ascii="Segoe UI" w:eastAsia="Times New Roman" w:hAnsi="Segoe UI" w:cs="Segoe UI"/>
            <w:color w:val="0645AD"/>
            <w:sz w:val="21"/>
            <w:szCs w:val="21"/>
            <w:u w:val="single"/>
            <w:vertAlign w:val="superscript"/>
            <w:lang w:eastAsia="es-419"/>
          </w:rPr>
          <w:t>1</w:t>
        </w:r>
      </w:hyperlink>
      <w:r w:rsidRPr="00897950">
        <w:rPr>
          <w:rFonts w:ascii="Segoe UI" w:eastAsia="Times New Roman" w:hAnsi="Segoe UI" w:cs="Segoe UI"/>
          <w:color w:val="000000"/>
          <w:sz w:val="21"/>
          <w:szCs w:val="21"/>
          <w:lang w:eastAsia="es-419"/>
        </w:rPr>
        <w:t>, en el valor de la Unidad de Valor Tributario vigente para 2020, esto es $35.607</w:t>
      </w:r>
      <w:hyperlink r:id="rId6" w:anchor="cite_note-2" w:history="1">
        <w:r w:rsidRPr="00897950">
          <w:rPr>
            <w:rFonts w:ascii="Segoe UI" w:eastAsia="Times New Roman" w:hAnsi="Segoe UI" w:cs="Segoe UI"/>
            <w:color w:val="0645AD"/>
            <w:sz w:val="21"/>
            <w:szCs w:val="21"/>
            <w:u w:val="single"/>
            <w:vertAlign w:val="superscript"/>
            <w:lang w:eastAsia="es-419"/>
          </w:rPr>
          <w:t>2</w:t>
        </w:r>
      </w:hyperlink>
      <w:r w:rsidRPr="00897950">
        <w:rPr>
          <w:rFonts w:ascii="Segoe UI" w:eastAsia="Times New Roman" w:hAnsi="Segoe UI" w:cs="Segoe UI"/>
          <w:color w:val="000000"/>
          <w:sz w:val="21"/>
          <w:szCs w:val="21"/>
          <w:lang w:eastAsia="es-419"/>
        </w:rPr>
        <w:t>.</w:t>
      </w:r>
    </w:p>
    <w:p w14:paraId="6D5CE312"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1F80167D"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Cuando la norma señala que “</w:t>
      </w:r>
      <w:r w:rsidRPr="00897950">
        <w:rPr>
          <w:rFonts w:ascii="Segoe UI" w:eastAsia="Times New Roman" w:hAnsi="Segoe UI" w:cs="Segoe UI"/>
          <w:i/>
          <w:iCs/>
          <w:color w:val="000000"/>
          <w:sz w:val="21"/>
          <w:szCs w:val="21"/>
          <w:lang w:eastAsia="es-419"/>
        </w:rPr>
        <w:t xml:space="preserve">En adelante, las actualizaciones de estos valores también se harán con base en el valor de la </w:t>
      </w:r>
      <w:proofErr w:type="spellStart"/>
      <w:r w:rsidRPr="00897950">
        <w:rPr>
          <w:rFonts w:ascii="Segoe UI" w:eastAsia="Times New Roman" w:hAnsi="Segoe UI" w:cs="Segoe UI"/>
          <w:i/>
          <w:iCs/>
          <w:color w:val="000000"/>
          <w:sz w:val="21"/>
          <w:szCs w:val="21"/>
          <w:lang w:eastAsia="es-419"/>
        </w:rPr>
        <w:t>UVT</w:t>
      </w:r>
      <w:proofErr w:type="spellEnd"/>
      <w:r w:rsidRPr="00897950">
        <w:rPr>
          <w:rFonts w:ascii="Segoe UI" w:eastAsia="Times New Roman" w:hAnsi="Segoe UI" w:cs="Segoe UI"/>
          <w:i/>
          <w:iCs/>
          <w:color w:val="000000"/>
          <w:sz w:val="21"/>
          <w:szCs w:val="21"/>
          <w:lang w:eastAsia="es-419"/>
        </w:rPr>
        <w:t xml:space="preserve"> vigente</w:t>
      </w:r>
      <w:r w:rsidRPr="00897950">
        <w:rPr>
          <w:rFonts w:ascii="Segoe UI" w:eastAsia="Times New Roman" w:hAnsi="Segoe UI" w:cs="Segoe UI"/>
          <w:color w:val="000000"/>
          <w:sz w:val="21"/>
          <w:szCs w:val="21"/>
          <w:lang w:eastAsia="es-419"/>
        </w:rPr>
        <w:t xml:space="preserve">”, está queriendo significar que la determinación de los cobros, sanciones, multas, tasas, tarifas y estampillas se hará con base en el valor de la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xml:space="preserve"> vigente para el momento de su determinación.</w:t>
      </w:r>
    </w:p>
    <w:p w14:paraId="0FEB7116"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565E0AE5"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xml:space="preserve">El valor de actualización de la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xml:space="preserve"> se rige por lo dispuesto en el </w:t>
      </w:r>
      <w:hyperlink r:id="rId7" w:tooltip="Estatuto Tributario CETA" w:history="1">
        <w:r w:rsidRPr="00897950">
          <w:rPr>
            <w:rFonts w:ascii="Segoe UI" w:eastAsia="Times New Roman" w:hAnsi="Segoe UI" w:cs="Segoe UI"/>
            <w:color w:val="0645AD"/>
            <w:sz w:val="21"/>
            <w:szCs w:val="21"/>
            <w:u w:val="single"/>
            <w:lang w:eastAsia="es-419"/>
          </w:rPr>
          <w:t>artículo 868</w:t>
        </w:r>
      </w:hyperlink>
      <w:r w:rsidRPr="00897950">
        <w:rPr>
          <w:rFonts w:ascii="Segoe UI" w:eastAsia="Times New Roman" w:hAnsi="Segoe UI" w:cs="Segoe UI"/>
          <w:color w:val="000000"/>
          <w:sz w:val="21"/>
          <w:szCs w:val="21"/>
          <w:lang w:eastAsia="es-419"/>
        </w:rPr>
        <w:t> del Estatuto Tributario Nacional, esto es “</w:t>
      </w:r>
      <w:r w:rsidRPr="00897950">
        <w:rPr>
          <w:rFonts w:ascii="Segoe UI" w:eastAsia="Times New Roman" w:hAnsi="Segoe UI" w:cs="Segoe UI"/>
          <w:i/>
          <w:iCs/>
          <w:color w:val="000000"/>
          <w:sz w:val="21"/>
          <w:szCs w:val="21"/>
          <w:lang w:eastAsia="es-419"/>
        </w:rPr>
        <w:t>en la variación del índice de precios al consumidor para ingresos medios, certificado por el Departamento Administrativo Nacional de Estadística, en el período comprendido entre el primero (1) de octubre del año anterior al gravable y la misma fecha del año inmediatamente anterior a este</w:t>
      </w:r>
      <w:r w:rsidRPr="00897950">
        <w:rPr>
          <w:rFonts w:ascii="Segoe UI" w:eastAsia="Times New Roman" w:hAnsi="Segoe UI" w:cs="Segoe UI"/>
          <w:color w:val="000000"/>
          <w:sz w:val="21"/>
          <w:szCs w:val="21"/>
          <w:lang w:eastAsia="es-419"/>
        </w:rPr>
        <w:t>”.</w:t>
      </w:r>
    </w:p>
    <w:p w14:paraId="70D4CBFB"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lastRenderedPageBreak/>
        <w:t> </w:t>
      </w:r>
    </w:p>
    <w:p w14:paraId="2EA23F64"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xml:space="preserve">Para efecto de la aproximación de los valores resultantes de la conversión a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deben aplicarse las reglas establecidas en el artículo 2.2.14.1.1</w:t>
      </w:r>
      <w:hyperlink r:id="rId8" w:anchor="cite_note-3" w:history="1">
        <w:r w:rsidRPr="00897950">
          <w:rPr>
            <w:rFonts w:ascii="Segoe UI" w:eastAsia="Times New Roman" w:hAnsi="Segoe UI" w:cs="Segoe UI"/>
            <w:color w:val="0645AD"/>
            <w:sz w:val="21"/>
            <w:szCs w:val="21"/>
            <w:u w:val="single"/>
            <w:vertAlign w:val="superscript"/>
            <w:lang w:eastAsia="es-419"/>
          </w:rPr>
          <w:t>3</w:t>
        </w:r>
      </w:hyperlink>
      <w:r w:rsidRPr="00897950">
        <w:rPr>
          <w:rFonts w:ascii="Segoe UI" w:eastAsia="Times New Roman" w:hAnsi="Segoe UI" w:cs="Segoe UI"/>
          <w:color w:val="000000"/>
          <w:sz w:val="21"/>
          <w:szCs w:val="21"/>
          <w:lang w:eastAsia="es-419"/>
        </w:rPr>
        <w:t> Decreto 1082 de 2015</w:t>
      </w:r>
      <w:hyperlink r:id="rId9" w:anchor="cite_note-4" w:history="1">
        <w:r w:rsidRPr="00897950">
          <w:rPr>
            <w:rFonts w:ascii="Segoe UI" w:eastAsia="Times New Roman" w:hAnsi="Segoe UI" w:cs="Segoe UI"/>
            <w:color w:val="0645AD"/>
            <w:sz w:val="21"/>
            <w:szCs w:val="21"/>
            <w:u w:val="single"/>
            <w:vertAlign w:val="superscript"/>
            <w:lang w:eastAsia="es-419"/>
          </w:rPr>
          <w:t>4</w:t>
        </w:r>
      </w:hyperlink>
      <w:r w:rsidRPr="00897950">
        <w:rPr>
          <w:rFonts w:ascii="Segoe UI" w:eastAsia="Times New Roman" w:hAnsi="Segoe UI" w:cs="Segoe UI"/>
          <w:color w:val="000000"/>
          <w:sz w:val="21"/>
          <w:szCs w:val="21"/>
          <w:lang w:eastAsia="es-419"/>
        </w:rPr>
        <w:t> para obligaciones diferentes a las tributarias y en el 2.2.14.1.2</w:t>
      </w:r>
      <w:hyperlink r:id="rId10" w:anchor="cite_note-5" w:history="1">
        <w:r w:rsidRPr="00897950">
          <w:rPr>
            <w:rFonts w:ascii="Segoe UI" w:eastAsia="Times New Roman" w:hAnsi="Segoe UI" w:cs="Segoe UI"/>
            <w:color w:val="0645AD"/>
            <w:sz w:val="21"/>
            <w:szCs w:val="21"/>
            <w:u w:val="single"/>
            <w:vertAlign w:val="superscript"/>
            <w:lang w:eastAsia="es-419"/>
          </w:rPr>
          <w:t>5</w:t>
        </w:r>
      </w:hyperlink>
      <w:r w:rsidRPr="00897950">
        <w:rPr>
          <w:rFonts w:ascii="Segoe UI" w:eastAsia="Times New Roman" w:hAnsi="Segoe UI" w:cs="Segoe UI"/>
          <w:color w:val="000000"/>
          <w:sz w:val="21"/>
          <w:szCs w:val="21"/>
          <w:lang w:eastAsia="es-419"/>
        </w:rPr>
        <w:t> </w:t>
      </w:r>
      <w:r w:rsidRPr="00897950">
        <w:rPr>
          <w:rFonts w:ascii="Segoe UI" w:eastAsia="Times New Roman" w:hAnsi="Segoe UI" w:cs="Segoe UI"/>
          <w:i/>
          <w:iCs/>
          <w:color w:val="000000"/>
          <w:sz w:val="21"/>
          <w:szCs w:val="21"/>
          <w:lang w:eastAsia="es-419"/>
        </w:rPr>
        <w:t>ibidem</w:t>
      </w:r>
      <w:r w:rsidRPr="00897950">
        <w:rPr>
          <w:rFonts w:ascii="Segoe UI" w:eastAsia="Times New Roman" w:hAnsi="Segoe UI" w:cs="Segoe UI"/>
          <w:color w:val="000000"/>
          <w:sz w:val="21"/>
          <w:szCs w:val="21"/>
          <w:lang w:eastAsia="es-419"/>
        </w:rPr>
        <w:t> para obligaciones tributarias.</w:t>
      </w:r>
    </w:p>
    <w:p w14:paraId="2166A5B0"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79EF19EA" w14:textId="77777777" w:rsidR="00897950" w:rsidRP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Aquellos cobros, sanciones, multas, tasas, tarifas y estampillas que hayan sido determinados con base en el salario mínimo mensual legal vigente, mediante actos en firme y debidamente ejecutoriados antes del 1° de enero de 2020, no serán objeto de la aplicación de la norma </w:t>
      </w:r>
      <w:r w:rsidRPr="00897950">
        <w:rPr>
          <w:rFonts w:ascii="Segoe UI" w:eastAsia="Times New Roman" w:hAnsi="Segoe UI" w:cs="Segoe UI"/>
          <w:i/>
          <w:iCs/>
          <w:color w:val="000000"/>
          <w:sz w:val="21"/>
          <w:szCs w:val="21"/>
          <w:lang w:eastAsia="es-419"/>
        </w:rPr>
        <w:t>sub examine</w:t>
      </w:r>
      <w:r w:rsidRPr="00897950">
        <w:rPr>
          <w:rFonts w:ascii="Segoe UI" w:eastAsia="Times New Roman" w:hAnsi="Segoe UI" w:cs="Segoe UI"/>
          <w:color w:val="000000"/>
          <w:sz w:val="21"/>
          <w:szCs w:val="21"/>
          <w:lang w:eastAsia="es-419"/>
        </w:rPr>
        <w:t>.</w:t>
      </w:r>
    </w:p>
    <w:p w14:paraId="64C22310" w14:textId="77777777" w:rsidR="00897950" w:rsidRPr="00897950" w:rsidRDefault="00897950" w:rsidP="0014339A">
      <w:pPr>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w:t>
      </w:r>
    </w:p>
    <w:p w14:paraId="285808D8" w14:textId="442CDA74" w:rsidR="00897950" w:rsidRDefault="00897950"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A partir de la precisión efectuada en el parágrafo de la norma trascrita </w:t>
      </w:r>
      <w:r w:rsidRPr="00897950">
        <w:rPr>
          <w:rFonts w:ascii="Segoe UI" w:eastAsia="Times New Roman" w:hAnsi="Segoe UI" w:cs="Segoe UI"/>
          <w:i/>
          <w:iCs/>
          <w:color w:val="000000"/>
          <w:sz w:val="21"/>
          <w:szCs w:val="21"/>
          <w:lang w:eastAsia="es-419"/>
        </w:rPr>
        <w:t>supra</w:t>
      </w:r>
      <w:r w:rsidRPr="00897950">
        <w:rPr>
          <w:rFonts w:ascii="Segoe UI" w:eastAsia="Times New Roman" w:hAnsi="Segoe UI" w:cs="Segoe UI"/>
          <w:color w:val="000000"/>
          <w:sz w:val="21"/>
          <w:szCs w:val="21"/>
          <w:lang w:eastAsia="es-419"/>
        </w:rPr>
        <w:t>, válido se hace colegir que el legislador estableció la aplicación retrospectiva de la norma, la cual, en palabras de la Corte Constitucional “</w:t>
      </w:r>
      <w:r w:rsidRPr="00897950">
        <w:rPr>
          <w:rFonts w:ascii="Segoe UI" w:eastAsia="Times New Roman" w:hAnsi="Segoe UI" w:cs="Segoe UI"/>
          <w:i/>
          <w:iCs/>
          <w:color w:val="000000"/>
          <w:sz w:val="21"/>
          <w:szCs w:val="21"/>
          <w:lang w:eastAsia="es-419"/>
        </w:rPr>
        <w:t>comporta la posibilidad de afectar situaciones fácticas y jurídicas que se han originado con anterioridad a su vigencia, pero que aún no han finalizado al momento de entrar a regir la nueva norma, por encontrarse en curso la aludida situación jurídica</w:t>
      </w:r>
      <w:r w:rsidRPr="00897950">
        <w:rPr>
          <w:rFonts w:ascii="Segoe UI" w:eastAsia="Times New Roman" w:hAnsi="Segoe UI" w:cs="Segoe UI"/>
          <w:color w:val="000000"/>
          <w:sz w:val="21"/>
          <w:szCs w:val="21"/>
          <w:lang w:eastAsia="es-419"/>
        </w:rPr>
        <w:t>”</w:t>
      </w:r>
      <w:r w:rsidRPr="00897950">
        <w:rPr>
          <w:rFonts w:ascii="Segoe UI" w:eastAsia="Times New Roman" w:hAnsi="Segoe UI" w:cs="Segoe UI"/>
          <w:i/>
          <w:iCs/>
          <w:color w:val="000000"/>
          <w:sz w:val="21"/>
          <w:szCs w:val="21"/>
          <w:lang w:eastAsia="es-419"/>
        </w:rPr>
        <w:t>6</w:t>
      </w:r>
      <w:r w:rsidRPr="00897950">
        <w:rPr>
          <w:rFonts w:ascii="Segoe UI" w:eastAsia="Times New Roman" w:hAnsi="Segoe UI" w:cs="Segoe UI"/>
          <w:color w:val="000000"/>
          <w:sz w:val="21"/>
          <w:szCs w:val="21"/>
          <w:lang w:eastAsia="es-419"/>
        </w:rPr>
        <w:t>.</w:t>
      </w:r>
    </w:p>
    <w:p w14:paraId="07C55FE6" w14:textId="77777777" w:rsidR="0014339A" w:rsidRPr="0014339A" w:rsidRDefault="0014339A" w:rsidP="0014339A">
      <w:pPr>
        <w:numPr>
          <w:ilvl w:val="0"/>
          <w:numId w:val="17"/>
        </w:numPr>
        <w:spacing w:before="100" w:beforeAutospacing="1" w:after="100" w:afterAutospacing="1"/>
        <w:rPr>
          <w:rFonts w:ascii="Segoe UI" w:eastAsia="Times New Roman" w:hAnsi="Segoe UI" w:cs="Segoe UI"/>
          <w:color w:val="000000"/>
          <w:sz w:val="21"/>
          <w:szCs w:val="21"/>
          <w:lang w:eastAsia="es-419"/>
        </w:rPr>
      </w:pPr>
    </w:p>
    <w:p w14:paraId="7DCA987D"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En ese contexto, aquellos cobros, sanciones, multas, tasas, tarifas y estampillas denominados y establecidos con base en el salario mínimo mensual legal vigente, cuyo proceso de determinación estuviere en curso a 1° de enero de 2020, serán objeto de aplicación de la forma de cálculo establecida en la norma, de manera que corresponderá a la respectiva autoridad efectuar los ajustes</w:t>
      </w:r>
    </w:p>
    <w:p w14:paraId="6048FD34"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que correspondan.</w:t>
      </w:r>
    </w:p>
    <w:p w14:paraId="6B268F3A" w14:textId="6CEC2304" w:rsidR="00897950" w:rsidRPr="00897950" w:rsidRDefault="00897950" w:rsidP="0014339A">
      <w:pPr>
        <w:ind w:firstLine="60"/>
        <w:rPr>
          <w:rFonts w:ascii="Segoe UI" w:eastAsia="Times New Roman" w:hAnsi="Segoe UI" w:cs="Segoe UI"/>
          <w:color w:val="000000"/>
          <w:sz w:val="21"/>
          <w:szCs w:val="21"/>
          <w:lang w:eastAsia="es-419"/>
        </w:rPr>
      </w:pPr>
    </w:p>
    <w:p w14:paraId="41518E05"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En este contexto, toda vez que la equivalencia, según se vio, debe hacerse con los valores vigentes a la fecha de vigencia de la norma, esto es 2020, tendríamos lo siguiente:</w:t>
      </w:r>
    </w:p>
    <w:p w14:paraId="70C229A9" w14:textId="1636BE38" w:rsidR="00897950" w:rsidRPr="00897950" w:rsidRDefault="00897950" w:rsidP="0014339A">
      <w:pPr>
        <w:ind w:firstLine="60"/>
        <w:rPr>
          <w:rFonts w:ascii="Segoe UI" w:eastAsia="Times New Roman" w:hAnsi="Segoe UI" w:cs="Segoe UI"/>
          <w:color w:val="000000"/>
          <w:sz w:val="21"/>
          <w:szCs w:val="21"/>
          <w:lang w:eastAsia="es-419"/>
        </w:rPr>
      </w:pPr>
    </w:p>
    <w:tbl>
      <w:tblPr>
        <w:tblW w:w="0" w:type="auto"/>
        <w:tblInd w:w="704"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768"/>
        <w:gridCol w:w="1655"/>
        <w:gridCol w:w="2206"/>
        <w:gridCol w:w="1417"/>
        <w:gridCol w:w="2218"/>
      </w:tblGrid>
      <w:tr w:rsidR="00CF3472" w:rsidRPr="00897950" w14:paraId="2E8FD209" w14:textId="77777777" w:rsidTr="00A22C23">
        <w:tc>
          <w:tcPr>
            <w:tcW w:w="1064"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63C51C0C"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b/>
                <w:bCs/>
                <w:sz w:val="21"/>
                <w:szCs w:val="21"/>
                <w:lang w:eastAsia="es-419"/>
              </w:rPr>
              <w:t>SMLMV 2020</w:t>
            </w:r>
          </w:p>
        </w:tc>
        <w:tc>
          <w:tcPr>
            <w:tcW w:w="1655"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1BD1E8AE"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proofErr w:type="spellStart"/>
            <w:r w:rsidRPr="00897950">
              <w:rPr>
                <w:rFonts w:ascii="Segoe UI" w:eastAsia="Times New Roman" w:hAnsi="Segoe UI" w:cs="Segoe UI"/>
                <w:b/>
                <w:bCs/>
                <w:sz w:val="21"/>
                <w:szCs w:val="21"/>
                <w:lang w:eastAsia="es-419"/>
              </w:rPr>
              <w:t>UVT</w:t>
            </w:r>
            <w:proofErr w:type="spellEnd"/>
            <w:r w:rsidRPr="00897950">
              <w:rPr>
                <w:rFonts w:ascii="Segoe UI" w:eastAsia="Times New Roman" w:hAnsi="Segoe UI" w:cs="Segoe UI"/>
                <w:b/>
                <w:bCs/>
                <w:sz w:val="21"/>
                <w:szCs w:val="21"/>
                <w:lang w:eastAsia="es-419"/>
              </w:rPr>
              <w:t xml:space="preserve"> 2020</w:t>
            </w:r>
          </w:p>
        </w:tc>
        <w:tc>
          <w:tcPr>
            <w:tcW w:w="2206"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5ED81966"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b/>
                <w:bCs/>
                <w:sz w:val="21"/>
                <w:szCs w:val="21"/>
                <w:lang w:eastAsia="es-419"/>
              </w:rPr>
              <w:t>SMLMV/</w:t>
            </w:r>
            <w:proofErr w:type="spellStart"/>
            <w:r w:rsidRPr="00897950">
              <w:rPr>
                <w:rFonts w:ascii="Segoe UI" w:eastAsia="Times New Roman" w:hAnsi="Segoe UI" w:cs="Segoe UI"/>
                <w:b/>
                <w:bCs/>
                <w:sz w:val="21"/>
                <w:szCs w:val="21"/>
                <w:lang w:eastAsia="es-419"/>
              </w:rPr>
              <w:t>UVT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2353551E"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proofErr w:type="spellStart"/>
            <w:r w:rsidRPr="00897950">
              <w:rPr>
                <w:rFonts w:ascii="Segoe UI" w:eastAsia="Times New Roman" w:hAnsi="Segoe UI" w:cs="Segoe UI"/>
                <w:b/>
                <w:bCs/>
                <w:sz w:val="21"/>
                <w:szCs w:val="21"/>
                <w:lang w:eastAsia="es-419"/>
              </w:rPr>
              <w:t>DIAS</w:t>
            </w:r>
            <w:proofErr w:type="spellEnd"/>
            <w:r w:rsidRPr="00897950">
              <w:rPr>
                <w:rFonts w:ascii="Segoe UI" w:eastAsia="Times New Roman" w:hAnsi="Segoe UI" w:cs="Segoe UI"/>
                <w:b/>
                <w:bCs/>
                <w:sz w:val="21"/>
                <w:szCs w:val="21"/>
                <w:lang w:eastAsia="es-419"/>
              </w:rPr>
              <w:t xml:space="preserve"> MES</w:t>
            </w:r>
          </w:p>
        </w:tc>
        <w:tc>
          <w:tcPr>
            <w:tcW w:w="2730"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4EF52B6D"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proofErr w:type="spellStart"/>
            <w:r w:rsidRPr="00897950">
              <w:rPr>
                <w:rFonts w:ascii="Segoe UI" w:eastAsia="Times New Roman" w:hAnsi="Segoe UI" w:cs="Segoe UI"/>
                <w:b/>
                <w:bCs/>
                <w:sz w:val="21"/>
                <w:szCs w:val="21"/>
                <w:lang w:eastAsia="es-419"/>
              </w:rPr>
              <w:t>UVT</w:t>
            </w:r>
            <w:proofErr w:type="spellEnd"/>
            <w:r w:rsidRPr="00897950">
              <w:rPr>
                <w:rFonts w:ascii="Segoe UI" w:eastAsia="Times New Roman" w:hAnsi="Segoe UI" w:cs="Segoe UI"/>
                <w:b/>
                <w:bCs/>
                <w:sz w:val="21"/>
                <w:szCs w:val="21"/>
                <w:lang w:eastAsia="es-419"/>
              </w:rPr>
              <w:t>/DIA</w:t>
            </w:r>
          </w:p>
        </w:tc>
      </w:tr>
      <w:tr w:rsidR="00897950" w:rsidRPr="00897950" w14:paraId="23AD3899" w14:textId="77777777" w:rsidTr="00A22C23">
        <w:tc>
          <w:tcPr>
            <w:tcW w:w="106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E796A26"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$877.803</w:t>
            </w:r>
          </w:p>
        </w:tc>
        <w:tc>
          <w:tcPr>
            <w:tcW w:w="16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2EA2D8F"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$35.607</w:t>
            </w:r>
          </w:p>
        </w:tc>
        <w:tc>
          <w:tcPr>
            <w:tcW w:w="220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E2CD86"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24,65</w:t>
            </w:r>
          </w:p>
        </w:tc>
        <w:tc>
          <w:tcPr>
            <w:tcW w:w="141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3F349D9"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30</w:t>
            </w:r>
          </w:p>
        </w:tc>
        <w:tc>
          <w:tcPr>
            <w:tcW w:w="273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764DE33"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0,822</w:t>
            </w:r>
          </w:p>
        </w:tc>
      </w:tr>
    </w:tbl>
    <w:p w14:paraId="476118E7" w14:textId="474DD874" w:rsidR="00897950" w:rsidRPr="00897950" w:rsidRDefault="00897950" w:rsidP="0014339A">
      <w:pPr>
        <w:ind w:firstLine="60"/>
        <w:rPr>
          <w:rFonts w:ascii="Segoe UI" w:eastAsia="Times New Roman" w:hAnsi="Segoe UI" w:cs="Segoe UI"/>
          <w:color w:val="000000"/>
          <w:sz w:val="21"/>
          <w:szCs w:val="21"/>
          <w:lang w:eastAsia="es-419"/>
        </w:rPr>
      </w:pPr>
    </w:p>
    <w:p w14:paraId="73052F28" w14:textId="1075AC0A" w:rsidR="00897950" w:rsidRPr="00897950" w:rsidRDefault="00897950" w:rsidP="0014339A">
      <w:pPr>
        <w:ind w:firstLine="60"/>
        <w:rPr>
          <w:rFonts w:ascii="Segoe UI" w:eastAsia="Times New Roman" w:hAnsi="Segoe UI" w:cs="Segoe UI"/>
          <w:color w:val="000000"/>
          <w:sz w:val="21"/>
          <w:szCs w:val="21"/>
          <w:lang w:eastAsia="es-419"/>
        </w:rPr>
      </w:pPr>
    </w:p>
    <w:p w14:paraId="28EEF82F"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 xml:space="preserve">Así, para efectos del cálculo de los conceptos establecidos en salarios mínimos, se tomará como parámetro para su conversión a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xml:space="preserve">, lo correspondiente a 0,822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xml:space="preserve">, valor que se multiplicará por el número de salarios diarios que correspondan al concepto a convertir, y el resultado se multiplicará por el valor de la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xml:space="preserve"> vigente para la fecha de determinación del valor del respectivo concepto, y el valor resultante se aproximará en los términos señalados en los citados artículos 2.2.14.1.1 y 2.2.14.1.1 del Decreto 1082 de 2015.</w:t>
      </w:r>
    </w:p>
    <w:p w14:paraId="72B3F737" w14:textId="785CFB62" w:rsidR="00897950" w:rsidRPr="00897950" w:rsidRDefault="00897950" w:rsidP="0014339A">
      <w:pPr>
        <w:ind w:firstLine="60"/>
        <w:rPr>
          <w:rFonts w:ascii="Segoe UI" w:eastAsia="Times New Roman" w:hAnsi="Segoe UI" w:cs="Segoe UI"/>
          <w:color w:val="000000"/>
          <w:sz w:val="21"/>
          <w:szCs w:val="21"/>
          <w:lang w:eastAsia="es-419"/>
        </w:rPr>
      </w:pPr>
    </w:p>
    <w:p w14:paraId="7D1FF881"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A guisa de ejemplo tomemos la multa de tránsito de 30 salarios mínimos diarios impuesta en 2022, señalada en su escrito de consulta:</w:t>
      </w:r>
    </w:p>
    <w:p w14:paraId="4E8D730F" w14:textId="4978F088" w:rsidR="00897950" w:rsidRPr="00897950" w:rsidRDefault="00897950" w:rsidP="0014339A">
      <w:pPr>
        <w:ind w:firstLine="60"/>
        <w:rPr>
          <w:rFonts w:ascii="Segoe UI" w:eastAsia="Times New Roman" w:hAnsi="Segoe UI" w:cs="Segoe UI"/>
          <w:color w:val="000000"/>
          <w:sz w:val="21"/>
          <w:szCs w:val="21"/>
          <w:lang w:eastAsia="es-419"/>
        </w:rPr>
      </w:pP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446"/>
        <w:gridCol w:w="1808"/>
        <w:gridCol w:w="1674"/>
        <w:gridCol w:w="1837"/>
        <w:gridCol w:w="2203"/>
      </w:tblGrid>
      <w:tr w:rsidR="00CF3472" w:rsidRPr="00897950" w14:paraId="34F7E52B" w14:textId="77777777" w:rsidTr="00897950">
        <w:tc>
          <w:tcPr>
            <w:tcW w:w="2785"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2383EC94"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b/>
                <w:bCs/>
                <w:sz w:val="21"/>
                <w:szCs w:val="21"/>
                <w:lang w:eastAsia="es-419"/>
              </w:rPr>
              <w:lastRenderedPageBreak/>
              <w:t>SALARIOS DIARIOS MULTA</w:t>
            </w:r>
          </w:p>
        </w:tc>
        <w:tc>
          <w:tcPr>
            <w:tcW w:w="1052"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1717B359"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proofErr w:type="spellStart"/>
            <w:r w:rsidRPr="00897950">
              <w:rPr>
                <w:rFonts w:ascii="Segoe UI" w:eastAsia="Times New Roman" w:hAnsi="Segoe UI" w:cs="Segoe UI"/>
                <w:b/>
                <w:bCs/>
                <w:sz w:val="21"/>
                <w:szCs w:val="21"/>
                <w:lang w:eastAsia="es-419"/>
              </w:rPr>
              <w:t>UVT</w:t>
            </w:r>
            <w:proofErr w:type="spellEnd"/>
            <w:r w:rsidRPr="00897950">
              <w:rPr>
                <w:rFonts w:ascii="Segoe UI" w:eastAsia="Times New Roman" w:hAnsi="Segoe UI" w:cs="Segoe UI"/>
                <w:b/>
                <w:bCs/>
                <w:sz w:val="21"/>
                <w:szCs w:val="21"/>
                <w:lang w:eastAsia="es-419"/>
              </w:rPr>
              <w:t>/DIA</w:t>
            </w:r>
          </w:p>
        </w:tc>
        <w:tc>
          <w:tcPr>
            <w:tcW w:w="1683"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03481F0C"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b/>
                <w:bCs/>
                <w:sz w:val="21"/>
                <w:szCs w:val="21"/>
                <w:lang w:eastAsia="es-419"/>
              </w:rPr>
              <w:t xml:space="preserve">MULTA EN </w:t>
            </w:r>
            <w:proofErr w:type="spellStart"/>
            <w:r w:rsidRPr="00897950">
              <w:rPr>
                <w:rFonts w:ascii="Segoe UI" w:eastAsia="Times New Roman" w:hAnsi="Segoe UI" w:cs="Segoe UI"/>
                <w:b/>
                <w:bCs/>
                <w:sz w:val="21"/>
                <w:szCs w:val="21"/>
                <w:lang w:eastAsia="es-419"/>
              </w:rPr>
              <w:t>UVT</w:t>
            </w:r>
            <w:proofErr w:type="spellEnd"/>
          </w:p>
        </w:tc>
        <w:tc>
          <w:tcPr>
            <w:tcW w:w="1956"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00DBCE4E"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b/>
                <w:bCs/>
                <w:sz w:val="21"/>
                <w:szCs w:val="21"/>
                <w:lang w:eastAsia="es-419"/>
              </w:rPr>
              <w:t xml:space="preserve">VALOR </w:t>
            </w:r>
            <w:proofErr w:type="spellStart"/>
            <w:r w:rsidRPr="00897950">
              <w:rPr>
                <w:rFonts w:ascii="Segoe UI" w:eastAsia="Times New Roman" w:hAnsi="Segoe UI" w:cs="Segoe UI"/>
                <w:b/>
                <w:bCs/>
                <w:sz w:val="21"/>
                <w:szCs w:val="21"/>
                <w:lang w:eastAsia="es-419"/>
              </w:rPr>
              <w:t>UVT</w:t>
            </w:r>
            <w:proofErr w:type="spellEnd"/>
            <w:r w:rsidRPr="00897950">
              <w:rPr>
                <w:rFonts w:ascii="Segoe UI" w:eastAsia="Times New Roman" w:hAnsi="Segoe UI" w:cs="Segoe UI"/>
                <w:b/>
                <w:bCs/>
                <w:sz w:val="21"/>
                <w:szCs w:val="21"/>
                <w:lang w:eastAsia="es-419"/>
              </w:rPr>
              <w:t xml:space="preserve"> 20227</w:t>
            </w:r>
          </w:p>
        </w:tc>
        <w:tc>
          <w:tcPr>
            <w:tcW w:w="2310" w:type="dxa"/>
            <w:tcBorders>
              <w:top w:val="single" w:sz="4" w:space="0" w:color="000000"/>
              <w:left w:val="single" w:sz="4" w:space="0" w:color="000000"/>
              <w:bottom w:val="single" w:sz="4" w:space="0" w:color="000000"/>
              <w:right w:val="single" w:sz="4" w:space="0" w:color="000000"/>
            </w:tcBorders>
            <w:shd w:val="clear" w:color="auto" w:fill="DEEBF7"/>
            <w:tcMar>
              <w:top w:w="0" w:type="dxa"/>
              <w:left w:w="105" w:type="dxa"/>
              <w:bottom w:w="0" w:type="dxa"/>
              <w:right w:w="105" w:type="dxa"/>
            </w:tcMar>
            <w:vAlign w:val="center"/>
            <w:hideMark/>
          </w:tcPr>
          <w:p w14:paraId="0B8629A2"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b/>
                <w:bCs/>
                <w:sz w:val="21"/>
                <w:szCs w:val="21"/>
                <w:lang w:eastAsia="es-419"/>
              </w:rPr>
              <w:t>VALOR TOTAL MULTA</w:t>
            </w:r>
          </w:p>
        </w:tc>
      </w:tr>
      <w:tr w:rsidR="00897950" w:rsidRPr="00897950" w14:paraId="399ED35F" w14:textId="77777777" w:rsidTr="00897950">
        <w:tc>
          <w:tcPr>
            <w:tcW w:w="27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1F679D"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30</w:t>
            </w:r>
          </w:p>
        </w:tc>
        <w:tc>
          <w:tcPr>
            <w:tcW w:w="105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0D6B88B"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0,822</w:t>
            </w:r>
          </w:p>
        </w:tc>
        <w:tc>
          <w:tcPr>
            <w:tcW w:w="168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872836B"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24,66</w:t>
            </w:r>
          </w:p>
        </w:tc>
        <w:tc>
          <w:tcPr>
            <w:tcW w:w="19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C2847F6"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$38.004</w:t>
            </w:r>
          </w:p>
        </w:tc>
        <w:tc>
          <w:tcPr>
            <w:tcW w:w="23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05D62AA" w14:textId="77777777" w:rsidR="00897950" w:rsidRPr="00897950" w:rsidRDefault="00897950" w:rsidP="0014339A">
            <w:pPr>
              <w:pStyle w:val="Prrafodelista"/>
              <w:numPr>
                <w:ilvl w:val="0"/>
                <w:numId w:val="17"/>
              </w:numPr>
              <w:jc w:val="center"/>
              <w:rPr>
                <w:rFonts w:ascii="Segoe UI" w:eastAsia="Times New Roman" w:hAnsi="Segoe UI" w:cs="Segoe UI"/>
                <w:sz w:val="21"/>
                <w:szCs w:val="21"/>
                <w:lang w:eastAsia="es-419"/>
              </w:rPr>
            </w:pPr>
            <w:r w:rsidRPr="00897950">
              <w:rPr>
                <w:rFonts w:ascii="Segoe UI" w:eastAsia="Times New Roman" w:hAnsi="Segoe UI" w:cs="Segoe UI"/>
                <w:sz w:val="21"/>
                <w:szCs w:val="21"/>
                <w:lang w:eastAsia="es-419"/>
              </w:rPr>
              <w:t>$937.178,64</w:t>
            </w:r>
          </w:p>
        </w:tc>
      </w:tr>
    </w:tbl>
    <w:p w14:paraId="1D1FC585" w14:textId="648DC8EC" w:rsidR="00897950" w:rsidRPr="00897950" w:rsidRDefault="00897950" w:rsidP="0014339A">
      <w:pPr>
        <w:ind w:firstLine="60"/>
        <w:rPr>
          <w:rFonts w:ascii="Segoe UI" w:eastAsia="Times New Roman" w:hAnsi="Segoe UI" w:cs="Segoe UI"/>
          <w:color w:val="000000"/>
          <w:sz w:val="21"/>
          <w:szCs w:val="21"/>
          <w:lang w:eastAsia="es-419"/>
        </w:rPr>
      </w:pPr>
    </w:p>
    <w:p w14:paraId="66E94945" w14:textId="2E61FE5F" w:rsidR="00897950" w:rsidRPr="00897950" w:rsidRDefault="00897950" w:rsidP="0014339A">
      <w:pPr>
        <w:ind w:firstLine="60"/>
        <w:rPr>
          <w:rFonts w:ascii="Segoe UI" w:eastAsia="Times New Roman" w:hAnsi="Segoe UI" w:cs="Segoe UI"/>
          <w:color w:val="000000"/>
          <w:sz w:val="21"/>
          <w:szCs w:val="21"/>
          <w:lang w:eastAsia="es-419"/>
        </w:rPr>
      </w:pPr>
    </w:p>
    <w:p w14:paraId="1EACC09F"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Cordialmente</w:t>
      </w:r>
    </w:p>
    <w:p w14:paraId="64666475" w14:textId="53883817" w:rsidR="00897950" w:rsidRPr="00897950" w:rsidRDefault="00897950" w:rsidP="0014339A">
      <w:pPr>
        <w:ind w:firstLine="60"/>
        <w:rPr>
          <w:rFonts w:ascii="Segoe UI" w:eastAsia="Times New Roman" w:hAnsi="Segoe UI" w:cs="Segoe UI"/>
          <w:color w:val="000000"/>
          <w:sz w:val="21"/>
          <w:szCs w:val="21"/>
          <w:lang w:eastAsia="es-419"/>
        </w:rPr>
      </w:pPr>
    </w:p>
    <w:p w14:paraId="4728CE65" w14:textId="2BDCA7CB" w:rsidR="00897950" w:rsidRPr="00897950" w:rsidRDefault="00897950" w:rsidP="0014339A">
      <w:pPr>
        <w:ind w:firstLine="60"/>
        <w:rPr>
          <w:rFonts w:ascii="Segoe UI" w:eastAsia="Times New Roman" w:hAnsi="Segoe UI" w:cs="Segoe UI"/>
          <w:color w:val="000000"/>
          <w:sz w:val="21"/>
          <w:szCs w:val="21"/>
          <w:lang w:eastAsia="es-419"/>
        </w:rPr>
      </w:pPr>
    </w:p>
    <w:p w14:paraId="0382D622"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b/>
          <w:bCs/>
          <w:color w:val="000000"/>
          <w:sz w:val="21"/>
          <w:szCs w:val="21"/>
          <w:lang w:eastAsia="es-419"/>
        </w:rPr>
        <w:t>Claudia Helena Otálora Cristancho</w:t>
      </w:r>
    </w:p>
    <w:p w14:paraId="4D5D76DF"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Subdirectora de Fortalecimiento Institucional Territorial</w:t>
      </w:r>
    </w:p>
    <w:p w14:paraId="15A61C69" w14:textId="77777777" w:rsidR="00897950" w:rsidRPr="00897950" w:rsidRDefault="00897950" w:rsidP="0014339A">
      <w:pPr>
        <w:pStyle w:val="Prrafodelista"/>
        <w:numPr>
          <w:ilvl w:val="0"/>
          <w:numId w:val="17"/>
        </w:numPr>
        <w:rPr>
          <w:rFonts w:ascii="Segoe UI" w:eastAsia="Times New Roman" w:hAnsi="Segoe UI" w:cs="Segoe UI"/>
          <w:color w:val="000000"/>
          <w:sz w:val="21"/>
          <w:szCs w:val="21"/>
          <w:lang w:eastAsia="es-419"/>
        </w:rPr>
      </w:pPr>
      <w:r w:rsidRPr="00897950">
        <w:rPr>
          <w:rFonts w:ascii="Segoe UI" w:eastAsia="Times New Roman" w:hAnsi="Segoe UI" w:cs="Segoe UI"/>
          <w:color w:val="000000"/>
          <w:sz w:val="21"/>
          <w:szCs w:val="21"/>
          <w:lang w:eastAsia="es-419"/>
        </w:rPr>
        <w:t>Dirección General de Apoyo Fiscal</w:t>
      </w:r>
    </w:p>
    <w:p w14:paraId="209CA1FE" w14:textId="0FC6398E" w:rsidR="00897950" w:rsidRPr="00897950" w:rsidRDefault="00897950" w:rsidP="0014339A">
      <w:pPr>
        <w:ind w:firstLine="60"/>
        <w:rPr>
          <w:rFonts w:ascii="Segoe UI" w:eastAsia="Times New Roman" w:hAnsi="Segoe UI" w:cs="Segoe UI"/>
          <w:color w:val="000000"/>
          <w:sz w:val="21"/>
          <w:szCs w:val="21"/>
          <w:lang w:eastAsia="es-419"/>
        </w:rPr>
      </w:pPr>
    </w:p>
    <w:p w14:paraId="56F3934D" w14:textId="26721C2E" w:rsidR="00897950" w:rsidRPr="00897950" w:rsidRDefault="00897950" w:rsidP="0014339A">
      <w:pPr>
        <w:pStyle w:val="Prrafodelista"/>
        <w:numPr>
          <w:ilvl w:val="0"/>
          <w:numId w:val="17"/>
        </w:numPr>
        <w:spacing w:after="285"/>
        <w:outlineLvl w:val="2"/>
        <w:rPr>
          <w:rFonts w:ascii="Segoe UI" w:eastAsia="Times New Roman" w:hAnsi="Segoe UI" w:cs="Segoe UI"/>
          <w:b/>
          <w:bCs/>
          <w:color w:val="000000"/>
          <w:sz w:val="21"/>
          <w:szCs w:val="21"/>
          <w:lang w:eastAsia="es-419"/>
        </w:rPr>
      </w:pPr>
      <w:r w:rsidRPr="00897950">
        <w:rPr>
          <w:rFonts w:ascii="Segoe UI" w:eastAsia="Times New Roman" w:hAnsi="Segoe UI" w:cs="Segoe UI"/>
          <w:b/>
          <w:bCs/>
          <w:color w:val="000000"/>
          <w:sz w:val="21"/>
          <w:szCs w:val="21"/>
          <w:lang w:eastAsia="es-419"/>
        </w:rPr>
        <w:t>Notas al pie</w:t>
      </w:r>
    </w:p>
    <w:p w14:paraId="72A427C4" w14:textId="13F4907F" w:rsidR="00897950" w:rsidRPr="00897950" w:rsidRDefault="00897950" w:rsidP="0014339A">
      <w:pPr>
        <w:numPr>
          <w:ilvl w:val="0"/>
          <w:numId w:val="17"/>
        </w:numPr>
        <w:shd w:val="clear" w:color="auto" w:fill="FFFFFF"/>
        <w:spacing w:before="100" w:beforeAutospacing="1" w:after="100" w:afterAutospacing="1"/>
        <w:rPr>
          <w:rFonts w:ascii="Segoe UI" w:eastAsia="Times New Roman" w:hAnsi="Segoe UI" w:cs="Segoe UI"/>
          <w:color w:val="000000"/>
          <w:sz w:val="21"/>
          <w:szCs w:val="21"/>
          <w:lang w:eastAsia="es-419"/>
        </w:rPr>
      </w:pPr>
      <w:hyperlink r:id="rId11" w:anchor="cite_ref-1" w:tooltip="Volver arriba" w:history="1">
        <w:r w:rsidRPr="00897950">
          <w:rPr>
            <w:rFonts w:ascii="Segoe UI" w:eastAsia="Times New Roman" w:hAnsi="Segoe UI" w:cs="Segoe UI"/>
            <w:color w:val="0645AD"/>
            <w:sz w:val="21"/>
            <w:szCs w:val="21"/>
            <w:u w:val="single"/>
            <w:lang w:eastAsia="es-419"/>
          </w:rPr>
          <w:t>↑</w:t>
        </w:r>
      </w:hyperlink>
      <w:r w:rsidRPr="00897950">
        <w:rPr>
          <w:rFonts w:ascii="Segoe UI" w:eastAsia="Times New Roman" w:hAnsi="Segoe UI" w:cs="Segoe UI"/>
          <w:color w:val="000000"/>
          <w:sz w:val="21"/>
          <w:szCs w:val="21"/>
          <w:lang w:eastAsia="es-419"/>
        </w:rPr>
        <w:t> De conformidad con el Decreto 2360 del 26 de diciembre de 2019</w:t>
      </w:r>
    </w:p>
    <w:p w14:paraId="1E968BAE" w14:textId="77777777" w:rsidR="00897950" w:rsidRPr="00897950" w:rsidRDefault="00897950" w:rsidP="0014339A">
      <w:pPr>
        <w:numPr>
          <w:ilvl w:val="0"/>
          <w:numId w:val="17"/>
        </w:numPr>
        <w:shd w:val="clear" w:color="auto" w:fill="FFFFFF"/>
        <w:spacing w:before="100" w:beforeAutospacing="1" w:after="100" w:afterAutospacing="1"/>
        <w:rPr>
          <w:rFonts w:ascii="Segoe UI" w:eastAsia="Times New Roman" w:hAnsi="Segoe UI" w:cs="Segoe UI"/>
          <w:color w:val="000000"/>
          <w:sz w:val="21"/>
          <w:szCs w:val="21"/>
          <w:lang w:eastAsia="es-419"/>
        </w:rPr>
      </w:pPr>
      <w:hyperlink r:id="rId12" w:anchor="cite_ref-2" w:tooltip="Volver arriba" w:history="1">
        <w:r w:rsidRPr="00897950">
          <w:rPr>
            <w:rFonts w:ascii="Segoe UI" w:eastAsia="Times New Roman" w:hAnsi="Segoe UI" w:cs="Segoe UI"/>
            <w:color w:val="0645AD"/>
            <w:sz w:val="21"/>
            <w:szCs w:val="21"/>
            <w:u w:val="single"/>
            <w:lang w:eastAsia="es-419"/>
          </w:rPr>
          <w:t>↑</w:t>
        </w:r>
      </w:hyperlink>
      <w:r w:rsidRPr="00897950">
        <w:rPr>
          <w:rFonts w:ascii="Segoe UI" w:eastAsia="Times New Roman" w:hAnsi="Segoe UI" w:cs="Segoe UI"/>
          <w:color w:val="000000"/>
          <w:sz w:val="21"/>
          <w:szCs w:val="21"/>
          <w:lang w:eastAsia="es-419"/>
        </w:rPr>
        <w:t> De conformidad con la Resolución 84 del 28 de noviembre de 2019 de la DIAN</w:t>
      </w:r>
    </w:p>
    <w:p w14:paraId="10796742" w14:textId="77777777" w:rsidR="00897950" w:rsidRPr="00897950" w:rsidRDefault="00897950" w:rsidP="0014339A">
      <w:pPr>
        <w:numPr>
          <w:ilvl w:val="0"/>
          <w:numId w:val="17"/>
        </w:numPr>
        <w:shd w:val="clear" w:color="auto" w:fill="FFFFFF"/>
        <w:spacing w:before="100" w:beforeAutospacing="1" w:after="100" w:afterAutospacing="1"/>
        <w:rPr>
          <w:rFonts w:ascii="Segoe UI" w:eastAsia="Times New Roman" w:hAnsi="Segoe UI" w:cs="Segoe UI"/>
          <w:color w:val="000000"/>
          <w:sz w:val="21"/>
          <w:szCs w:val="21"/>
          <w:lang w:eastAsia="es-419"/>
        </w:rPr>
      </w:pPr>
      <w:hyperlink r:id="rId13" w:anchor="cite_ref-3" w:tooltip="Volver arriba" w:history="1">
        <w:r w:rsidRPr="00897950">
          <w:rPr>
            <w:rFonts w:ascii="Segoe UI" w:eastAsia="Times New Roman" w:hAnsi="Segoe UI" w:cs="Segoe UI"/>
            <w:color w:val="0645AD"/>
            <w:sz w:val="21"/>
            <w:szCs w:val="21"/>
            <w:u w:val="single"/>
            <w:lang w:eastAsia="es-419"/>
          </w:rPr>
          <w:t>↑</w:t>
        </w:r>
      </w:hyperlink>
      <w:r w:rsidRPr="00897950">
        <w:rPr>
          <w:rFonts w:ascii="Segoe UI" w:eastAsia="Times New Roman" w:hAnsi="Segoe UI" w:cs="Segoe UI"/>
          <w:color w:val="000000"/>
          <w:sz w:val="21"/>
          <w:szCs w:val="21"/>
          <w:lang w:eastAsia="es-419"/>
        </w:rPr>
        <w:t xml:space="preserve"> Artículo 2.2.14.1.1. Valores expresados en Unidades de Valor Tributario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Para los efectos dispuestos en el artículo 49 de la Ley 1955 de 2019, al realizar la conversión de valores expresados en Salarios Mínimos Legales Mensuales Vigentes (SMLMV) a Unidades de Valor Tributario (</w:t>
      </w:r>
      <w:proofErr w:type="spellStart"/>
      <w:r w:rsidRPr="00897950">
        <w:rPr>
          <w:rFonts w:ascii="Segoe UI" w:eastAsia="Times New Roman" w:hAnsi="Segoe UI" w:cs="Segoe UI"/>
          <w:color w:val="000000"/>
          <w:sz w:val="21"/>
          <w:szCs w:val="21"/>
          <w:lang w:eastAsia="es-419"/>
        </w:rPr>
        <w:t>UVT</w:t>
      </w:r>
      <w:proofErr w:type="spellEnd"/>
      <w:r w:rsidRPr="00897950">
        <w:rPr>
          <w:rFonts w:ascii="Segoe UI" w:eastAsia="Times New Roman" w:hAnsi="Segoe UI" w:cs="Segoe UI"/>
          <w:color w:val="000000"/>
          <w:sz w:val="21"/>
          <w:szCs w:val="21"/>
          <w:lang w:eastAsia="es-419"/>
        </w:rPr>
        <w:t>), se empleará por una única vez el procedimiento de aproximaciones que se señala a continuación:</w:t>
      </w:r>
    </w:p>
    <w:p w14:paraId="1C7B08AD" w14:textId="77777777" w:rsidR="00897950" w:rsidRPr="00897950" w:rsidRDefault="00897950" w:rsidP="0014339A">
      <w:pPr>
        <w:numPr>
          <w:ilvl w:val="0"/>
          <w:numId w:val="17"/>
        </w:numPr>
        <w:shd w:val="clear" w:color="auto" w:fill="FFFFFF"/>
        <w:spacing w:before="100" w:beforeAutospacing="1" w:after="100" w:afterAutospacing="1"/>
        <w:rPr>
          <w:rFonts w:ascii="Segoe UI" w:eastAsia="Times New Roman" w:hAnsi="Segoe UI" w:cs="Segoe UI"/>
          <w:color w:val="000000"/>
          <w:sz w:val="21"/>
          <w:szCs w:val="21"/>
          <w:lang w:eastAsia="es-419"/>
        </w:rPr>
      </w:pPr>
      <w:hyperlink r:id="rId14" w:anchor="cite_ref-4" w:tooltip="Volver arriba" w:history="1">
        <w:r w:rsidRPr="00897950">
          <w:rPr>
            <w:rFonts w:ascii="Segoe UI" w:eastAsia="Times New Roman" w:hAnsi="Segoe UI" w:cs="Segoe UI"/>
            <w:color w:val="0645AD"/>
            <w:sz w:val="21"/>
            <w:szCs w:val="21"/>
            <w:u w:val="single"/>
            <w:lang w:eastAsia="es-419"/>
          </w:rPr>
          <w:t>↑</w:t>
        </w:r>
      </w:hyperlink>
      <w:r w:rsidRPr="00897950">
        <w:rPr>
          <w:rFonts w:ascii="Segoe UI" w:eastAsia="Times New Roman" w:hAnsi="Segoe UI" w:cs="Segoe UI"/>
          <w:color w:val="000000"/>
          <w:sz w:val="21"/>
          <w:szCs w:val="21"/>
          <w:lang w:eastAsia="es-419"/>
        </w:rPr>
        <w:t> Adicionados por el Decreto 1094 de 2020</w:t>
      </w:r>
    </w:p>
    <w:p w14:paraId="37088314" w14:textId="77777777" w:rsidR="00897950" w:rsidRPr="00897950" w:rsidRDefault="00897950" w:rsidP="0014339A">
      <w:pPr>
        <w:numPr>
          <w:ilvl w:val="0"/>
          <w:numId w:val="17"/>
        </w:numPr>
        <w:shd w:val="clear" w:color="auto" w:fill="FFFFFF"/>
        <w:spacing w:before="100" w:beforeAutospacing="1" w:after="100" w:afterAutospacing="1"/>
        <w:rPr>
          <w:rFonts w:ascii="Segoe UI" w:eastAsia="Times New Roman" w:hAnsi="Segoe UI" w:cs="Segoe UI"/>
          <w:color w:val="000000"/>
          <w:sz w:val="21"/>
          <w:szCs w:val="21"/>
          <w:lang w:eastAsia="es-419"/>
        </w:rPr>
      </w:pPr>
      <w:hyperlink r:id="rId15" w:anchor="cite_ref-5" w:tooltip="Volver arriba" w:history="1">
        <w:r w:rsidRPr="00897950">
          <w:rPr>
            <w:rFonts w:ascii="Segoe UI" w:eastAsia="Times New Roman" w:hAnsi="Segoe UI" w:cs="Segoe UI"/>
            <w:color w:val="0645AD"/>
            <w:sz w:val="21"/>
            <w:szCs w:val="21"/>
            <w:u w:val="single"/>
            <w:lang w:eastAsia="es-419"/>
          </w:rPr>
          <w:t>↑</w:t>
        </w:r>
      </w:hyperlink>
      <w:r w:rsidRPr="00897950">
        <w:rPr>
          <w:rFonts w:ascii="Segoe UI" w:eastAsia="Times New Roman" w:hAnsi="Segoe UI" w:cs="Segoe UI"/>
          <w:color w:val="000000"/>
          <w:sz w:val="21"/>
          <w:szCs w:val="21"/>
          <w:lang w:eastAsia="es-419"/>
        </w:rPr>
        <w:t> Artículo 2.2.14.1.2. Valores de obligaciones tributarlas. En lo relativo a la conversión de los valores derivados de obligaciones tributarias contenidas en las disposiciones relacionadas con impuestos administrados por la Dirección de Impuestos y Aduanas Nacionales (DIAN), se seguirán aplicando las reglas de conversión y aproximaciones contenidas en los artículos 868 y 868-1 del Estatuto Tributario."</w:t>
      </w:r>
    </w:p>
    <w:p w14:paraId="35710FCA" w14:textId="77777777" w:rsidR="002F3F02" w:rsidRDefault="002F3F02" w:rsidP="0014339A"/>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767"/>
    <w:multiLevelType w:val="hybridMultilevel"/>
    <w:tmpl w:val="CAD8402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67616E5"/>
    <w:multiLevelType w:val="multilevel"/>
    <w:tmpl w:val="E984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A5ECE"/>
    <w:multiLevelType w:val="hybridMultilevel"/>
    <w:tmpl w:val="78ACE01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1A80130"/>
    <w:multiLevelType w:val="hybridMultilevel"/>
    <w:tmpl w:val="8C88B374"/>
    <w:lvl w:ilvl="0" w:tplc="580A000D">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 w15:restartNumberingAfterBreak="0">
    <w:nsid w:val="12C07867"/>
    <w:multiLevelType w:val="multilevel"/>
    <w:tmpl w:val="C53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9F6D28"/>
    <w:multiLevelType w:val="multilevel"/>
    <w:tmpl w:val="A9F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712A8"/>
    <w:multiLevelType w:val="multilevel"/>
    <w:tmpl w:val="D972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340AD"/>
    <w:multiLevelType w:val="multilevel"/>
    <w:tmpl w:val="E8E0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95A2B"/>
    <w:multiLevelType w:val="hybridMultilevel"/>
    <w:tmpl w:val="E57EA88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0" w15:restartNumberingAfterBreak="0">
    <w:nsid w:val="20B73B16"/>
    <w:multiLevelType w:val="multilevel"/>
    <w:tmpl w:val="E9A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C3ED3"/>
    <w:multiLevelType w:val="multilevel"/>
    <w:tmpl w:val="C20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81B11"/>
    <w:multiLevelType w:val="multilevel"/>
    <w:tmpl w:val="475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66D5F"/>
    <w:multiLevelType w:val="multilevel"/>
    <w:tmpl w:val="6396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EC3FFC"/>
    <w:multiLevelType w:val="multilevel"/>
    <w:tmpl w:val="D5D6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D60805"/>
    <w:multiLevelType w:val="hybridMultilevel"/>
    <w:tmpl w:val="5CDE32C2"/>
    <w:lvl w:ilvl="0" w:tplc="5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4B7889"/>
    <w:multiLevelType w:val="multilevel"/>
    <w:tmpl w:val="034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5"/>
  </w:num>
  <w:num w:numId="2" w16cid:durableId="1804689197">
    <w:abstractNumId w:val="6"/>
  </w:num>
  <w:num w:numId="3" w16cid:durableId="1445886793">
    <w:abstractNumId w:val="11"/>
    <w:lvlOverride w:ilvl="0">
      <w:startOverride w:val="1"/>
    </w:lvlOverride>
  </w:num>
  <w:num w:numId="4" w16cid:durableId="102191587">
    <w:abstractNumId w:val="16"/>
    <w:lvlOverride w:ilvl="0">
      <w:startOverride w:val="2"/>
    </w:lvlOverride>
  </w:num>
  <w:num w:numId="5" w16cid:durableId="191192419">
    <w:abstractNumId w:val="4"/>
    <w:lvlOverride w:ilvl="0">
      <w:startOverride w:val="3"/>
    </w:lvlOverride>
  </w:num>
  <w:num w:numId="6" w16cid:durableId="1438331236">
    <w:abstractNumId w:val="12"/>
    <w:lvlOverride w:ilvl="0">
      <w:startOverride w:val="4"/>
    </w:lvlOverride>
  </w:num>
  <w:num w:numId="7" w16cid:durableId="1199855977">
    <w:abstractNumId w:val="7"/>
    <w:lvlOverride w:ilvl="0">
      <w:startOverride w:val="5"/>
    </w:lvlOverride>
  </w:num>
  <w:num w:numId="8" w16cid:durableId="704601146">
    <w:abstractNumId w:val="1"/>
    <w:lvlOverride w:ilvl="0">
      <w:startOverride w:val="1"/>
    </w:lvlOverride>
  </w:num>
  <w:num w:numId="9" w16cid:durableId="554510226">
    <w:abstractNumId w:val="8"/>
    <w:lvlOverride w:ilvl="0">
      <w:startOverride w:val="2"/>
    </w:lvlOverride>
  </w:num>
  <w:num w:numId="10" w16cid:durableId="263652689">
    <w:abstractNumId w:val="10"/>
    <w:lvlOverride w:ilvl="0">
      <w:startOverride w:val="3"/>
    </w:lvlOverride>
  </w:num>
  <w:num w:numId="11" w16cid:durableId="1678118981">
    <w:abstractNumId w:val="14"/>
    <w:lvlOverride w:ilvl="0">
      <w:startOverride w:val="4"/>
    </w:lvlOverride>
  </w:num>
  <w:num w:numId="12" w16cid:durableId="1950968623">
    <w:abstractNumId w:val="13"/>
    <w:lvlOverride w:ilvl="0">
      <w:startOverride w:val="5"/>
    </w:lvlOverride>
  </w:num>
  <w:num w:numId="13" w16cid:durableId="1482768331">
    <w:abstractNumId w:val="9"/>
  </w:num>
  <w:num w:numId="14" w16cid:durableId="1716929460">
    <w:abstractNumId w:val="2"/>
  </w:num>
  <w:num w:numId="15" w16cid:durableId="1203134887">
    <w:abstractNumId w:val="0"/>
  </w:num>
  <w:num w:numId="16" w16cid:durableId="930089367">
    <w:abstractNumId w:val="3"/>
  </w:num>
  <w:num w:numId="17" w16cid:durableId="1672677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50"/>
    <w:rsid w:val="0014339A"/>
    <w:rsid w:val="00221C65"/>
    <w:rsid w:val="002F3F02"/>
    <w:rsid w:val="004500EB"/>
    <w:rsid w:val="004A489D"/>
    <w:rsid w:val="004F1D2E"/>
    <w:rsid w:val="005173B2"/>
    <w:rsid w:val="00840411"/>
    <w:rsid w:val="00885E73"/>
    <w:rsid w:val="00897950"/>
    <w:rsid w:val="009705EC"/>
    <w:rsid w:val="00A22C23"/>
    <w:rsid w:val="00A613E5"/>
    <w:rsid w:val="00A91F78"/>
    <w:rsid w:val="00AE7AD8"/>
    <w:rsid w:val="00B21583"/>
    <w:rsid w:val="00B76269"/>
    <w:rsid w:val="00BE074B"/>
    <w:rsid w:val="00CA1F22"/>
    <w:rsid w:val="00CC19F3"/>
    <w:rsid w:val="00CC2D9A"/>
    <w:rsid w:val="00CF3472"/>
    <w:rsid w:val="00D6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21FA"/>
  <w15:chartTrackingRefBased/>
  <w15:docId w15:val="{A38BA496-86E9-4DED-9AD5-107487AA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8670">
      <w:bodyDiv w:val="1"/>
      <w:marLeft w:val="0"/>
      <w:marRight w:val="0"/>
      <w:marTop w:val="0"/>
      <w:marBottom w:val="0"/>
      <w:divBdr>
        <w:top w:val="none" w:sz="0" w:space="0" w:color="auto"/>
        <w:left w:val="none" w:sz="0" w:space="0" w:color="auto"/>
        <w:bottom w:val="none" w:sz="0" w:space="0" w:color="auto"/>
        <w:right w:val="none" w:sz="0" w:space="0" w:color="auto"/>
      </w:divBdr>
    </w:div>
    <w:div w:id="162477455">
      <w:bodyDiv w:val="1"/>
      <w:marLeft w:val="0"/>
      <w:marRight w:val="0"/>
      <w:marTop w:val="0"/>
      <w:marBottom w:val="0"/>
      <w:divBdr>
        <w:top w:val="none" w:sz="0" w:space="0" w:color="auto"/>
        <w:left w:val="none" w:sz="0" w:space="0" w:color="auto"/>
        <w:bottom w:val="none" w:sz="0" w:space="0" w:color="auto"/>
        <w:right w:val="none" w:sz="0" w:space="0" w:color="auto"/>
      </w:divBdr>
    </w:div>
    <w:div w:id="275606077">
      <w:bodyDiv w:val="1"/>
      <w:marLeft w:val="0"/>
      <w:marRight w:val="0"/>
      <w:marTop w:val="0"/>
      <w:marBottom w:val="0"/>
      <w:divBdr>
        <w:top w:val="none" w:sz="0" w:space="0" w:color="auto"/>
        <w:left w:val="none" w:sz="0" w:space="0" w:color="auto"/>
        <w:bottom w:val="none" w:sz="0" w:space="0" w:color="auto"/>
        <w:right w:val="none" w:sz="0" w:space="0" w:color="auto"/>
      </w:divBdr>
    </w:div>
    <w:div w:id="6543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45131" TargetMode="External"/><Relationship Id="rId13" Type="http://schemas.openxmlformats.org/officeDocument/2006/relationships/hyperlink" Target="https://www.ceta.org.co/html/vista_de_un_documento.asp?DocumentoID=45131" TargetMode="External"/><Relationship Id="rId3" Type="http://schemas.openxmlformats.org/officeDocument/2006/relationships/settings" Target="settings.xml"/><Relationship Id="rId7" Type="http://schemas.openxmlformats.org/officeDocument/2006/relationships/hyperlink" Target="https://www.ceta.org.co/html/vista_de_un_articulo.asp?Norma=1079" TargetMode="External"/><Relationship Id="rId12" Type="http://schemas.openxmlformats.org/officeDocument/2006/relationships/hyperlink" Target="https://www.ceta.org.co/html/vista_de_un_documento.asp?DocumentoID=451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45131" TargetMode="External"/><Relationship Id="rId11" Type="http://schemas.openxmlformats.org/officeDocument/2006/relationships/hyperlink" Target="https://www.ceta.org.co/html/vista_de_un_documento.asp?DocumentoID=45131" TargetMode="External"/><Relationship Id="rId5" Type="http://schemas.openxmlformats.org/officeDocument/2006/relationships/hyperlink" Target="https://www.ceta.org.co/html/vista_de_un_documento.asp?DocumentoID=45131" TargetMode="External"/><Relationship Id="rId15" Type="http://schemas.openxmlformats.org/officeDocument/2006/relationships/hyperlink" Target="https://www.ceta.org.co/html/vista_de_un_documento.asp?DocumentoID=45131" TargetMode="External"/><Relationship Id="rId10" Type="http://schemas.openxmlformats.org/officeDocument/2006/relationships/hyperlink" Target="https://www.ceta.org.co/html/vista_de_un_documento.asp?DocumentoID=45131"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5131" TargetMode="External"/><Relationship Id="rId14" Type="http://schemas.openxmlformats.org/officeDocument/2006/relationships/hyperlink" Target="https://www.ceta.org.co/html/vista_de_un_documento.asp?DocumentoID=451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1414</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5</cp:revision>
  <dcterms:created xsi:type="dcterms:W3CDTF">2022-11-08T21:16:00Z</dcterms:created>
  <dcterms:modified xsi:type="dcterms:W3CDTF">2022-11-09T01:23:00Z</dcterms:modified>
</cp:coreProperties>
</file>