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F132A" w14:textId="77777777" w:rsidR="007D227B" w:rsidRPr="007D227B" w:rsidRDefault="007D227B" w:rsidP="007D227B">
      <w:pPr>
        <w:spacing w:after="150" w:line="360" w:lineRule="auto"/>
        <w:jc w:val="center"/>
        <w:rPr>
          <w:rFonts w:eastAsia="Times New Roman" w:cs="Times New Roman"/>
          <w:color w:val="555555"/>
          <w:szCs w:val="24"/>
          <w:lang w:eastAsia="es-CO"/>
        </w:rPr>
      </w:pPr>
      <w:r w:rsidRPr="007D227B">
        <w:rPr>
          <w:rFonts w:eastAsia="Times New Roman" w:cs="Times New Roman"/>
          <w:b/>
          <w:bCs/>
          <w:color w:val="0000FF"/>
          <w:szCs w:val="24"/>
          <w:lang w:eastAsia="es-CO"/>
        </w:rPr>
        <w:t xml:space="preserve">OFICIO </w:t>
      </w:r>
      <w:proofErr w:type="spellStart"/>
      <w:r w:rsidRPr="007D227B">
        <w:rPr>
          <w:rFonts w:eastAsia="Times New Roman" w:cs="Times New Roman"/>
          <w:b/>
          <w:bCs/>
          <w:color w:val="0000FF"/>
          <w:szCs w:val="24"/>
          <w:lang w:eastAsia="es-CO"/>
        </w:rPr>
        <w:t>Nº</w:t>
      </w:r>
      <w:proofErr w:type="spellEnd"/>
      <w:r w:rsidRPr="007D227B">
        <w:rPr>
          <w:rFonts w:eastAsia="Times New Roman" w:cs="Times New Roman"/>
          <w:b/>
          <w:bCs/>
          <w:color w:val="0000FF"/>
          <w:szCs w:val="24"/>
          <w:lang w:eastAsia="es-CO"/>
        </w:rPr>
        <w:t xml:space="preserve"> 559 [903530]</w:t>
      </w:r>
    </w:p>
    <w:p w14:paraId="34EEEA3B" w14:textId="77777777" w:rsidR="007D227B" w:rsidRPr="007D227B" w:rsidRDefault="007D227B" w:rsidP="007D227B">
      <w:pPr>
        <w:spacing w:after="150" w:line="360" w:lineRule="auto"/>
        <w:jc w:val="center"/>
        <w:rPr>
          <w:rFonts w:eastAsia="Times New Roman" w:cs="Times New Roman"/>
          <w:color w:val="555555"/>
          <w:szCs w:val="24"/>
          <w:lang w:eastAsia="es-CO"/>
        </w:rPr>
      </w:pPr>
      <w:r w:rsidRPr="007D227B">
        <w:rPr>
          <w:rFonts w:eastAsia="Times New Roman" w:cs="Times New Roman"/>
          <w:b/>
          <w:bCs/>
          <w:color w:val="0000FF"/>
          <w:szCs w:val="24"/>
          <w:lang w:eastAsia="es-CO"/>
        </w:rPr>
        <w:t>06-05-2022</w:t>
      </w:r>
    </w:p>
    <w:p w14:paraId="4C9CA735" w14:textId="77777777" w:rsidR="007D227B" w:rsidRPr="007D227B" w:rsidRDefault="007D227B" w:rsidP="007D227B">
      <w:pPr>
        <w:spacing w:after="150" w:line="360" w:lineRule="auto"/>
        <w:jc w:val="center"/>
        <w:rPr>
          <w:rFonts w:eastAsia="Times New Roman" w:cs="Times New Roman"/>
          <w:color w:val="555555"/>
          <w:szCs w:val="24"/>
          <w:lang w:eastAsia="es-CO"/>
        </w:rPr>
      </w:pPr>
      <w:r w:rsidRPr="007D227B">
        <w:rPr>
          <w:rFonts w:eastAsia="Times New Roman" w:cs="Times New Roman"/>
          <w:b/>
          <w:bCs/>
          <w:color w:val="0000FF"/>
          <w:szCs w:val="24"/>
          <w:lang w:eastAsia="es-CO"/>
        </w:rPr>
        <w:t>DIAN</w:t>
      </w:r>
    </w:p>
    <w:p w14:paraId="30C78AED"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7229646F"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38FEFB53"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Subdirección de Normativa y Doctrina</w:t>
      </w:r>
    </w:p>
    <w:p w14:paraId="28FC6284"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100208192-559</w:t>
      </w:r>
    </w:p>
    <w:p w14:paraId="755C20BD"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Bogotá, D.C.</w:t>
      </w:r>
    </w:p>
    <w:p w14:paraId="6A60FB1A"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258E0BCF" w14:textId="77777777" w:rsidR="007D227B" w:rsidRPr="007D227B" w:rsidRDefault="007D227B" w:rsidP="007D227B">
      <w:pPr>
        <w:spacing w:after="285"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tbl>
      <w:tblPr>
        <w:tblW w:w="0" w:type="auto"/>
        <w:tblCellMar>
          <w:top w:w="15" w:type="dxa"/>
          <w:left w:w="15" w:type="dxa"/>
          <w:bottom w:w="15" w:type="dxa"/>
          <w:right w:w="15" w:type="dxa"/>
        </w:tblCellMar>
        <w:tblLook w:val="04A0" w:firstRow="1" w:lastRow="0" w:firstColumn="1" w:lastColumn="0" w:noHBand="0" w:noVBand="1"/>
      </w:tblPr>
      <w:tblGrid>
        <w:gridCol w:w="2043"/>
        <w:gridCol w:w="270"/>
        <w:gridCol w:w="270"/>
        <w:gridCol w:w="5356"/>
      </w:tblGrid>
      <w:tr w:rsidR="007D227B" w:rsidRPr="007D227B" w14:paraId="48C023B9" w14:textId="77777777" w:rsidTr="007D227B">
        <w:tc>
          <w:tcPr>
            <w:tcW w:w="0" w:type="auto"/>
            <w:shd w:val="clear" w:color="auto" w:fill="auto"/>
            <w:tcMar>
              <w:top w:w="0" w:type="dxa"/>
              <w:left w:w="105" w:type="dxa"/>
              <w:bottom w:w="0" w:type="dxa"/>
              <w:right w:w="105" w:type="dxa"/>
            </w:tcMar>
            <w:hideMark/>
          </w:tcPr>
          <w:p w14:paraId="5567C53C" w14:textId="77777777" w:rsidR="007D227B" w:rsidRPr="007D227B" w:rsidRDefault="007D227B" w:rsidP="007D227B">
            <w:pPr>
              <w:spacing w:after="0" w:line="360" w:lineRule="auto"/>
              <w:jc w:val="both"/>
              <w:rPr>
                <w:rFonts w:eastAsia="Times New Roman" w:cs="Times New Roman"/>
                <w:color w:val="555555"/>
                <w:szCs w:val="24"/>
                <w:lang w:eastAsia="es-CO"/>
              </w:rPr>
            </w:pPr>
            <w:r w:rsidRPr="007D227B">
              <w:rPr>
                <w:rFonts w:eastAsia="Times New Roman" w:cs="Times New Roman"/>
                <w:b/>
                <w:bCs/>
                <w:color w:val="555555"/>
                <w:szCs w:val="24"/>
                <w:lang w:eastAsia="es-CO"/>
              </w:rPr>
              <w:t>Tema:</w:t>
            </w:r>
          </w:p>
        </w:tc>
        <w:tc>
          <w:tcPr>
            <w:tcW w:w="0" w:type="auto"/>
            <w:shd w:val="clear" w:color="auto" w:fill="auto"/>
            <w:tcMar>
              <w:top w:w="0" w:type="dxa"/>
              <w:left w:w="105" w:type="dxa"/>
              <w:bottom w:w="0" w:type="dxa"/>
              <w:right w:w="105" w:type="dxa"/>
            </w:tcMar>
            <w:hideMark/>
          </w:tcPr>
          <w:p w14:paraId="0906821D" w14:textId="77777777" w:rsidR="007D227B" w:rsidRPr="007D227B" w:rsidRDefault="007D227B" w:rsidP="007D227B">
            <w:pPr>
              <w:spacing w:after="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tc>
        <w:tc>
          <w:tcPr>
            <w:tcW w:w="0" w:type="auto"/>
            <w:shd w:val="clear" w:color="auto" w:fill="auto"/>
            <w:tcMar>
              <w:top w:w="0" w:type="dxa"/>
              <w:left w:w="105" w:type="dxa"/>
              <w:bottom w:w="0" w:type="dxa"/>
              <w:right w:w="105" w:type="dxa"/>
            </w:tcMar>
            <w:hideMark/>
          </w:tcPr>
          <w:p w14:paraId="59BA5AEA" w14:textId="77777777" w:rsidR="007D227B" w:rsidRPr="007D227B" w:rsidRDefault="007D227B" w:rsidP="007D227B">
            <w:pPr>
              <w:spacing w:after="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tc>
        <w:tc>
          <w:tcPr>
            <w:tcW w:w="0" w:type="auto"/>
            <w:shd w:val="clear" w:color="auto" w:fill="auto"/>
            <w:tcMar>
              <w:top w:w="0" w:type="dxa"/>
              <w:left w:w="105" w:type="dxa"/>
              <w:bottom w:w="0" w:type="dxa"/>
              <w:right w:w="105" w:type="dxa"/>
            </w:tcMar>
            <w:hideMark/>
          </w:tcPr>
          <w:p w14:paraId="5D3EAEAE" w14:textId="77777777" w:rsidR="007D227B" w:rsidRPr="007D227B" w:rsidRDefault="007D227B" w:rsidP="007D227B">
            <w:pPr>
              <w:spacing w:after="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Impuesto sobre la renta y complementarios</w:t>
            </w:r>
          </w:p>
        </w:tc>
      </w:tr>
      <w:tr w:rsidR="007D227B" w:rsidRPr="007D227B" w14:paraId="488CC5E8" w14:textId="77777777" w:rsidTr="007D227B">
        <w:tc>
          <w:tcPr>
            <w:tcW w:w="0" w:type="auto"/>
            <w:shd w:val="clear" w:color="auto" w:fill="auto"/>
            <w:tcMar>
              <w:top w:w="0" w:type="dxa"/>
              <w:left w:w="105" w:type="dxa"/>
              <w:bottom w:w="0" w:type="dxa"/>
              <w:right w:w="105" w:type="dxa"/>
            </w:tcMar>
            <w:hideMark/>
          </w:tcPr>
          <w:p w14:paraId="0E275A3C" w14:textId="77777777" w:rsidR="007D227B" w:rsidRPr="007D227B" w:rsidRDefault="007D227B" w:rsidP="007D227B">
            <w:pPr>
              <w:spacing w:after="0" w:line="360" w:lineRule="auto"/>
              <w:jc w:val="both"/>
              <w:rPr>
                <w:rFonts w:eastAsia="Times New Roman" w:cs="Times New Roman"/>
                <w:color w:val="555555"/>
                <w:szCs w:val="24"/>
                <w:lang w:eastAsia="es-CO"/>
              </w:rPr>
            </w:pPr>
            <w:r w:rsidRPr="007D227B">
              <w:rPr>
                <w:rFonts w:eastAsia="Times New Roman" w:cs="Times New Roman"/>
                <w:b/>
                <w:bCs/>
                <w:color w:val="555555"/>
                <w:szCs w:val="24"/>
                <w:lang w:eastAsia="es-CO"/>
              </w:rPr>
              <w:t>Descriptores:</w:t>
            </w:r>
          </w:p>
        </w:tc>
        <w:tc>
          <w:tcPr>
            <w:tcW w:w="0" w:type="auto"/>
            <w:shd w:val="clear" w:color="auto" w:fill="auto"/>
            <w:tcMar>
              <w:top w:w="0" w:type="dxa"/>
              <w:left w:w="105" w:type="dxa"/>
              <w:bottom w:w="0" w:type="dxa"/>
              <w:right w:w="105" w:type="dxa"/>
            </w:tcMar>
            <w:hideMark/>
          </w:tcPr>
          <w:p w14:paraId="16BD641A" w14:textId="77777777" w:rsidR="007D227B" w:rsidRPr="007D227B" w:rsidRDefault="007D227B" w:rsidP="007D227B">
            <w:pPr>
              <w:spacing w:after="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tc>
        <w:tc>
          <w:tcPr>
            <w:tcW w:w="0" w:type="auto"/>
            <w:shd w:val="clear" w:color="auto" w:fill="auto"/>
            <w:tcMar>
              <w:top w:w="0" w:type="dxa"/>
              <w:left w:w="105" w:type="dxa"/>
              <w:bottom w:w="0" w:type="dxa"/>
              <w:right w:w="105" w:type="dxa"/>
            </w:tcMar>
            <w:hideMark/>
          </w:tcPr>
          <w:p w14:paraId="7AB5E4AD" w14:textId="77777777" w:rsidR="007D227B" w:rsidRPr="007D227B" w:rsidRDefault="007D227B" w:rsidP="007D227B">
            <w:pPr>
              <w:spacing w:after="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tc>
        <w:tc>
          <w:tcPr>
            <w:tcW w:w="0" w:type="auto"/>
            <w:shd w:val="clear" w:color="auto" w:fill="auto"/>
            <w:tcMar>
              <w:top w:w="0" w:type="dxa"/>
              <w:left w:w="105" w:type="dxa"/>
              <w:bottom w:w="0" w:type="dxa"/>
              <w:right w:w="105" w:type="dxa"/>
            </w:tcMar>
            <w:hideMark/>
          </w:tcPr>
          <w:p w14:paraId="2F12B9A2"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Ingresos recibidos para terceros</w:t>
            </w:r>
          </w:p>
          <w:p w14:paraId="7C684E32" w14:textId="77777777" w:rsidR="007D227B" w:rsidRPr="007D227B" w:rsidRDefault="007D227B" w:rsidP="007D227B">
            <w:pPr>
              <w:spacing w:after="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Retención en la fuente en contratos de mandato</w:t>
            </w:r>
          </w:p>
        </w:tc>
      </w:tr>
      <w:tr w:rsidR="007D227B" w:rsidRPr="007D227B" w14:paraId="5F5EBD44" w14:textId="77777777" w:rsidTr="007D227B">
        <w:tc>
          <w:tcPr>
            <w:tcW w:w="0" w:type="auto"/>
            <w:shd w:val="clear" w:color="auto" w:fill="auto"/>
            <w:tcMar>
              <w:top w:w="0" w:type="dxa"/>
              <w:left w:w="105" w:type="dxa"/>
              <w:bottom w:w="0" w:type="dxa"/>
              <w:right w:w="105" w:type="dxa"/>
            </w:tcMar>
            <w:hideMark/>
          </w:tcPr>
          <w:p w14:paraId="5B9124EE" w14:textId="77777777" w:rsidR="007D227B" w:rsidRPr="007D227B" w:rsidRDefault="007D227B" w:rsidP="007D227B">
            <w:pPr>
              <w:spacing w:after="0" w:line="360" w:lineRule="auto"/>
              <w:jc w:val="both"/>
              <w:rPr>
                <w:rFonts w:eastAsia="Times New Roman" w:cs="Times New Roman"/>
                <w:color w:val="555555"/>
                <w:szCs w:val="24"/>
                <w:lang w:eastAsia="es-CO"/>
              </w:rPr>
            </w:pPr>
            <w:r w:rsidRPr="007D227B">
              <w:rPr>
                <w:rFonts w:eastAsia="Times New Roman" w:cs="Times New Roman"/>
                <w:b/>
                <w:bCs/>
                <w:color w:val="555555"/>
                <w:szCs w:val="24"/>
                <w:lang w:eastAsia="es-CO"/>
              </w:rPr>
              <w:t>Fuentes formales:</w:t>
            </w:r>
          </w:p>
        </w:tc>
        <w:tc>
          <w:tcPr>
            <w:tcW w:w="0" w:type="auto"/>
            <w:shd w:val="clear" w:color="auto" w:fill="auto"/>
            <w:tcMar>
              <w:top w:w="0" w:type="dxa"/>
              <w:left w:w="105" w:type="dxa"/>
              <w:bottom w:w="0" w:type="dxa"/>
              <w:right w:w="105" w:type="dxa"/>
            </w:tcMar>
            <w:hideMark/>
          </w:tcPr>
          <w:p w14:paraId="6A429B85" w14:textId="77777777" w:rsidR="007D227B" w:rsidRPr="007D227B" w:rsidRDefault="007D227B" w:rsidP="007D227B">
            <w:pPr>
              <w:spacing w:after="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tc>
        <w:tc>
          <w:tcPr>
            <w:tcW w:w="0" w:type="auto"/>
            <w:shd w:val="clear" w:color="auto" w:fill="auto"/>
            <w:tcMar>
              <w:top w:w="0" w:type="dxa"/>
              <w:left w:w="105" w:type="dxa"/>
              <w:bottom w:w="0" w:type="dxa"/>
              <w:right w:w="105" w:type="dxa"/>
            </w:tcMar>
            <w:hideMark/>
          </w:tcPr>
          <w:p w14:paraId="18552E16" w14:textId="77777777" w:rsidR="007D227B" w:rsidRPr="007D227B" w:rsidRDefault="007D227B" w:rsidP="007D227B">
            <w:pPr>
              <w:spacing w:after="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tc>
        <w:tc>
          <w:tcPr>
            <w:tcW w:w="0" w:type="auto"/>
            <w:shd w:val="clear" w:color="auto" w:fill="auto"/>
            <w:tcMar>
              <w:top w:w="0" w:type="dxa"/>
              <w:left w:w="105" w:type="dxa"/>
              <w:bottom w:w="0" w:type="dxa"/>
              <w:right w:w="105" w:type="dxa"/>
            </w:tcMar>
            <w:hideMark/>
          </w:tcPr>
          <w:p w14:paraId="16D5C3A2"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Artículo 553 del Estatuto Tributario</w:t>
            </w:r>
          </w:p>
          <w:p w14:paraId="21BED5D3"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Artículo 1.2.4.11. del Decreto 1625 de 2016</w:t>
            </w:r>
          </w:p>
          <w:p w14:paraId="311DCD6E" w14:textId="77777777" w:rsidR="007D227B" w:rsidRPr="007D227B" w:rsidRDefault="007D227B" w:rsidP="007D227B">
            <w:pPr>
              <w:spacing w:after="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Oficio No. 907500 [</w:t>
            </w:r>
            <w:proofErr w:type="spellStart"/>
            <w:r w:rsidRPr="007D227B">
              <w:rPr>
                <w:rFonts w:eastAsia="Times New Roman" w:cs="Times New Roman"/>
                <w:color w:val="555555"/>
                <w:szCs w:val="24"/>
                <w:lang w:eastAsia="es-CO"/>
              </w:rPr>
              <w:t>int</w:t>
            </w:r>
            <w:proofErr w:type="spellEnd"/>
            <w:r w:rsidRPr="007D227B">
              <w:rPr>
                <w:rFonts w:eastAsia="Times New Roman" w:cs="Times New Roman"/>
                <w:color w:val="555555"/>
                <w:szCs w:val="24"/>
                <w:lang w:eastAsia="es-CO"/>
              </w:rPr>
              <w:t>. 1159] del 29 de julio de 2021</w:t>
            </w:r>
          </w:p>
        </w:tc>
      </w:tr>
    </w:tbl>
    <w:p w14:paraId="508FBE68"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35887A6B"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4FCD1E28"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Cordial saludo,</w:t>
      </w:r>
    </w:p>
    <w:p w14:paraId="0B0AC2B8"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36DCCCAF"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FA5261F"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0DB45738"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Mediante el radicado de la referencia, el peticionario consulta por los efectos fiscales de establecer, para efectos de la compraventa de un inmueble vendido por una sociedad nacional, que una persona natural, la cual actúa como apoderada de la sociedad, reciba y deposite en su cuenta personal el cheque recibido por la venta del inmueble de la sociedad.</w:t>
      </w:r>
    </w:p>
    <w:p w14:paraId="5A82BEA8"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lastRenderedPageBreak/>
        <w:t> </w:t>
      </w:r>
    </w:p>
    <w:p w14:paraId="64D91F87"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Sobre el particular, las consideraciones de este Despacho son las siguientes:</w:t>
      </w:r>
    </w:p>
    <w:p w14:paraId="789B587A"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7A9E49BC"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En primera medida nos permitimos reiterarle que este Despacho no se encuentra facultado para resolver situaciones particulares, toda vez que sus funciones se restringen a la interpretación de normas en materia tributaria en el marco de competencias de la DIAN.</w:t>
      </w:r>
    </w:p>
    <w:p w14:paraId="257FB699"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2F8CC474"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Ahora bien, respecto de los pagos por ingresos recibidos para terceros, este Despacho se ha pronunciado en reiteradas oportunidades, por ejemplo, mediante Oficio No. 907500 [</w:t>
      </w:r>
      <w:proofErr w:type="spellStart"/>
      <w:r w:rsidRPr="007D227B">
        <w:rPr>
          <w:rFonts w:eastAsia="Times New Roman" w:cs="Times New Roman"/>
          <w:color w:val="555555"/>
          <w:szCs w:val="24"/>
          <w:lang w:eastAsia="es-CO"/>
        </w:rPr>
        <w:t>int</w:t>
      </w:r>
      <w:proofErr w:type="spellEnd"/>
      <w:r w:rsidRPr="007D227B">
        <w:rPr>
          <w:rFonts w:eastAsia="Times New Roman" w:cs="Times New Roman"/>
          <w:color w:val="555555"/>
          <w:szCs w:val="24"/>
          <w:lang w:eastAsia="es-CO"/>
        </w:rPr>
        <w:t>. 1159] del 29 de julio de 2021, en donde se indicó:</w:t>
      </w:r>
    </w:p>
    <w:p w14:paraId="46596ACF"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6F636AC7" w14:textId="77777777" w:rsidR="007D227B" w:rsidRPr="007D227B" w:rsidRDefault="007D227B" w:rsidP="007D227B">
      <w:pPr>
        <w:spacing w:after="150" w:line="360" w:lineRule="auto"/>
        <w:ind w:left="285"/>
        <w:jc w:val="both"/>
        <w:rPr>
          <w:rFonts w:eastAsia="Times New Roman" w:cs="Times New Roman"/>
          <w:color w:val="555555"/>
          <w:szCs w:val="24"/>
          <w:lang w:eastAsia="es-CO"/>
        </w:rPr>
      </w:pPr>
      <w:r w:rsidRPr="007D227B">
        <w:rPr>
          <w:rFonts w:eastAsia="Times New Roman" w:cs="Times New Roman"/>
          <w:i/>
          <w:iCs/>
          <w:color w:val="555555"/>
          <w:szCs w:val="24"/>
          <w:lang w:eastAsia="es-CO"/>
        </w:rPr>
        <w:t>“Mediante concepto No. 015705 del 28 de febrero de 2001 se señaló que </w:t>
      </w:r>
      <w:r w:rsidRPr="007D227B">
        <w:rPr>
          <w:rFonts w:eastAsia="Times New Roman" w:cs="Times New Roman"/>
          <w:b/>
          <w:bCs/>
          <w:i/>
          <w:iCs/>
          <w:color w:val="555555"/>
          <w:szCs w:val="24"/>
          <w:lang w:eastAsia="es-CO"/>
        </w:rPr>
        <w:t>pueden existir ingresos para terceros cuando hay intermediación, pues estos se reciben a través de una persona que obra por cuenta ajena y que los transfiere a quien jurídicamente le corresponde el pago.</w:t>
      </w:r>
    </w:p>
    <w:p w14:paraId="54043D7E" w14:textId="77777777" w:rsidR="007D227B" w:rsidRPr="007D227B" w:rsidRDefault="007D227B" w:rsidP="007D227B">
      <w:pPr>
        <w:spacing w:after="150" w:line="360" w:lineRule="auto"/>
        <w:ind w:left="285"/>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41B7E583" w14:textId="77777777" w:rsidR="007D227B" w:rsidRPr="007D227B" w:rsidRDefault="007D227B" w:rsidP="007D227B">
      <w:pPr>
        <w:spacing w:after="150" w:line="360" w:lineRule="auto"/>
        <w:ind w:left="285"/>
        <w:jc w:val="both"/>
        <w:rPr>
          <w:rFonts w:eastAsia="Times New Roman" w:cs="Times New Roman"/>
          <w:color w:val="555555"/>
          <w:szCs w:val="24"/>
          <w:lang w:eastAsia="es-CO"/>
        </w:rPr>
      </w:pPr>
      <w:r w:rsidRPr="007D227B">
        <w:rPr>
          <w:rFonts w:eastAsia="Times New Roman" w:cs="Times New Roman"/>
          <w:i/>
          <w:iCs/>
          <w:color w:val="555555"/>
          <w:szCs w:val="24"/>
          <w:lang w:eastAsia="es-CO"/>
        </w:rPr>
        <w:t xml:space="preserve">También mediante Oficio 905603 - </w:t>
      </w:r>
      <w:proofErr w:type="spellStart"/>
      <w:r w:rsidRPr="007D227B">
        <w:rPr>
          <w:rFonts w:eastAsia="Times New Roman" w:cs="Times New Roman"/>
          <w:i/>
          <w:iCs/>
          <w:color w:val="555555"/>
          <w:szCs w:val="24"/>
          <w:lang w:eastAsia="es-CO"/>
        </w:rPr>
        <w:t>int</w:t>
      </w:r>
      <w:proofErr w:type="spellEnd"/>
      <w:r w:rsidRPr="007D227B">
        <w:rPr>
          <w:rFonts w:eastAsia="Times New Roman" w:cs="Times New Roman"/>
          <w:i/>
          <w:iCs/>
          <w:color w:val="555555"/>
          <w:szCs w:val="24"/>
          <w:lang w:eastAsia="es-CO"/>
        </w:rPr>
        <w:t xml:space="preserve"> 860 del 17 de junio de 2021, se indicó que </w:t>
      </w:r>
      <w:r w:rsidRPr="007D227B">
        <w:rPr>
          <w:rFonts w:eastAsia="Times New Roman" w:cs="Times New Roman"/>
          <w:b/>
          <w:bCs/>
          <w:i/>
          <w:iCs/>
          <w:color w:val="555555"/>
          <w:szCs w:val="24"/>
          <w:lang w:eastAsia="es-CO"/>
        </w:rPr>
        <w:t>los ingresos para terceros son aquellos que se reciben en nombre de otro reconociendo sobre el ingreso un mejor derecho por parte del tercero y, en consecuencia, adquiriendo al momento de recibirlo la obligación de transferirlo a su legítimo dueño</w:t>
      </w:r>
      <w:r w:rsidRPr="007D227B">
        <w:rPr>
          <w:rFonts w:eastAsia="Times New Roman" w:cs="Times New Roman"/>
          <w:i/>
          <w:iCs/>
          <w:color w:val="555555"/>
          <w:szCs w:val="24"/>
          <w:lang w:eastAsia="es-CO"/>
        </w:rPr>
        <w:t>.</w:t>
      </w:r>
    </w:p>
    <w:p w14:paraId="46ECAB28" w14:textId="77777777" w:rsidR="007D227B" w:rsidRPr="007D227B" w:rsidRDefault="007D227B" w:rsidP="007D227B">
      <w:pPr>
        <w:spacing w:after="150" w:line="360" w:lineRule="auto"/>
        <w:ind w:left="285"/>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006EEBD6" w14:textId="77777777" w:rsidR="007D227B" w:rsidRPr="007D227B" w:rsidRDefault="007D227B" w:rsidP="007D227B">
      <w:pPr>
        <w:spacing w:after="150" w:line="360" w:lineRule="auto"/>
        <w:ind w:left="285"/>
        <w:jc w:val="both"/>
        <w:rPr>
          <w:rFonts w:eastAsia="Times New Roman" w:cs="Times New Roman"/>
          <w:color w:val="555555"/>
          <w:szCs w:val="24"/>
          <w:lang w:eastAsia="es-CO"/>
        </w:rPr>
      </w:pPr>
      <w:r w:rsidRPr="007D227B">
        <w:rPr>
          <w:rFonts w:eastAsia="Times New Roman" w:cs="Times New Roman"/>
          <w:i/>
          <w:iCs/>
          <w:color w:val="555555"/>
          <w:szCs w:val="24"/>
          <w:lang w:eastAsia="es-CO"/>
        </w:rPr>
        <w:t>Así, por </w:t>
      </w:r>
      <w:r w:rsidRPr="007D227B">
        <w:rPr>
          <w:rFonts w:eastAsia="Times New Roman" w:cs="Times New Roman"/>
          <w:b/>
          <w:bCs/>
          <w:i/>
          <w:iCs/>
          <w:color w:val="555555"/>
          <w:szCs w:val="24"/>
          <w:u w:val="single"/>
          <w:lang w:eastAsia="es-CO"/>
        </w:rPr>
        <w:t xml:space="preserve">regla general, los valores recaudados por un intermediario no son ingresos para este, sino son ingresos recibidos para terceros, estando sometidos a retención en la fuente </w:t>
      </w:r>
      <w:proofErr w:type="gramStart"/>
      <w:r w:rsidRPr="007D227B">
        <w:rPr>
          <w:rFonts w:eastAsia="Times New Roman" w:cs="Times New Roman"/>
          <w:b/>
          <w:bCs/>
          <w:i/>
          <w:iCs/>
          <w:color w:val="555555"/>
          <w:szCs w:val="24"/>
          <w:u w:val="single"/>
          <w:lang w:eastAsia="es-CO"/>
        </w:rPr>
        <w:t>de acuerdo al</w:t>
      </w:r>
      <w:proofErr w:type="gramEnd"/>
      <w:r w:rsidRPr="007D227B">
        <w:rPr>
          <w:rFonts w:eastAsia="Times New Roman" w:cs="Times New Roman"/>
          <w:b/>
          <w:bCs/>
          <w:i/>
          <w:iCs/>
          <w:color w:val="555555"/>
          <w:szCs w:val="24"/>
          <w:u w:val="single"/>
          <w:lang w:eastAsia="es-CO"/>
        </w:rPr>
        <w:t xml:space="preserve"> concepto del pago, si quien efectúa el pago es agente retenedor</w:t>
      </w:r>
      <w:r w:rsidRPr="007D227B">
        <w:rPr>
          <w:rFonts w:eastAsia="Times New Roman" w:cs="Times New Roman"/>
          <w:i/>
          <w:iCs/>
          <w:color w:val="555555"/>
          <w:szCs w:val="24"/>
          <w:lang w:eastAsia="es-CO"/>
        </w:rPr>
        <w:t>.</w:t>
      </w:r>
    </w:p>
    <w:p w14:paraId="3A5A1D1A" w14:textId="77777777" w:rsidR="007D227B" w:rsidRPr="007D227B" w:rsidRDefault="007D227B" w:rsidP="007D227B">
      <w:pPr>
        <w:spacing w:after="150" w:line="360" w:lineRule="auto"/>
        <w:ind w:left="285"/>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2E1B364E" w14:textId="77777777" w:rsidR="007D227B" w:rsidRPr="007D227B" w:rsidRDefault="007D227B" w:rsidP="007D227B">
      <w:pPr>
        <w:spacing w:after="150" w:line="360" w:lineRule="auto"/>
        <w:ind w:left="285"/>
        <w:jc w:val="both"/>
        <w:rPr>
          <w:rFonts w:eastAsia="Times New Roman" w:cs="Times New Roman"/>
          <w:color w:val="555555"/>
          <w:szCs w:val="24"/>
          <w:lang w:eastAsia="es-CO"/>
        </w:rPr>
      </w:pPr>
      <w:r w:rsidRPr="007D227B">
        <w:rPr>
          <w:rFonts w:eastAsia="Times New Roman" w:cs="Times New Roman"/>
          <w:i/>
          <w:iCs/>
          <w:color w:val="555555"/>
          <w:szCs w:val="24"/>
          <w:lang w:eastAsia="es-CO"/>
        </w:rPr>
        <w:t>Adicionalmente, resulta relevante señalar que los ingresos para terceros pueden percibirse en el marco de un contrato de mandato. En ese caso, será importante tener en cuenta lo dispuesto en el artículo 1.2.4.11. del Decreto 1625 de 2016 que precisa:</w:t>
      </w:r>
    </w:p>
    <w:p w14:paraId="64FF14B1" w14:textId="77777777" w:rsidR="007D227B" w:rsidRPr="007D227B" w:rsidRDefault="007D227B" w:rsidP="007D227B">
      <w:pPr>
        <w:spacing w:after="150" w:line="360" w:lineRule="auto"/>
        <w:ind w:left="285"/>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28C9B9A5" w14:textId="77777777" w:rsidR="007D227B" w:rsidRPr="007D227B" w:rsidRDefault="007D227B" w:rsidP="007D227B">
      <w:pPr>
        <w:spacing w:after="150" w:line="360" w:lineRule="auto"/>
        <w:ind w:left="285"/>
        <w:jc w:val="both"/>
        <w:rPr>
          <w:rFonts w:eastAsia="Times New Roman" w:cs="Times New Roman"/>
          <w:color w:val="555555"/>
          <w:szCs w:val="24"/>
          <w:lang w:eastAsia="es-CO"/>
        </w:rPr>
      </w:pPr>
      <w:r w:rsidRPr="007D227B">
        <w:rPr>
          <w:rFonts w:eastAsia="Times New Roman" w:cs="Times New Roman"/>
          <w:i/>
          <w:iCs/>
          <w:color w:val="555555"/>
          <w:szCs w:val="24"/>
          <w:lang w:eastAsia="es-CO"/>
        </w:rPr>
        <w:t>“Artículo 1.2.4.11. Retención en la fuente en mandato. En los contratos de mandato, incluida la administración delegada el mandatario practicará al momento del pago o abono en cuenta, todas las retenciones del impuesto sobre la renta, ventas, y timbre establecidas en las normas vigentes, teniendo en cuenta para el efecto la calidad del mandante. Así mismo, cumplirá todas las obligaciones inherentes al agente retenedor.</w:t>
      </w:r>
    </w:p>
    <w:p w14:paraId="5DE3C5A2" w14:textId="77777777" w:rsidR="007D227B" w:rsidRPr="007D227B" w:rsidRDefault="007D227B" w:rsidP="007D227B">
      <w:pPr>
        <w:spacing w:after="150" w:line="360" w:lineRule="auto"/>
        <w:ind w:left="285"/>
        <w:jc w:val="both"/>
        <w:rPr>
          <w:rFonts w:eastAsia="Times New Roman" w:cs="Times New Roman"/>
          <w:color w:val="555555"/>
          <w:szCs w:val="24"/>
          <w:lang w:eastAsia="es-CO"/>
        </w:rPr>
      </w:pPr>
      <w:r w:rsidRPr="007D227B">
        <w:rPr>
          <w:rFonts w:eastAsia="Times New Roman" w:cs="Times New Roman"/>
          <w:color w:val="555555"/>
          <w:szCs w:val="24"/>
          <w:lang w:eastAsia="es-CO"/>
        </w:rPr>
        <w:lastRenderedPageBreak/>
        <w:t> </w:t>
      </w:r>
    </w:p>
    <w:p w14:paraId="0621B7C3" w14:textId="77777777" w:rsidR="007D227B" w:rsidRPr="007D227B" w:rsidRDefault="007D227B" w:rsidP="007D227B">
      <w:pPr>
        <w:spacing w:after="150" w:line="360" w:lineRule="auto"/>
        <w:ind w:left="285"/>
        <w:jc w:val="both"/>
        <w:rPr>
          <w:rFonts w:eastAsia="Times New Roman" w:cs="Times New Roman"/>
          <w:color w:val="555555"/>
          <w:szCs w:val="24"/>
          <w:lang w:eastAsia="es-CO"/>
        </w:rPr>
      </w:pPr>
      <w:r w:rsidRPr="007D227B">
        <w:rPr>
          <w:rFonts w:eastAsia="Times New Roman" w:cs="Times New Roman"/>
          <w:i/>
          <w:iCs/>
          <w:color w:val="555555"/>
          <w:szCs w:val="24"/>
          <w:lang w:eastAsia="es-CO"/>
        </w:rPr>
        <w:t>Lo dispuesto en este artículo se aplicará sin perjuicio de lo consagrado en los artículos 1.2.4.2.9 al 1.2.4.2.49 del presente Decreto y demás normas concordantes que los adicionen, modifiquen o sustituyan.</w:t>
      </w:r>
    </w:p>
    <w:p w14:paraId="56937A7F" w14:textId="77777777" w:rsidR="007D227B" w:rsidRPr="007D227B" w:rsidRDefault="007D227B" w:rsidP="007D227B">
      <w:pPr>
        <w:spacing w:after="150" w:line="360" w:lineRule="auto"/>
        <w:ind w:left="285"/>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72CF3EFD" w14:textId="77777777" w:rsidR="007D227B" w:rsidRPr="007D227B" w:rsidRDefault="007D227B" w:rsidP="007D227B">
      <w:pPr>
        <w:spacing w:after="150" w:line="360" w:lineRule="auto"/>
        <w:ind w:left="285"/>
        <w:jc w:val="both"/>
        <w:rPr>
          <w:rFonts w:eastAsia="Times New Roman" w:cs="Times New Roman"/>
          <w:color w:val="555555"/>
          <w:szCs w:val="24"/>
          <w:lang w:eastAsia="es-CO"/>
        </w:rPr>
      </w:pPr>
      <w:r w:rsidRPr="007D227B">
        <w:rPr>
          <w:rFonts w:eastAsia="Times New Roman" w:cs="Times New Roman"/>
          <w:i/>
          <w:iCs/>
          <w:color w:val="555555"/>
          <w:szCs w:val="24"/>
          <w:lang w:eastAsia="es-CO"/>
        </w:rPr>
        <w:t>El mandante declarará los ingresos y solicitará los respectivos costos, deducciones, impuestos descontables y retenciones en la fuente, según la información que le suministre el mandatario, el cual deberá identificar en su contabilidad los ingresos recibidos para el mandante y los pagos y retenciones efectuadas por cuenta de este.</w:t>
      </w:r>
    </w:p>
    <w:p w14:paraId="13B05C7C" w14:textId="77777777" w:rsidR="007D227B" w:rsidRPr="007D227B" w:rsidRDefault="007D227B" w:rsidP="007D227B">
      <w:pPr>
        <w:spacing w:after="150" w:line="360" w:lineRule="auto"/>
        <w:ind w:left="285"/>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6FD8BC2A" w14:textId="77777777" w:rsidR="007D227B" w:rsidRPr="007D227B" w:rsidRDefault="007D227B" w:rsidP="007D227B">
      <w:pPr>
        <w:spacing w:after="150" w:line="360" w:lineRule="auto"/>
        <w:ind w:left="285"/>
        <w:jc w:val="both"/>
        <w:rPr>
          <w:rFonts w:eastAsia="Times New Roman" w:cs="Times New Roman"/>
          <w:color w:val="555555"/>
          <w:szCs w:val="24"/>
          <w:lang w:eastAsia="es-CO"/>
        </w:rPr>
      </w:pPr>
      <w:r w:rsidRPr="007D227B">
        <w:rPr>
          <w:rFonts w:eastAsia="Times New Roman" w:cs="Times New Roman"/>
          <w:i/>
          <w:iCs/>
          <w:color w:val="555555"/>
          <w:szCs w:val="24"/>
          <w:lang w:eastAsia="es-CO"/>
        </w:rPr>
        <w:t>El mandante practicará la retención en la fuente sobre el valor de los pagos o abonos en cuenta efectuados a favor del mandatario por concepto de honorarios.”</w:t>
      </w:r>
    </w:p>
    <w:p w14:paraId="68B77D28" w14:textId="77777777" w:rsidR="007D227B" w:rsidRPr="007D227B" w:rsidRDefault="007D227B" w:rsidP="007D227B">
      <w:pPr>
        <w:spacing w:after="150" w:line="360" w:lineRule="auto"/>
        <w:ind w:left="285"/>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624968EE" w14:textId="77777777" w:rsidR="007D227B" w:rsidRPr="007D227B" w:rsidRDefault="007D227B" w:rsidP="007D227B">
      <w:pPr>
        <w:spacing w:after="150" w:line="360" w:lineRule="auto"/>
        <w:ind w:left="285"/>
        <w:jc w:val="both"/>
        <w:rPr>
          <w:rFonts w:eastAsia="Times New Roman" w:cs="Times New Roman"/>
          <w:color w:val="555555"/>
          <w:szCs w:val="24"/>
          <w:lang w:eastAsia="es-CO"/>
        </w:rPr>
      </w:pPr>
      <w:r w:rsidRPr="007D227B">
        <w:rPr>
          <w:rFonts w:eastAsia="Times New Roman" w:cs="Times New Roman"/>
          <w:i/>
          <w:iCs/>
          <w:color w:val="555555"/>
          <w:szCs w:val="24"/>
          <w:lang w:eastAsia="es-CO"/>
        </w:rPr>
        <w:t>Lo anterior, sin perjuicio de lo establecido en el artículo 1.6.1.4.9. del Decreto 1625 de 2016.</w:t>
      </w:r>
    </w:p>
    <w:p w14:paraId="354B66E7" w14:textId="77777777" w:rsidR="007D227B" w:rsidRPr="007D227B" w:rsidRDefault="007D227B" w:rsidP="007D227B">
      <w:pPr>
        <w:spacing w:after="150" w:line="360" w:lineRule="auto"/>
        <w:ind w:left="285"/>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28B769BC" w14:textId="77777777" w:rsidR="007D227B" w:rsidRPr="007D227B" w:rsidRDefault="007D227B" w:rsidP="007D227B">
      <w:pPr>
        <w:spacing w:after="150" w:line="360" w:lineRule="auto"/>
        <w:ind w:left="285"/>
        <w:jc w:val="both"/>
        <w:rPr>
          <w:rFonts w:eastAsia="Times New Roman" w:cs="Times New Roman"/>
          <w:color w:val="555555"/>
          <w:szCs w:val="24"/>
          <w:lang w:eastAsia="es-CO"/>
        </w:rPr>
      </w:pPr>
      <w:r w:rsidRPr="007D227B">
        <w:rPr>
          <w:rFonts w:eastAsia="Times New Roman" w:cs="Times New Roman"/>
          <w:i/>
          <w:iCs/>
          <w:color w:val="555555"/>
          <w:szCs w:val="24"/>
          <w:lang w:eastAsia="es-CO"/>
        </w:rPr>
        <w:t xml:space="preserve">Finalmente, en relación con la deducibilidad de los pagos frente al artículo 107 del Estatuto Tributario, se sugiere la lectura de la sentencia de unificación del 26 de noviembre de 2020, Radicación </w:t>
      </w:r>
      <w:proofErr w:type="spellStart"/>
      <w:r w:rsidRPr="007D227B">
        <w:rPr>
          <w:rFonts w:eastAsia="Times New Roman" w:cs="Times New Roman"/>
          <w:i/>
          <w:iCs/>
          <w:color w:val="555555"/>
          <w:szCs w:val="24"/>
          <w:lang w:eastAsia="es-CO"/>
        </w:rPr>
        <w:t>N°</w:t>
      </w:r>
      <w:proofErr w:type="spellEnd"/>
      <w:r w:rsidRPr="007D227B">
        <w:rPr>
          <w:rFonts w:eastAsia="Times New Roman" w:cs="Times New Roman"/>
          <w:i/>
          <w:iCs/>
          <w:color w:val="555555"/>
          <w:szCs w:val="24"/>
          <w:lang w:eastAsia="es-CO"/>
        </w:rPr>
        <w:t xml:space="preserve"> 25000-23-37-000-2013-00443-01(21329), en la cual, el Consejo de Estado, Sala de lo Contencioso Administrativo, Sección Cuarta, C.P. JULIO ROBERTO PIZA RODRÍGUEZ, fijó jurisprudencialmente el alcance de los requisitos de causalidad, necesidad y proporcionalidad establecidos en el artículo 107 </w:t>
      </w:r>
      <w:proofErr w:type="spellStart"/>
      <w:r w:rsidRPr="007D227B">
        <w:rPr>
          <w:rFonts w:eastAsia="Times New Roman" w:cs="Times New Roman"/>
          <w:i/>
          <w:iCs/>
          <w:color w:val="555555"/>
          <w:szCs w:val="24"/>
          <w:lang w:eastAsia="es-CO"/>
        </w:rPr>
        <w:t>ibídem</w:t>
      </w:r>
      <w:proofErr w:type="spellEnd"/>
      <w:r w:rsidRPr="007D227B">
        <w:rPr>
          <w:rFonts w:eastAsia="Times New Roman" w:cs="Times New Roman"/>
          <w:i/>
          <w:iCs/>
          <w:color w:val="555555"/>
          <w:szCs w:val="24"/>
          <w:lang w:eastAsia="es-CO"/>
        </w:rPr>
        <w:t>”.</w:t>
      </w:r>
    </w:p>
    <w:p w14:paraId="1F602585"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468C1916"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Así las cosas, se reitera lo indicado por esta Subdirección en numerosas oportunidades respecto de los ingresos para terceros, los cuales no hacen parte del patrimonio de la persona que los percibe, “</w:t>
      </w:r>
      <w:r w:rsidRPr="007D227B">
        <w:rPr>
          <w:rFonts w:eastAsia="Times New Roman" w:cs="Times New Roman"/>
          <w:i/>
          <w:iCs/>
          <w:color w:val="555555"/>
          <w:szCs w:val="24"/>
          <w:lang w:eastAsia="es-CO"/>
        </w:rPr>
        <w:t>pues estos se reciben para ser transferidos a quien jurídicamente le corresponde el pago, cuando estos tengan tal naturaleza (…) deben ser reportados en tal calidad para efectos fiscales. Esto significa que deben ser reconocidos transitoriamente como un pasivo, debiéndose encontrar debidamente soportados en los términos del artículo 770 del Estatuto Tributario”. </w:t>
      </w:r>
      <w:r w:rsidRPr="007D227B">
        <w:rPr>
          <w:rFonts w:eastAsia="Times New Roman" w:cs="Times New Roman"/>
          <w:color w:val="555555"/>
          <w:szCs w:val="24"/>
          <w:lang w:eastAsia="es-CO"/>
        </w:rPr>
        <w:t xml:space="preserve">(Oficio 905603 – </w:t>
      </w:r>
      <w:proofErr w:type="spellStart"/>
      <w:r w:rsidRPr="007D227B">
        <w:rPr>
          <w:rFonts w:eastAsia="Times New Roman" w:cs="Times New Roman"/>
          <w:color w:val="555555"/>
          <w:szCs w:val="24"/>
          <w:lang w:eastAsia="es-CO"/>
        </w:rPr>
        <w:t>int</w:t>
      </w:r>
      <w:proofErr w:type="spellEnd"/>
      <w:r w:rsidRPr="007D227B">
        <w:rPr>
          <w:rFonts w:eastAsia="Times New Roman" w:cs="Times New Roman"/>
          <w:color w:val="555555"/>
          <w:szCs w:val="24"/>
          <w:lang w:eastAsia="es-CO"/>
        </w:rPr>
        <w:t xml:space="preserve"> 860 del 17 de junio de 2021)</w:t>
      </w:r>
    </w:p>
    <w:p w14:paraId="07AB3C8F"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4F3EEC13"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Finalmente, se pone de presente el artículo 553 del Estatuto Tributario el cual dispone:</w:t>
      </w:r>
    </w:p>
    <w:p w14:paraId="3BF38299"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07E5FE6D" w14:textId="77777777" w:rsidR="007D227B" w:rsidRPr="007D227B" w:rsidRDefault="007D227B" w:rsidP="007D227B">
      <w:pPr>
        <w:spacing w:after="150" w:line="360" w:lineRule="auto"/>
        <w:ind w:left="285"/>
        <w:jc w:val="both"/>
        <w:rPr>
          <w:rFonts w:eastAsia="Times New Roman" w:cs="Times New Roman"/>
          <w:color w:val="555555"/>
          <w:szCs w:val="24"/>
          <w:lang w:eastAsia="es-CO"/>
        </w:rPr>
      </w:pPr>
      <w:r w:rsidRPr="007D227B">
        <w:rPr>
          <w:rFonts w:eastAsia="Times New Roman" w:cs="Times New Roman"/>
          <w:b/>
          <w:bCs/>
          <w:i/>
          <w:iCs/>
          <w:color w:val="555555"/>
          <w:szCs w:val="24"/>
          <w:lang w:eastAsia="es-CO"/>
        </w:rPr>
        <w:lastRenderedPageBreak/>
        <w:t>“ARTÍCULO 553. LOS CONVENIOS ENTRE PARTICULARES SOBRE IMPUESTOS NO SON OPONIBLES AL FISCO. </w:t>
      </w:r>
      <w:r w:rsidRPr="007D227B">
        <w:rPr>
          <w:rFonts w:eastAsia="Times New Roman" w:cs="Times New Roman"/>
          <w:i/>
          <w:iCs/>
          <w:color w:val="555555"/>
          <w:szCs w:val="24"/>
          <w:lang w:eastAsia="es-CO"/>
        </w:rPr>
        <w:t xml:space="preserve">Los convenios entre particulares sobre </w:t>
      </w:r>
      <w:proofErr w:type="gramStart"/>
      <w:r w:rsidRPr="007D227B">
        <w:rPr>
          <w:rFonts w:eastAsia="Times New Roman" w:cs="Times New Roman"/>
          <w:i/>
          <w:iCs/>
          <w:color w:val="555555"/>
          <w:szCs w:val="24"/>
          <w:lang w:eastAsia="es-CO"/>
        </w:rPr>
        <w:t>impuestos,</w:t>
      </w:r>
      <w:proofErr w:type="gramEnd"/>
      <w:r w:rsidRPr="007D227B">
        <w:rPr>
          <w:rFonts w:eastAsia="Times New Roman" w:cs="Times New Roman"/>
          <w:i/>
          <w:iCs/>
          <w:color w:val="555555"/>
          <w:szCs w:val="24"/>
          <w:lang w:eastAsia="es-CO"/>
        </w:rPr>
        <w:t xml:space="preserve"> no son oponibles al fisco”.</w:t>
      </w:r>
    </w:p>
    <w:p w14:paraId="1D5E6315"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490BDB0B"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Por lo tanto, sin perjuicio de los acuerdos privados a los que lleguen las partes respecto de las obligaciones tributarias derivadas de sus transacciones, el tratamiento tributario aplicable será el que corresponda -en cada caso particular- teniendo en cuenta la realidad y naturaleza de la operación.</w:t>
      </w:r>
    </w:p>
    <w:p w14:paraId="66DF1A99"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644EE59D"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Atentamente,</w:t>
      </w:r>
    </w:p>
    <w:p w14:paraId="41CB9A57"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3AECE16F"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 </w:t>
      </w:r>
    </w:p>
    <w:p w14:paraId="2C913365"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b/>
          <w:bCs/>
          <w:color w:val="555555"/>
          <w:szCs w:val="24"/>
          <w:lang w:eastAsia="es-CO"/>
        </w:rPr>
        <w:t>NICOLÁS BERNAL ABELLA</w:t>
      </w:r>
    </w:p>
    <w:p w14:paraId="596D7BE3"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Subdirector de Normativa y Doctrina (E)</w:t>
      </w:r>
    </w:p>
    <w:p w14:paraId="58369745"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Dirección de Gestión Jurídica</w:t>
      </w:r>
    </w:p>
    <w:p w14:paraId="415609CF" w14:textId="77777777" w:rsidR="007D227B" w:rsidRPr="007D227B" w:rsidRDefault="007D227B" w:rsidP="007D227B">
      <w:pPr>
        <w:spacing w:after="150" w:line="360" w:lineRule="auto"/>
        <w:jc w:val="both"/>
        <w:rPr>
          <w:rFonts w:eastAsia="Times New Roman" w:cs="Times New Roman"/>
          <w:color w:val="555555"/>
          <w:szCs w:val="24"/>
          <w:lang w:eastAsia="es-CO"/>
        </w:rPr>
      </w:pPr>
      <w:r w:rsidRPr="007D227B">
        <w:rPr>
          <w:rFonts w:eastAsia="Times New Roman" w:cs="Times New Roman"/>
          <w:color w:val="555555"/>
          <w:szCs w:val="24"/>
          <w:lang w:eastAsia="es-CO"/>
        </w:rPr>
        <w:t>UAE-Dirección de Impuestos y Aduanas Nacionales</w:t>
      </w:r>
    </w:p>
    <w:p w14:paraId="1CF67B11" w14:textId="77777777" w:rsidR="007F5CC8" w:rsidRPr="007D227B" w:rsidRDefault="007F5CC8" w:rsidP="007D227B">
      <w:pPr>
        <w:spacing w:line="360" w:lineRule="auto"/>
        <w:rPr>
          <w:rFonts w:cs="Times New Roman"/>
          <w:szCs w:val="24"/>
        </w:rPr>
      </w:pPr>
    </w:p>
    <w:sectPr w:rsidR="007F5CC8" w:rsidRPr="007D227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7B"/>
    <w:rsid w:val="000F3837"/>
    <w:rsid w:val="001E311E"/>
    <w:rsid w:val="00434AE6"/>
    <w:rsid w:val="007D227B"/>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77D7"/>
  <w15:chartTrackingRefBased/>
  <w15:docId w15:val="{DA9D7A55-0EF4-4554-B53F-32903B16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56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948</Words>
  <Characters>5214</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2022-06-18T14:16:00Z</dcterms:created>
  <dcterms:modified xsi:type="dcterms:W3CDTF">2022-06-18T14:18:00Z</dcterms:modified>
</cp:coreProperties>
</file>