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4FB5" w14:textId="77777777" w:rsidR="00561097" w:rsidRPr="00561097" w:rsidRDefault="00561097" w:rsidP="00561097">
      <w:pPr>
        <w:spacing w:after="0" w:line="360" w:lineRule="auto"/>
        <w:jc w:val="center"/>
        <w:rPr>
          <w:rFonts w:ascii="Arial" w:eastAsia="Times New Roman" w:hAnsi="Arial" w:cs="Arial"/>
          <w:color w:val="000000"/>
          <w:sz w:val="18"/>
          <w:szCs w:val="18"/>
          <w:lang w:eastAsia="es-CO"/>
        </w:rPr>
      </w:pPr>
      <w:r w:rsidRPr="00561097">
        <w:rPr>
          <w:rFonts w:ascii="Segoe UI" w:eastAsia="Times New Roman" w:hAnsi="Segoe UI" w:cs="Segoe UI"/>
          <w:b/>
          <w:bCs/>
          <w:color w:val="0000FF"/>
          <w:sz w:val="28"/>
          <w:szCs w:val="28"/>
          <w:lang w:eastAsia="es-CO"/>
        </w:rPr>
        <w:t xml:space="preserve">OFICIO </w:t>
      </w:r>
      <w:proofErr w:type="spellStart"/>
      <w:r w:rsidRPr="00561097">
        <w:rPr>
          <w:rFonts w:ascii="Segoe UI" w:eastAsia="Times New Roman" w:hAnsi="Segoe UI" w:cs="Segoe UI"/>
          <w:b/>
          <w:bCs/>
          <w:color w:val="0000FF"/>
          <w:sz w:val="28"/>
          <w:szCs w:val="28"/>
          <w:lang w:eastAsia="es-CO"/>
        </w:rPr>
        <w:t>Nº</w:t>
      </w:r>
      <w:proofErr w:type="spellEnd"/>
      <w:r w:rsidRPr="00561097">
        <w:rPr>
          <w:rFonts w:ascii="Segoe UI" w:eastAsia="Times New Roman" w:hAnsi="Segoe UI" w:cs="Segoe UI"/>
          <w:b/>
          <w:bCs/>
          <w:color w:val="0000FF"/>
          <w:sz w:val="28"/>
          <w:szCs w:val="28"/>
          <w:lang w:eastAsia="es-CO"/>
        </w:rPr>
        <w:t xml:space="preserve"> 518 [903365]</w:t>
      </w:r>
    </w:p>
    <w:p w14:paraId="6AEDA639" w14:textId="77777777" w:rsidR="00561097" w:rsidRPr="00561097" w:rsidRDefault="00561097" w:rsidP="00561097">
      <w:pPr>
        <w:spacing w:after="0" w:line="360" w:lineRule="auto"/>
        <w:jc w:val="center"/>
        <w:rPr>
          <w:rFonts w:ascii="Arial" w:eastAsia="Times New Roman" w:hAnsi="Arial" w:cs="Arial"/>
          <w:color w:val="000000"/>
          <w:sz w:val="18"/>
          <w:szCs w:val="18"/>
          <w:lang w:eastAsia="es-CO"/>
        </w:rPr>
      </w:pPr>
      <w:r w:rsidRPr="00561097">
        <w:rPr>
          <w:rFonts w:ascii="Segoe UI" w:eastAsia="Times New Roman" w:hAnsi="Segoe UI" w:cs="Segoe UI"/>
          <w:b/>
          <w:bCs/>
          <w:color w:val="0000FF"/>
          <w:sz w:val="28"/>
          <w:szCs w:val="28"/>
          <w:lang w:eastAsia="es-CO"/>
        </w:rPr>
        <w:t>28-04-2022</w:t>
      </w:r>
    </w:p>
    <w:p w14:paraId="3A0EBFE2" w14:textId="77777777" w:rsidR="00561097" w:rsidRPr="00561097" w:rsidRDefault="00561097" w:rsidP="00561097">
      <w:pPr>
        <w:spacing w:after="0" w:line="360" w:lineRule="auto"/>
        <w:jc w:val="center"/>
        <w:rPr>
          <w:rFonts w:ascii="Arial" w:eastAsia="Times New Roman" w:hAnsi="Arial" w:cs="Arial"/>
          <w:color w:val="000000"/>
          <w:sz w:val="18"/>
          <w:szCs w:val="18"/>
          <w:lang w:eastAsia="es-CO"/>
        </w:rPr>
      </w:pPr>
      <w:r w:rsidRPr="00561097">
        <w:rPr>
          <w:rFonts w:ascii="Segoe UI" w:eastAsia="Times New Roman" w:hAnsi="Segoe UI" w:cs="Segoe UI"/>
          <w:b/>
          <w:bCs/>
          <w:color w:val="0000FF"/>
          <w:sz w:val="28"/>
          <w:szCs w:val="28"/>
          <w:lang w:eastAsia="es-CO"/>
        </w:rPr>
        <w:t>DIAN</w:t>
      </w:r>
    </w:p>
    <w:p w14:paraId="62E41F96"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649C9934"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66AE4651"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Subdirección de Normativa y Doctrina</w:t>
      </w:r>
    </w:p>
    <w:p w14:paraId="46CC76E1"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100208192-518</w:t>
      </w:r>
    </w:p>
    <w:p w14:paraId="2CF96D55"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Bogotá, D.C.</w:t>
      </w:r>
    </w:p>
    <w:p w14:paraId="77E41650"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948"/>
        <w:gridCol w:w="271"/>
        <w:gridCol w:w="271"/>
        <w:gridCol w:w="6492"/>
      </w:tblGrid>
      <w:tr w:rsidR="00561097" w:rsidRPr="00561097" w14:paraId="3C9F9439" w14:textId="77777777" w:rsidTr="00561097">
        <w:tc>
          <w:tcPr>
            <w:tcW w:w="1948" w:type="dxa"/>
            <w:tcBorders>
              <w:top w:val="nil"/>
              <w:left w:val="nil"/>
              <w:bottom w:val="nil"/>
              <w:right w:val="nil"/>
            </w:tcBorders>
            <w:shd w:val="clear" w:color="auto" w:fill="auto"/>
            <w:tcMar>
              <w:top w:w="0" w:type="dxa"/>
              <w:left w:w="108" w:type="dxa"/>
              <w:bottom w:w="0" w:type="dxa"/>
              <w:right w:w="108" w:type="dxa"/>
            </w:tcMar>
            <w:hideMark/>
          </w:tcPr>
          <w:p w14:paraId="0439035C"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A42A37C"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9869555"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sz w:val="20"/>
                <w:szCs w:val="20"/>
                <w:lang w:eastAsia="es-CO"/>
              </w:rPr>
              <w:t> </w:t>
            </w:r>
          </w:p>
        </w:tc>
        <w:tc>
          <w:tcPr>
            <w:tcW w:w="6492" w:type="dxa"/>
            <w:tcBorders>
              <w:top w:val="nil"/>
              <w:left w:val="nil"/>
              <w:bottom w:val="nil"/>
              <w:right w:val="nil"/>
            </w:tcBorders>
            <w:shd w:val="clear" w:color="auto" w:fill="auto"/>
            <w:tcMar>
              <w:top w:w="0" w:type="dxa"/>
              <w:left w:w="108" w:type="dxa"/>
              <w:bottom w:w="0" w:type="dxa"/>
              <w:right w:w="108" w:type="dxa"/>
            </w:tcMar>
            <w:hideMark/>
          </w:tcPr>
          <w:p w14:paraId="0B1B83B9"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sz w:val="20"/>
                <w:szCs w:val="20"/>
                <w:lang w:eastAsia="es-CO"/>
              </w:rPr>
              <w:t>Sistema de facturación electrónica</w:t>
            </w:r>
          </w:p>
          <w:p w14:paraId="3998F945"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sz w:val="20"/>
                <w:szCs w:val="20"/>
                <w:lang w:eastAsia="es-CO"/>
              </w:rPr>
              <w:t>Obligaciones formales</w:t>
            </w:r>
          </w:p>
        </w:tc>
      </w:tr>
      <w:tr w:rsidR="00561097" w:rsidRPr="00561097" w14:paraId="00C7F797" w14:textId="77777777" w:rsidTr="00561097">
        <w:tc>
          <w:tcPr>
            <w:tcW w:w="1948" w:type="dxa"/>
            <w:tcBorders>
              <w:top w:val="nil"/>
              <w:left w:val="nil"/>
              <w:bottom w:val="nil"/>
              <w:right w:val="nil"/>
            </w:tcBorders>
            <w:shd w:val="clear" w:color="auto" w:fill="auto"/>
            <w:tcMar>
              <w:top w:w="0" w:type="dxa"/>
              <w:left w:w="108" w:type="dxa"/>
              <w:bottom w:w="0" w:type="dxa"/>
              <w:right w:w="108" w:type="dxa"/>
            </w:tcMar>
            <w:hideMark/>
          </w:tcPr>
          <w:p w14:paraId="51062579"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3D879D5"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2C6C947"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sz w:val="20"/>
                <w:szCs w:val="20"/>
                <w:lang w:eastAsia="es-CO"/>
              </w:rPr>
              <w:t> </w:t>
            </w:r>
          </w:p>
        </w:tc>
        <w:tc>
          <w:tcPr>
            <w:tcW w:w="6492" w:type="dxa"/>
            <w:tcBorders>
              <w:top w:val="nil"/>
              <w:left w:val="nil"/>
              <w:bottom w:val="nil"/>
              <w:right w:val="nil"/>
            </w:tcBorders>
            <w:shd w:val="clear" w:color="auto" w:fill="auto"/>
            <w:tcMar>
              <w:top w:w="0" w:type="dxa"/>
              <w:left w:w="108" w:type="dxa"/>
              <w:bottom w:w="0" w:type="dxa"/>
              <w:right w:w="108" w:type="dxa"/>
            </w:tcMar>
            <w:hideMark/>
          </w:tcPr>
          <w:p w14:paraId="2F248E06"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sz w:val="20"/>
                <w:szCs w:val="20"/>
                <w:lang w:eastAsia="es-CO"/>
              </w:rPr>
              <w:t>Documento soporte en adquisiciones efectuadas a sujetos no obligados a expedir factura de venta o documento equivalente</w:t>
            </w:r>
          </w:p>
          <w:p w14:paraId="28693EDE"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sz w:val="20"/>
                <w:szCs w:val="20"/>
                <w:lang w:eastAsia="es-CO"/>
              </w:rPr>
              <w:t>Finalidad y sujetos obligados</w:t>
            </w:r>
          </w:p>
          <w:p w14:paraId="689D9773"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sz w:val="20"/>
                <w:szCs w:val="20"/>
                <w:lang w:eastAsia="es-CO"/>
              </w:rPr>
              <w:t>Adquisiciones por medio de patrimonios autónomos o fondos de capital privado</w:t>
            </w:r>
          </w:p>
        </w:tc>
      </w:tr>
      <w:tr w:rsidR="00561097" w:rsidRPr="00561097" w14:paraId="3A60C976" w14:textId="77777777" w:rsidTr="00561097">
        <w:tc>
          <w:tcPr>
            <w:tcW w:w="1948" w:type="dxa"/>
            <w:tcBorders>
              <w:top w:val="nil"/>
              <w:left w:val="nil"/>
              <w:bottom w:val="nil"/>
              <w:right w:val="nil"/>
            </w:tcBorders>
            <w:shd w:val="clear" w:color="auto" w:fill="auto"/>
            <w:tcMar>
              <w:top w:w="0" w:type="dxa"/>
              <w:left w:w="108" w:type="dxa"/>
              <w:bottom w:w="0" w:type="dxa"/>
              <w:right w:w="108" w:type="dxa"/>
            </w:tcMar>
            <w:hideMark/>
          </w:tcPr>
          <w:p w14:paraId="1272030C"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AEB96C3"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B038D0B"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sz w:val="20"/>
                <w:szCs w:val="20"/>
                <w:lang w:eastAsia="es-CO"/>
              </w:rPr>
              <w:t> </w:t>
            </w:r>
          </w:p>
        </w:tc>
        <w:tc>
          <w:tcPr>
            <w:tcW w:w="6492" w:type="dxa"/>
            <w:tcBorders>
              <w:top w:val="nil"/>
              <w:left w:val="nil"/>
              <w:bottom w:val="nil"/>
              <w:right w:val="nil"/>
            </w:tcBorders>
            <w:shd w:val="clear" w:color="auto" w:fill="auto"/>
            <w:tcMar>
              <w:top w:w="0" w:type="dxa"/>
              <w:left w:w="108" w:type="dxa"/>
              <w:bottom w:w="0" w:type="dxa"/>
              <w:right w:w="108" w:type="dxa"/>
            </w:tcMar>
            <w:hideMark/>
          </w:tcPr>
          <w:p w14:paraId="5246CB31" w14:textId="77777777" w:rsidR="00561097" w:rsidRPr="00561097" w:rsidRDefault="00561097" w:rsidP="00561097">
            <w:pPr>
              <w:spacing w:after="0" w:line="360" w:lineRule="auto"/>
              <w:jc w:val="both"/>
              <w:rPr>
                <w:rFonts w:eastAsia="Times New Roman" w:cs="Times New Roman"/>
                <w:szCs w:val="24"/>
                <w:lang w:eastAsia="es-CO"/>
              </w:rPr>
            </w:pPr>
            <w:hyperlink r:id="rId4" w:tooltip="Estatuto Tributario CETA" w:history="1">
              <w:r w:rsidRPr="00561097">
                <w:rPr>
                  <w:rFonts w:ascii="Segoe UI" w:eastAsia="Times New Roman" w:hAnsi="Segoe UI" w:cs="Segoe UI"/>
                  <w:color w:val="0089E1"/>
                  <w:sz w:val="20"/>
                  <w:szCs w:val="20"/>
                  <w:lang w:eastAsia="es-CO"/>
                </w:rPr>
                <w:t>Artículo 616-1</w:t>
              </w:r>
            </w:hyperlink>
            <w:r w:rsidRPr="00561097">
              <w:rPr>
                <w:rFonts w:ascii="Segoe UI" w:eastAsia="Times New Roman" w:hAnsi="Segoe UI" w:cs="Segoe UI"/>
                <w:sz w:val="20"/>
                <w:szCs w:val="20"/>
                <w:lang w:eastAsia="es-CO"/>
              </w:rPr>
              <w:t> del Estatuto Tributario</w:t>
            </w:r>
          </w:p>
          <w:p w14:paraId="00EDFBBC"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sz w:val="20"/>
                <w:szCs w:val="20"/>
                <w:lang w:eastAsia="es-CO"/>
              </w:rPr>
              <w:t>Artículo 1.6.1.4.12. del Decreto 1625 de 2016</w:t>
            </w:r>
          </w:p>
          <w:p w14:paraId="44DF021C" w14:textId="77777777" w:rsidR="00561097" w:rsidRPr="00561097" w:rsidRDefault="00561097" w:rsidP="00561097">
            <w:pPr>
              <w:spacing w:after="0" w:line="360" w:lineRule="auto"/>
              <w:jc w:val="both"/>
              <w:rPr>
                <w:rFonts w:eastAsia="Times New Roman" w:cs="Times New Roman"/>
                <w:szCs w:val="24"/>
                <w:lang w:eastAsia="es-CO"/>
              </w:rPr>
            </w:pPr>
            <w:r w:rsidRPr="00561097">
              <w:rPr>
                <w:rFonts w:ascii="Segoe UI" w:eastAsia="Times New Roman" w:hAnsi="Segoe UI" w:cs="Segoe UI"/>
                <w:sz w:val="20"/>
                <w:szCs w:val="20"/>
                <w:lang w:eastAsia="es-CO"/>
              </w:rPr>
              <w:t>Resolución DIAN No. 000167 de 2021</w:t>
            </w:r>
          </w:p>
        </w:tc>
      </w:tr>
    </w:tbl>
    <w:p w14:paraId="2E1D7847"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3B9C0F6A"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6D082441"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Cordial saludo,</w:t>
      </w:r>
    </w:p>
    <w:p w14:paraId="6C63CE24"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4BE83716"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6961226"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6642F666"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Mediante el radicado en referencia, el peticionario consulta acerca de la aplicación del documento soporte en adquisiciones efectuadas a sujetos no obligados a expedir factura de venta o documento equivalente y sus especificidades cuando los contribuyentes del impuesto sobre la renta y complementarios actúan a través de patrimonios autónomos y fondos de capital privado, enfocando su petición esencialmente en: </w:t>
      </w:r>
      <w:r w:rsidRPr="00561097">
        <w:rPr>
          <w:rFonts w:ascii="Segoe UI" w:eastAsia="Times New Roman" w:hAnsi="Segoe UI" w:cs="Segoe UI"/>
          <w:i/>
          <w:iCs/>
          <w:color w:val="000000"/>
          <w:sz w:val="18"/>
          <w:szCs w:val="18"/>
          <w:lang w:eastAsia="es-CO"/>
        </w:rPr>
        <w:t>“¿Cómo debe el contribuyente del impuesto sobre la renta que actúa a través de dichos vehículos soportar el costo o deducción en el impuestos sobre la renta y complementarios, cuando en ejecución del objeto encomendado es el patrimonio autónomo o fondo de capital privado quien adquiere bienes o servicios a sujetos no obligados a facturar?”</w:t>
      </w:r>
    </w:p>
    <w:p w14:paraId="31F3828B"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65E3E004"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Al respecto, las consideraciones de este Despacho son las siguientes:</w:t>
      </w:r>
    </w:p>
    <w:p w14:paraId="7215EB44"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4DEF8C88"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A efectos de la generación y transmisión para validación del documento soporte en adquisiciones efectuadas a sujetos no obligados a expedir factura de venta o documento equivalente, debe tenerse presente que este de un soporte de costos y deducciones en el impuesto sobre la renta y complementarios.</w:t>
      </w:r>
    </w:p>
    <w:p w14:paraId="79EF2EEB"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lastRenderedPageBreak/>
        <w:t> </w:t>
      </w:r>
    </w:p>
    <w:p w14:paraId="67E7F4B1"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Así las cosas, cuando dicho documento electrónico es requerido por quien tiene la calidad de contribuyente del impuesto sobre la renta y complementarios, persona natural o jurídica, que actúa como participe, fideicomitente o que de cualquier manera íntegra el vehículo, y esta necesita probar el costo o deducción susceptible de ser soportado con el documento soporte en adquisiciones efectuadas a sujetos no obligados a expedir factura de venta o documento equivalente, ya que las adquisiciones que lo originan se efectúan por medio del patrimonio autónomo o fondo de capital privado del cual es miembro dicho contribuyente, la forma en la cual deberá darse cumplimiento a la obligación formal de generar y transmitir el citado soporte deberá tener en cuenta que:</w:t>
      </w:r>
    </w:p>
    <w:p w14:paraId="48A305F0"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3127A7A6"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1. Los patrimonios autónomos y los fondos de capital privado obedecen vehículos transparentes de conformidad con lo dispuesto en los artículos </w:t>
      </w:r>
      <w:hyperlink r:id="rId5" w:tooltip="Estatuto Tributario CETA" w:history="1">
        <w:r w:rsidRPr="00561097">
          <w:rPr>
            <w:rFonts w:ascii="Segoe UI" w:eastAsia="Times New Roman" w:hAnsi="Segoe UI" w:cs="Segoe UI"/>
            <w:color w:val="0089E1"/>
            <w:sz w:val="18"/>
            <w:szCs w:val="18"/>
            <w:lang w:eastAsia="es-CO"/>
          </w:rPr>
          <w:t>23</w:t>
        </w:r>
      </w:hyperlink>
      <w:r w:rsidRPr="00561097">
        <w:rPr>
          <w:rFonts w:ascii="Segoe UI" w:eastAsia="Times New Roman" w:hAnsi="Segoe UI" w:cs="Segoe UI"/>
          <w:color w:val="000000"/>
          <w:sz w:val="18"/>
          <w:szCs w:val="18"/>
          <w:lang w:eastAsia="es-CO"/>
        </w:rPr>
        <w:t>, </w:t>
      </w:r>
      <w:hyperlink r:id="rId6" w:tooltip="Estatuto Tributario CETA" w:history="1">
        <w:r w:rsidRPr="00561097">
          <w:rPr>
            <w:rFonts w:ascii="Segoe UI" w:eastAsia="Times New Roman" w:hAnsi="Segoe UI" w:cs="Segoe UI"/>
            <w:color w:val="0089E1"/>
            <w:sz w:val="18"/>
            <w:szCs w:val="18"/>
            <w:lang w:eastAsia="es-CO"/>
          </w:rPr>
          <w:t>23-1</w:t>
        </w:r>
      </w:hyperlink>
      <w:r w:rsidRPr="00561097">
        <w:rPr>
          <w:rFonts w:ascii="Segoe UI" w:eastAsia="Times New Roman" w:hAnsi="Segoe UI" w:cs="Segoe UI"/>
          <w:color w:val="000000"/>
          <w:sz w:val="18"/>
          <w:szCs w:val="18"/>
          <w:lang w:eastAsia="es-CO"/>
        </w:rPr>
        <w:t> y </w:t>
      </w:r>
      <w:hyperlink r:id="rId7" w:tooltip="Estatuto Tributario CETA" w:history="1">
        <w:r w:rsidRPr="00561097">
          <w:rPr>
            <w:rFonts w:ascii="Segoe UI" w:eastAsia="Times New Roman" w:hAnsi="Segoe UI" w:cs="Segoe UI"/>
            <w:color w:val="0089E1"/>
            <w:sz w:val="18"/>
            <w:szCs w:val="18"/>
            <w:lang w:eastAsia="es-CO"/>
          </w:rPr>
          <w:t>102</w:t>
        </w:r>
      </w:hyperlink>
      <w:r w:rsidRPr="00561097">
        <w:rPr>
          <w:rFonts w:ascii="Segoe UI" w:eastAsia="Times New Roman" w:hAnsi="Segoe UI" w:cs="Segoe UI"/>
          <w:color w:val="000000"/>
          <w:sz w:val="18"/>
          <w:szCs w:val="18"/>
          <w:lang w:eastAsia="es-CO"/>
        </w:rPr>
        <w:t> del Estatuto Tributario. Al respecto, debe precisarse que estos entes no son sujetos contribuyentes del impuesto sobre la renta y complementarios; además, sobre estos aplica el principio de transparencia fiscal.</w:t>
      </w:r>
    </w:p>
    <w:p w14:paraId="59574E84"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056BF52C"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2. Por su parte, el artículo 20 de la Resolución DIAN No. 000167 de 2021, por medio de la cual se implementa y desarrolla en el sistema de facturación electrónica la funcionalidad del documento soporte en adquisiciones efectuadas a sujetos no obligados a expedir factura de venta o documento equivalente, para su transmisión electrónica y se expide el anexo técnico para este documento, dispone:</w:t>
      </w:r>
    </w:p>
    <w:p w14:paraId="19A95CF2"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i/>
          <w:iCs/>
          <w:color w:val="000000"/>
          <w:sz w:val="18"/>
          <w:szCs w:val="18"/>
          <w:lang w:eastAsia="es-CO"/>
        </w:rPr>
        <w:t> </w:t>
      </w:r>
    </w:p>
    <w:p w14:paraId="115F8017"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i/>
          <w:iCs/>
          <w:color w:val="000000"/>
          <w:sz w:val="18"/>
          <w:szCs w:val="18"/>
          <w:lang w:eastAsia="es-CO"/>
        </w:rPr>
        <w:t>“</w:t>
      </w:r>
      <w:r w:rsidRPr="00561097">
        <w:rPr>
          <w:rFonts w:ascii="Segoe UI" w:eastAsia="Times New Roman" w:hAnsi="Segoe UI" w:cs="Segoe UI"/>
          <w:b/>
          <w:bCs/>
          <w:i/>
          <w:iCs/>
          <w:color w:val="000000"/>
          <w:sz w:val="18"/>
          <w:szCs w:val="18"/>
          <w:lang w:eastAsia="es-CO"/>
        </w:rPr>
        <w:t>Artículo 20. Representantes que deben cumplir con el documento soporte en adquisiciones efectuadas a sujetos no obligados a expedir factura de venta o documento equivalente. </w:t>
      </w:r>
      <w:r w:rsidRPr="00561097">
        <w:rPr>
          <w:rFonts w:ascii="Segoe UI" w:eastAsia="Times New Roman" w:hAnsi="Segoe UI" w:cs="Segoe UI"/>
          <w:i/>
          <w:iCs/>
          <w:color w:val="000000"/>
          <w:sz w:val="18"/>
          <w:szCs w:val="18"/>
          <w:u w:val="single"/>
          <w:lang w:eastAsia="es-CO"/>
        </w:rPr>
        <w:t>Cuando el sujeto obligado que genera y transmite el documento soporte en adquisiciones efectuadas a sujetos no obligados a expedir factura de venta o documento equivalente realice este proceso, a través de un tercero, el citado tercero deberá estar previamente habilitado</w:t>
      </w:r>
      <w:r w:rsidRPr="00561097">
        <w:rPr>
          <w:rFonts w:ascii="Segoe UI" w:eastAsia="Times New Roman" w:hAnsi="Segoe UI" w:cs="Segoe UI"/>
          <w:i/>
          <w:iCs/>
          <w:color w:val="000000"/>
          <w:sz w:val="18"/>
          <w:szCs w:val="18"/>
          <w:lang w:eastAsia="es-CO"/>
        </w:rPr>
        <w:t> por la Unidad Administrativa Especial Dirección de Impuestos y Aduanas Nacionales -DIAN; de conformidad con dispuesto en los artículos </w:t>
      </w:r>
      <w:hyperlink r:id="rId8" w:tooltip="Estatuto Tributario CETA" w:history="1">
        <w:r w:rsidRPr="00561097">
          <w:rPr>
            <w:rFonts w:ascii="Segoe UI" w:eastAsia="Times New Roman" w:hAnsi="Segoe UI" w:cs="Segoe UI"/>
            <w:i/>
            <w:iCs/>
            <w:color w:val="0089E1"/>
            <w:sz w:val="18"/>
            <w:szCs w:val="18"/>
            <w:lang w:eastAsia="es-CO"/>
          </w:rPr>
          <w:t>572</w:t>
        </w:r>
      </w:hyperlink>
      <w:r w:rsidRPr="00561097">
        <w:rPr>
          <w:rFonts w:ascii="Segoe UI" w:eastAsia="Times New Roman" w:hAnsi="Segoe UI" w:cs="Segoe UI"/>
          <w:i/>
          <w:iCs/>
          <w:color w:val="000000"/>
          <w:sz w:val="18"/>
          <w:szCs w:val="18"/>
          <w:lang w:eastAsia="es-CO"/>
        </w:rPr>
        <w:t> y </w:t>
      </w:r>
      <w:hyperlink r:id="rId9" w:tooltip="Estatuto Tributario CETA" w:history="1">
        <w:r w:rsidRPr="00561097">
          <w:rPr>
            <w:rFonts w:ascii="Segoe UI" w:eastAsia="Times New Roman" w:hAnsi="Segoe UI" w:cs="Segoe UI"/>
            <w:i/>
            <w:iCs/>
            <w:color w:val="0089E1"/>
            <w:sz w:val="18"/>
            <w:szCs w:val="18"/>
            <w:lang w:eastAsia="es-CO"/>
          </w:rPr>
          <w:t>573</w:t>
        </w:r>
      </w:hyperlink>
      <w:r w:rsidRPr="00561097">
        <w:rPr>
          <w:rFonts w:ascii="Segoe UI" w:eastAsia="Times New Roman" w:hAnsi="Segoe UI" w:cs="Segoe UI"/>
          <w:i/>
          <w:iCs/>
          <w:color w:val="000000"/>
          <w:sz w:val="18"/>
          <w:szCs w:val="18"/>
          <w:lang w:eastAsia="es-CO"/>
        </w:rPr>
        <w:t> del Estatuto Tributario.</w:t>
      </w:r>
    </w:p>
    <w:p w14:paraId="17C1B379"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i/>
          <w:iCs/>
          <w:color w:val="000000"/>
          <w:sz w:val="18"/>
          <w:szCs w:val="18"/>
          <w:lang w:eastAsia="es-CO"/>
        </w:rPr>
        <w:t> </w:t>
      </w:r>
    </w:p>
    <w:p w14:paraId="7D0ED683"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b/>
          <w:bCs/>
          <w:i/>
          <w:iCs/>
          <w:color w:val="000000"/>
          <w:sz w:val="18"/>
          <w:szCs w:val="18"/>
          <w:lang w:eastAsia="es-CO"/>
        </w:rPr>
        <w:t>Parágrafo Transitorio</w:t>
      </w:r>
      <w:r w:rsidRPr="00561097">
        <w:rPr>
          <w:rFonts w:ascii="Segoe UI" w:eastAsia="Times New Roman" w:hAnsi="Segoe UI" w:cs="Segoe UI"/>
          <w:i/>
          <w:iCs/>
          <w:color w:val="000000"/>
          <w:sz w:val="18"/>
          <w:szCs w:val="18"/>
          <w:lang w:eastAsia="es-CO"/>
        </w:rPr>
        <w:t>. Cuando el sujeto obligado de que trata el artículo 3 de esta resolución, realice la generación, transmisión y validación del documento soporte en adquisiciones efectuadas a sujetos no obligados a expedir factura de venta o documento equivalente y sus notas de ajuste a través de un representante o tercero, este último deberá inscribir esta calidad en el Registro Único Tributario -RUT una vez la Unidad Administrativa Especial Dirección de Impuestos y Aduanas Nacionales -DIAN realice los ajustes informáticos necesarios.</w:t>
      </w:r>
    </w:p>
    <w:p w14:paraId="3D484A37"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i/>
          <w:iCs/>
          <w:color w:val="000000"/>
          <w:sz w:val="18"/>
          <w:szCs w:val="18"/>
          <w:lang w:eastAsia="es-CO"/>
        </w:rPr>
        <w:t> </w:t>
      </w:r>
    </w:p>
    <w:p w14:paraId="1953E5BE"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i/>
          <w:iCs/>
          <w:color w:val="000000"/>
          <w:sz w:val="18"/>
          <w:szCs w:val="18"/>
          <w:lang w:eastAsia="es-CO"/>
        </w:rPr>
        <w:t>Cuando la generación y transmisión del documento soporte en adquisiciones efectuadas a sujetos no obligados a expedir factura de venta o documento equivalente y sus notas de ajuste sea cumplida por un tercero, las partes deberán conservar el documento que lo acredite para tal fin por los términos legales que le corresponda, para que sean exhibidos o enviados cuando la Unidad Administrativa Especial Dirección de Impuestos y Aduanas Nacionales -DIAN lo requiera”. </w:t>
      </w:r>
      <w:r w:rsidRPr="00561097">
        <w:rPr>
          <w:rFonts w:ascii="Segoe UI" w:eastAsia="Times New Roman" w:hAnsi="Segoe UI" w:cs="Segoe UI"/>
          <w:color w:val="000000"/>
          <w:sz w:val="18"/>
          <w:szCs w:val="18"/>
          <w:lang w:eastAsia="es-CO"/>
        </w:rPr>
        <w:t>(Subrayado fuera de texto).</w:t>
      </w:r>
    </w:p>
    <w:p w14:paraId="42A1619F"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442AE20F"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Así las cosas, cuando el contribuyente del impuesto sobre la renta y complementarios necesite soportar los costos o deducciones derivados de la adquisición de bienes y/o servicios a sujetos no obligados a expedir factura de venta o documento equivalente, que se efectuaron por medio de patrimonios autónomos o fondos de inversión colectiva en su nombre, </w:t>
      </w:r>
      <w:r w:rsidRPr="00561097">
        <w:rPr>
          <w:rFonts w:ascii="Segoe UI" w:eastAsia="Times New Roman" w:hAnsi="Segoe UI" w:cs="Segoe UI"/>
          <w:color w:val="000000"/>
          <w:sz w:val="18"/>
          <w:szCs w:val="18"/>
          <w:u w:val="single"/>
          <w:lang w:eastAsia="es-CO"/>
        </w:rPr>
        <w:t>es el tercero representante o administrador de dichos vehículos quien deberá -en razón a su actuación como tercero representante de sus miembros- generar y transmitir para validación el documento soporte</w:t>
      </w:r>
      <w:r w:rsidRPr="00561097">
        <w:rPr>
          <w:rFonts w:ascii="Segoe UI" w:eastAsia="Times New Roman" w:hAnsi="Segoe UI" w:cs="Segoe UI"/>
          <w:color w:val="000000"/>
          <w:sz w:val="18"/>
          <w:szCs w:val="18"/>
          <w:lang w:eastAsia="es-CO"/>
        </w:rPr>
        <w:t>. Documento electrónico que constituirá el soporte del costo o deducción a que tienen derecho los contribuyentes del impuesto sobre la renta y complementarios que hacen parte del mencionado fondo o patrimonio.</w:t>
      </w:r>
    </w:p>
    <w:p w14:paraId="3C2F365C"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7A454A40"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lastRenderedPageBreak/>
        <w:t>3. El citado soporte deberá generarse y transmitirse para validación en los términos que dispone el artículo 1.6.1.4.12. del Decreto 1625 de 2016 y la Resolución DIAN No. 000167 de 2021 o las normas que las modifiquen o sustituyan.</w:t>
      </w:r>
    </w:p>
    <w:p w14:paraId="4F3E697E"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2861E483"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xml:space="preserve">4. Por su parte, la certificación que expida el representante o administrador del fondo o patrimonio al contribuyente de </w:t>
      </w:r>
      <w:proofErr w:type="gramStart"/>
      <w:r w:rsidRPr="00561097">
        <w:rPr>
          <w:rFonts w:ascii="Segoe UI" w:eastAsia="Times New Roman" w:hAnsi="Segoe UI" w:cs="Segoe UI"/>
          <w:color w:val="000000"/>
          <w:sz w:val="18"/>
          <w:szCs w:val="18"/>
          <w:lang w:eastAsia="es-CO"/>
        </w:rPr>
        <w:t>renta,</w:t>
      </w:r>
      <w:proofErr w:type="gramEnd"/>
      <w:r w:rsidRPr="00561097">
        <w:rPr>
          <w:rFonts w:ascii="Segoe UI" w:eastAsia="Times New Roman" w:hAnsi="Segoe UI" w:cs="Segoe UI"/>
          <w:color w:val="000000"/>
          <w:sz w:val="18"/>
          <w:szCs w:val="18"/>
          <w:lang w:eastAsia="es-CO"/>
        </w:rPr>
        <w:t xml:space="preserve"> deberá especificar la proporción asignada de dicho soporte, según corresponda.</w:t>
      </w:r>
    </w:p>
    <w:p w14:paraId="4E8831FB"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59F25375"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5. Respecto a la forma en la cual debe el tercero representante o administrador del fondo o patrimonio cumplir con la generación y transmisión para validación del citado soporte, se informa que el mismo deberá habilitarse dentro de la plataforma de facturación electrónica y cumplir con las características, condiciones, mecanismos técnicos y tecnológicos que se disponen en la Resolución DIAN No. 000167 de 2021 y se describen en el Anexo técnico del citado documento soporte versión 1.0 adoptado por dicho acto administrativo.</w:t>
      </w:r>
    </w:p>
    <w:p w14:paraId="40789136"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6C67990F" w14:textId="77777777" w:rsidR="00561097" w:rsidRPr="00561097" w:rsidRDefault="00561097" w:rsidP="00561097">
      <w:pPr>
        <w:spacing w:after="0" w:line="360" w:lineRule="auto"/>
        <w:ind w:left="284"/>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6. Previo a terminar, se advierte que lo explicado anteriormente es aplicable únicamente para efectos de las adquisiciones efectuadas a sujetos no obligados a expedir factura de venta o documento equivalente que se celebren </w:t>
      </w:r>
      <w:r w:rsidRPr="00561097">
        <w:rPr>
          <w:rFonts w:ascii="Segoe UI" w:eastAsia="Times New Roman" w:hAnsi="Segoe UI" w:cs="Segoe UI"/>
          <w:b/>
          <w:bCs/>
          <w:color w:val="000000"/>
          <w:sz w:val="18"/>
          <w:szCs w:val="18"/>
          <w:u w:val="single"/>
          <w:lang w:eastAsia="es-CO"/>
        </w:rPr>
        <w:t>directamente</w:t>
      </w:r>
      <w:r w:rsidRPr="00561097">
        <w:rPr>
          <w:rFonts w:ascii="Segoe UI" w:eastAsia="Times New Roman" w:hAnsi="Segoe UI" w:cs="Segoe UI"/>
          <w:b/>
          <w:bCs/>
          <w:color w:val="000000"/>
          <w:sz w:val="18"/>
          <w:szCs w:val="18"/>
          <w:lang w:eastAsia="es-CO"/>
        </w:rPr>
        <w:t> </w:t>
      </w:r>
      <w:r w:rsidRPr="00561097">
        <w:rPr>
          <w:rFonts w:ascii="Segoe UI" w:eastAsia="Times New Roman" w:hAnsi="Segoe UI" w:cs="Segoe UI"/>
          <w:color w:val="000000"/>
          <w:sz w:val="18"/>
          <w:szCs w:val="18"/>
          <w:lang w:eastAsia="es-CO"/>
        </w:rPr>
        <w:t>por parte de los patrimonios autónomos o fondos de capital privado y sean susceptibles de constituir costo o deducción en el impuesto sobre la renta y complementarios para los contribuyentes partícipes de los citados entes.</w:t>
      </w:r>
    </w:p>
    <w:p w14:paraId="5D67C97C"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10FCED08"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521E0094"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Atentamente,</w:t>
      </w:r>
    </w:p>
    <w:p w14:paraId="64092234"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4D720912"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 </w:t>
      </w:r>
    </w:p>
    <w:p w14:paraId="2AD2CBC3"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b/>
          <w:bCs/>
          <w:color w:val="000000"/>
          <w:sz w:val="18"/>
          <w:szCs w:val="18"/>
          <w:lang w:eastAsia="es-CO"/>
        </w:rPr>
        <w:t>NICOLÁS BERNAL ABELLA</w:t>
      </w:r>
    </w:p>
    <w:p w14:paraId="73DFB19B"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Subdirector de Normativa y Doctrina (E)</w:t>
      </w:r>
    </w:p>
    <w:p w14:paraId="67AD893B"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Dirección de Gestión Jurídica</w:t>
      </w:r>
    </w:p>
    <w:p w14:paraId="07769B71" w14:textId="77777777" w:rsidR="00561097" w:rsidRPr="00561097" w:rsidRDefault="00561097" w:rsidP="00561097">
      <w:pPr>
        <w:spacing w:after="0" w:line="360" w:lineRule="auto"/>
        <w:jc w:val="both"/>
        <w:rPr>
          <w:rFonts w:ascii="Arial" w:eastAsia="Times New Roman" w:hAnsi="Arial" w:cs="Arial"/>
          <w:color w:val="000000"/>
          <w:sz w:val="18"/>
          <w:szCs w:val="18"/>
          <w:lang w:eastAsia="es-CO"/>
        </w:rPr>
      </w:pPr>
      <w:r w:rsidRPr="00561097">
        <w:rPr>
          <w:rFonts w:ascii="Segoe UI" w:eastAsia="Times New Roman" w:hAnsi="Segoe UI" w:cs="Segoe UI"/>
          <w:color w:val="000000"/>
          <w:sz w:val="18"/>
          <w:szCs w:val="18"/>
          <w:lang w:eastAsia="es-CO"/>
        </w:rPr>
        <w:t>UAE- Dirección de Impuestos y Aduanas Nacionales</w:t>
      </w:r>
    </w:p>
    <w:p w14:paraId="60F832E0" w14:textId="77777777" w:rsidR="007F5CC8" w:rsidRDefault="007F5CC8" w:rsidP="00561097">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97"/>
    <w:rsid w:val="000F3837"/>
    <w:rsid w:val="001E311E"/>
    <w:rsid w:val="00434AE6"/>
    <w:rsid w:val="00561097"/>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1F20"/>
  <w15:chartTrackingRefBased/>
  <w15:docId w15:val="{D8D9C478-13AB-4C9F-A5DB-AED5A467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0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2" TargetMode="External"/><Relationship Id="rId11" Type="http://schemas.openxmlformats.org/officeDocument/2006/relationships/theme" Target="theme/theme1.xml"/><Relationship Id="rId5" Type="http://schemas.openxmlformats.org/officeDocument/2006/relationships/hyperlink" Target="https://www.ceta.org.co/html/vista_de_un_articulo.asp?Norma=51" TargetMode="External"/><Relationship Id="rId10" Type="http://schemas.openxmlformats.org/officeDocument/2006/relationships/fontTable" Target="fontTable.xml"/><Relationship Id="rId4" Type="http://schemas.openxmlformats.org/officeDocument/2006/relationships/hyperlink" Target="https://www.ceta.org.co/html/vista_de_un_articulo.asp?Norma=758" TargetMode="External"/><Relationship Id="rId9" Type="http://schemas.openxmlformats.org/officeDocument/2006/relationships/hyperlink" Target="https://www.ceta.org.co/html/vista_de_un_articulo.asp?Norma=7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1312</Words>
  <Characters>7220</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2022-05-26T02:04:00Z</dcterms:created>
  <dcterms:modified xsi:type="dcterms:W3CDTF">2022-05-26T02:06:00Z</dcterms:modified>
</cp:coreProperties>
</file>