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DCCC" w14:textId="77777777" w:rsidR="00BC0ECD" w:rsidRPr="00BC0ECD" w:rsidRDefault="00BC0ECD" w:rsidP="00BC0ECD">
      <w:pPr>
        <w:spacing w:after="0" w:line="360" w:lineRule="auto"/>
        <w:jc w:val="center"/>
        <w:rPr>
          <w:rFonts w:eastAsia="Times New Roman" w:cs="Times New Roman"/>
          <w:b/>
          <w:bCs/>
          <w:color w:val="0000FF"/>
          <w:szCs w:val="24"/>
          <w:lang w:eastAsia="es-CO"/>
        </w:rPr>
      </w:pPr>
    </w:p>
    <w:p w14:paraId="03DAC981" w14:textId="77777777" w:rsidR="00BC0ECD" w:rsidRPr="00BC0ECD" w:rsidRDefault="00BC0ECD" w:rsidP="00BC0ECD">
      <w:pPr>
        <w:spacing w:after="0" w:line="360" w:lineRule="auto"/>
        <w:jc w:val="center"/>
        <w:rPr>
          <w:rFonts w:eastAsia="Times New Roman" w:cs="Times New Roman"/>
          <w:b/>
          <w:bCs/>
          <w:color w:val="0000FF"/>
          <w:szCs w:val="24"/>
          <w:lang w:eastAsia="es-CO"/>
        </w:rPr>
      </w:pPr>
    </w:p>
    <w:p w14:paraId="3A0B606F" w14:textId="77777777" w:rsidR="00BC0ECD" w:rsidRPr="00BC0ECD" w:rsidRDefault="00BC0ECD" w:rsidP="00BC0ECD">
      <w:pPr>
        <w:spacing w:after="0" w:line="360" w:lineRule="auto"/>
        <w:jc w:val="center"/>
        <w:rPr>
          <w:rFonts w:eastAsia="Times New Roman" w:cs="Times New Roman"/>
          <w:b/>
          <w:bCs/>
          <w:color w:val="0000FF"/>
          <w:szCs w:val="24"/>
          <w:lang w:eastAsia="es-CO"/>
        </w:rPr>
      </w:pPr>
    </w:p>
    <w:p w14:paraId="61109E99" w14:textId="7B71064B" w:rsidR="00BC0ECD" w:rsidRPr="00BC0ECD" w:rsidRDefault="00BC0ECD" w:rsidP="00BC0ECD">
      <w:pPr>
        <w:spacing w:after="0" w:line="360" w:lineRule="auto"/>
        <w:jc w:val="center"/>
        <w:rPr>
          <w:rFonts w:eastAsia="Times New Roman" w:cs="Times New Roman"/>
          <w:color w:val="000000"/>
          <w:szCs w:val="24"/>
          <w:lang w:eastAsia="es-CO"/>
        </w:rPr>
      </w:pPr>
      <w:r w:rsidRPr="00BC0ECD">
        <w:rPr>
          <w:rFonts w:eastAsia="Times New Roman" w:cs="Times New Roman"/>
          <w:b/>
          <w:bCs/>
          <w:color w:val="0000FF"/>
          <w:szCs w:val="24"/>
          <w:lang w:eastAsia="es-CO"/>
        </w:rPr>
        <w:t xml:space="preserve">OFICIO </w:t>
      </w:r>
      <w:proofErr w:type="spellStart"/>
      <w:r w:rsidRPr="00BC0ECD">
        <w:rPr>
          <w:rFonts w:eastAsia="Times New Roman" w:cs="Times New Roman"/>
          <w:b/>
          <w:bCs/>
          <w:color w:val="0000FF"/>
          <w:szCs w:val="24"/>
          <w:lang w:eastAsia="es-CO"/>
        </w:rPr>
        <w:t>Nº</w:t>
      </w:r>
      <w:proofErr w:type="spellEnd"/>
      <w:r w:rsidRPr="00BC0ECD">
        <w:rPr>
          <w:rFonts w:eastAsia="Times New Roman" w:cs="Times New Roman"/>
          <w:b/>
          <w:bCs/>
          <w:color w:val="0000FF"/>
          <w:szCs w:val="24"/>
          <w:lang w:eastAsia="es-CO"/>
        </w:rPr>
        <w:t xml:space="preserve"> 277 [901700]</w:t>
      </w:r>
    </w:p>
    <w:p w14:paraId="55A14758" w14:textId="77777777" w:rsidR="00BC0ECD" w:rsidRPr="00BC0ECD" w:rsidRDefault="00BC0ECD" w:rsidP="00BC0ECD">
      <w:pPr>
        <w:spacing w:after="0" w:line="360" w:lineRule="auto"/>
        <w:jc w:val="center"/>
        <w:rPr>
          <w:rFonts w:eastAsia="Times New Roman" w:cs="Times New Roman"/>
          <w:color w:val="000000"/>
          <w:szCs w:val="24"/>
          <w:lang w:eastAsia="es-CO"/>
        </w:rPr>
      </w:pPr>
      <w:r w:rsidRPr="00BC0ECD">
        <w:rPr>
          <w:rFonts w:eastAsia="Times New Roman" w:cs="Times New Roman"/>
          <w:b/>
          <w:bCs/>
          <w:color w:val="0000FF"/>
          <w:szCs w:val="24"/>
          <w:lang w:eastAsia="es-CO"/>
        </w:rPr>
        <w:t>07-03-2022</w:t>
      </w:r>
    </w:p>
    <w:p w14:paraId="273AED29" w14:textId="77777777" w:rsidR="00BC0ECD" w:rsidRPr="00BC0ECD" w:rsidRDefault="00BC0ECD" w:rsidP="00BC0ECD">
      <w:pPr>
        <w:spacing w:after="0" w:line="360" w:lineRule="auto"/>
        <w:jc w:val="center"/>
        <w:rPr>
          <w:rFonts w:eastAsia="Times New Roman" w:cs="Times New Roman"/>
          <w:color w:val="000000"/>
          <w:szCs w:val="24"/>
          <w:lang w:eastAsia="es-CO"/>
        </w:rPr>
      </w:pPr>
      <w:r w:rsidRPr="00BC0ECD">
        <w:rPr>
          <w:rFonts w:eastAsia="Times New Roman" w:cs="Times New Roman"/>
          <w:b/>
          <w:bCs/>
          <w:color w:val="0000FF"/>
          <w:szCs w:val="24"/>
          <w:lang w:eastAsia="es-CO"/>
        </w:rPr>
        <w:t>DIAN</w:t>
      </w:r>
    </w:p>
    <w:p w14:paraId="1AA910D8"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62F7E4DD"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5B13ED8A"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Subdirección de Normativa y Doctrina</w:t>
      </w:r>
    </w:p>
    <w:p w14:paraId="268CBF9F"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100208192-277</w:t>
      </w:r>
    </w:p>
    <w:p w14:paraId="009FED3D"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Bogotá, D.C.</w:t>
      </w:r>
    </w:p>
    <w:p w14:paraId="125CF2A9"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12D60B66"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b/>
          <w:bCs/>
          <w:color w:val="000000"/>
          <w:szCs w:val="24"/>
          <w:lang w:eastAsia="es-CO"/>
        </w:rPr>
        <w:t>Tema:</w:t>
      </w:r>
      <w:r w:rsidRPr="00BC0ECD">
        <w:rPr>
          <w:rFonts w:eastAsia="Times New Roman" w:cs="Times New Roman"/>
          <w:color w:val="000000"/>
          <w:szCs w:val="24"/>
          <w:lang w:eastAsia="es-CO"/>
        </w:rPr>
        <w:t> Retención en la fuente</w:t>
      </w:r>
    </w:p>
    <w:p w14:paraId="38800A68"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b/>
          <w:bCs/>
          <w:color w:val="000000"/>
          <w:szCs w:val="24"/>
          <w:lang w:eastAsia="es-CO"/>
        </w:rPr>
        <w:t>Descriptores:</w:t>
      </w:r>
      <w:r w:rsidRPr="00BC0ECD">
        <w:rPr>
          <w:rFonts w:eastAsia="Times New Roman" w:cs="Times New Roman"/>
          <w:color w:val="000000"/>
          <w:szCs w:val="24"/>
          <w:lang w:eastAsia="es-CO"/>
        </w:rPr>
        <w:t> Retención en la fuente por pagos al exterior</w:t>
      </w:r>
    </w:p>
    <w:p w14:paraId="231BF869"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b/>
          <w:bCs/>
          <w:color w:val="000000"/>
          <w:szCs w:val="24"/>
          <w:lang w:eastAsia="es-CO"/>
        </w:rPr>
        <w:t>Fuentes formales:</w:t>
      </w:r>
      <w:r w:rsidRPr="00BC0ECD">
        <w:rPr>
          <w:rFonts w:eastAsia="Times New Roman" w:cs="Times New Roman"/>
          <w:color w:val="000000"/>
          <w:szCs w:val="24"/>
          <w:lang w:eastAsia="es-CO"/>
        </w:rPr>
        <w:t> Artículos </w:t>
      </w:r>
      <w:hyperlink r:id="rId4" w:tooltip="Estatuto Tributario CETA" w:history="1">
        <w:r w:rsidRPr="00BC0ECD">
          <w:rPr>
            <w:rFonts w:eastAsia="Times New Roman" w:cs="Times New Roman"/>
            <w:color w:val="0089E1"/>
            <w:szCs w:val="24"/>
            <w:lang w:eastAsia="es-CO"/>
          </w:rPr>
          <w:t>124</w:t>
        </w:r>
      </w:hyperlink>
      <w:r w:rsidRPr="00BC0ECD">
        <w:rPr>
          <w:rFonts w:eastAsia="Times New Roman" w:cs="Times New Roman"/>
          <w:color w:val="000000"/>
          <w:szCs w:val="24"/>
          <w:lang w:eastAsia="es-CO"/>
        </w:rPr>
        <w:t>, </w:t>
      </w:r>
      <w:hyperlink r:id="rId5" w:tooltip="Estatuto Tributario CETA" w:history="1">
        <w:r w:rsidRPr="00BC0ECD">
          <w:rPr>
            <w:rFonts w:eastAsia="Times New Roman" w:cs="Times New Roman"/>
            <w:color w:val="0089E1"/>
            <w:szCs w:val="24"/>
            <w:lang w:eastAsia="es-CO"/>
          </w:rPr>
          <w:t>240</w:t>
        </w:r>
      </w:hyperlink>
      <w:r w:rsidRPr="00BC0ECD">
        <w:rPr>
          <w:rFonts w:eastAsia="Times New Roman" w:cs="Times New Roman"/>
          <w:color w:val="000000"/>
          <w:szCs w:val="24"/>
          <w:lang w:eastAsia="es-CO"/>
        </w:rPr>
        <w:t>, </w:t>
      </w:r>
      <w:hyperlink r:id="rId6" w:tooltip="Estatuto Tributario CETA" w:history="1">
        <w:r w:rsidRPr="00BC0ECD">
          <w:rPr>
            <w:rFonts w:eastAsia="Times New Roman" w:cs="Times New Roman"/>
            <w:color w:val="0089E1"/>
            <w:szCs w:val="24"/>
            <w:lang w:eastAsia="es-CO"/>
          </w:rPr>
          <w:t>408</w:t>
        </w:r>
      </w:hyperlink>
      <w:r w:rsidRPr="00BC0ECD">
        <w:rPr>
          <w:rFonts w:eastAsia="Times New Roman" w:cs="Times New Roman"/>
          <w:color w:val="000000"/>
          <w:szCs w:val="24"/>
          <w:lang w:eastAsia="es-CO"/>
        </w:rPr>
        <w:t> y </w:t>
      </w:r>
      <w:hyperlink r:id="rId7" w:tooltip="Estatuto Tributario CETA" w:history="1">
        <w:r w:rsidRPr="00BC0ECD">
          <w:rPr>
            <w:rFonts w:eastAsia="Times New Roman" w:cs="Times New Roman"/>
            <w:color w:val="0089E1"/>
            <w:szCs w:val="24"/>
            <w:lang w:eastAsia="es-CO"/>
          </w:rPr>
          <w:t>415</w:t>
        </w:r>
      </w:hyperlink>
      <w:r w:rsidRPr="00BC0ECD">
        <w:rPr>
          <w:rFonts w:eastAsia="Times New Roman" w:cs="Times New Roman"/>
          <w:color w:val="000000"/>
          <w:szCs w:val="24"/>
          <w:lang w:eastAsia="es-CO"/>
        </w:rPr>
        <w:t> del Estatuto Tributario</w:t>
      </w:r>
    </w:p>
    <w:p w14:paraId="03158DFE"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6CF50570"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Cordial saludo,</w:t>
      </w:r>
    </w:p>
    <w:p w14:paraId="0EDE946D"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0BF0D206"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0B5DB0A"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4BA0E493"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Mediante el radicado de la referencia, el peticionario plantea textualmente lo siguiente:</w:t>
      </w:r>
    </w:p>
    <w:p w14:paraId="766DC25A"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i/>
          <w:iCs/>
          <w:color w:val="000000"/>
          <w:szCs w:val="24"/>
          <w:lang w:eastAsia="es-CO"/>
        </w:rPr>
        <w:t> </w:t>
      </w:r>
    </w:p>
    <w:p w14:paraId="6BC5E690" w14:textId="77777777" w:rsidR="00BC0ECD" w:rsidRPr="00BC0ECD" w:rsidRDefault="00BC0ECD" w:rsidP="00BC0ECD">
      <w:pPr>
        <w:spacing w:after="0" w:line="360" w:lineRule="auto"/>
        <w:ind w:left="284"/>
        <w:jc w:val="both"/>
        <w:rPr>
          <w:rFonts w:eastAsia="Times New Roman" w:cs="Times New Roman"/>
          <w:color w:val="000000"/>
          <w:szCs w:val="24"/>
          <w:lang w:eastAsia="es-CO"/>
        </w:rPr>
      </w:pPr>
      <w:r w:rsidRPr="00BC0ECD">
        <w:rPr>
          <w:rFonts w:eastAsia="Times New Roman" w:cs="Times New Roman"/>
          <w:i/>
          <w:iCs/>
          <w:color w:val="000000"/>
          <w:szCs w:val="24"/>
          <w:lang w:eastAsia="es-CO"/>
        </w:rPr>
        <w:t>“El </w:t>
      </w:r>
      <w:hyperlink r:id="rId8" w:tooltip="Estatuto Tributario CETA" w:history="1">
        <w:r w:rsidRPr="00BC0ECD">
          <w:rPr>
            <w:rFonts w:eastAsia="Times New Roman" w:cs="Times New Roman"/>
            <w:i/>
            <w:iCs/>
            <w:color w:val="0089E1"/>
            <w:szCs w:val="24"/>
            <w:lang w:eastAsia="es-CO"/>
          </w:rPr>
          <w:t>artículo 408</w:t>
        </w:r>
      </w:hyperlink>
      <w:r w:rsidRPr="00BC0ECD">
        <w:rPr>
          <w:rFonts w:eastAsia="Times New Roman" w:cs="Times New Roman"/>
          <w:i/>
          <w:iCs/>
          <w:color w:val="000000"/>
          <w:szCs w:val="24"/>
          <w:lang w:eastAsia="es-CO"/>
        </w:rPr>
        <w:t> del Estatuto Tributario dispone que ‘Los pagos o abono en cuenta por concepto de administración o dirección de que trata el </w:t>
      </w:r>
      <w:hyperlink r:id="rId9" w:tooltip="Estatuto Tributario CETA" w:history="1">
        <w:r w:rsidRPr="00BC0ECD">
          <w:rPr>
            <w:rFonts w:eastAsia="Times New Roman" w:cs="Times New Roman"/>
            <w:i/>
            <w:iCs/>
            <w:color w:val="0089E1"/>
            <w:szCs w:val="24"/>
            <w:lang w:eastAsia="es-CO"/>
          </w:rPr>
          <w:t>artículo 124</w:t>
        </w:r>
      </w:hyperlink>
      <w:r w:rsidRPr="00BC0ECD">
        <w:rPr>
          <w:rFonts w:eastAsia="Times New Roman" w:cs="Times New Roman"/>
          <w:i/>
          <w:iCs/>
          <w:color w:val="000000"/>
          <w:szCs w:val="24"/>
          <w:lang w:eastAsia="es-CO"/>
        </w:rPr>
        <w:t> del estatuto tributario (sic), realizados a personas no residentes o no domiciliadas en el país, estarán sujetos a una retención en la fuente del treinta y tres por ciento (33) %’.</w:t>
      </w:r>
    </w:p>
    <w:p w14:paraId="222B037F" w14:textId="77777777" w:rsidR="00BC0ECD" w:rsidRPr="00BC0ECD" w:rsidRDefault="00BC0ECD" w:rsidP="00BC0ECD">
      <w:pPr>
        <w:spacing w:after="0" w:line="360" w:lineRule="auto"/>
        <w:ind w:left="284"/>
        <w:jc w:val="both"/>
        <w:rPr>
          <w:rFonts w:eastAsia="Times New Roman" w:cs="Times New Roman"/>
          <w:color w:val="000000"/>
          <w:szCs w:val="24"/>
          <w:lang w:eastAsia="es-CO"/>
        </w:rPr>
      </w:pPr>
      <w:r w:rsidRPr="00BC0ECD">
        <w:rPr>
          <w:rFonts w:eastAsia="Times New Roman" w:cs="Times New Roman"/>
          <w:i/>
          <w:iCs/>
          <w:color w:val="000000"/>
          <w:szCs w:val="24"/>
          <w:lang w:eastAsia="es-CO"/>
        </w:rPr>
        <w:t> </w:t>
      </w:r>
    </w:p>
    <w:p w14:paraId="6731E93D" w14:textId="77777777" w:rsidR="00BC0ECD" w:rsidRPr="00BC0ECD" w:rsidRDefault="00BC0ECD" w:rsidP="00BC0ECD">
      <w:pPr>
        <w:spacing w:after="0" w:line="360" w:lineRule="auto"/>
        <w:ind w:left="284"/>
        <w:jc w:val="both"/>
        <w:rPr>
          <w:rFonts w:eastAsia="Times New Roman" w:cs="Times New Roman"/>
          <w:color w:val="000000"/>
          <w:szCs w:val="24"/>
          <w:lang w:eastAsia="es-CO"/>
        </w:rPr>
      </w:pPr>
      <w:r w:rsidRPr="00BC0ECD">
        <w:rPr>
          <w:rFonts w:eastAsia="Times New Roman" w:cs="Times New Roman"/>
          <w:i/>
          <w:iCs/>
          <w:color w:val="000000"/>
          <w:szCs w:val="24"/>
          <w:lang w:eastAsia="es-CO"/>
        </w:rPr>
        <w:t>La tarifa de retención del 33% antes descrita, fue introducida por la ley (sic) 1943 de 2018, para el año gravable 2019, momento en el cual la tarifa general del impuesto sobre la renta era del 33%, sin embargo, para el año gravable 2022 la tarifa general del impuesto sobre la renta es del 35%, por lo que </w:t>
      </w:r>
      <w:r w:rsidRPr="00BC0ECD">
        <w:rPr>
          <w:rFonts w:eastAsia="Times New Roman" w:cs="Times New Roman"/>
          <w:i/>
          <w:iCs/>
          <w:color w:val="000000"/>
          <w:szCs w:val="24"/>
          <w:u w:val="single"/>
          <w:lang w:eastAsia="es-CO"/>
        </w:rPr>
        <w:t>entendemos que la tarifa del </w:t>
      </w:r>
      <w:hyperlink r:id="rId10" w:tooltip="Estatuto Tributario CETA" w:history="1">
        <w:r w:rsidRPr="00BC0ECD">
          <w:rPr>
            <w:rFonts w:eastAsia="Times New Roman" w:cs="Times New Roman"/>
            <w:i/>
            <w:iCs/>
            <w:color w:val="0089E1"/>
            <w:szCs w:val="24"/>
            <w:lang w:eastAsia="es-CO"/>
          </w:rPr>
          <w:t>408</w:t>
        </w:r>
      </w:hyperlink>
      <w:r w:rsidRPr="00BC0ECD">
        <w:rPr>
          <w:rFonts w:eastAsia="Times New Roman" w:cs="Times New Roman"/>
          <w:i/>
          <w:iCs/>
          <w:color w:val="000000"/>
          <w:szCs w:val="24"/>
          <w:u w:val="single"/>
          <w:lang w:eastAsia="es-CO"/>
        </w:rPr>
        <w:t> es independiente y no varía en correspondencia con la tarifa general de renta</w:t>
      </w:r>
      <w:r w:rsidRPr="00BC0ECD">
        <w:rPr>
          <w:rFonts w:eastAsia="Times New Roman" w:cs="Times New Roman"/>
          <w:i/>
          <w:iCs/>
          <w:color w:val="000000"/>
          <w:szCs w:val="24"/>
          <w:lang w:eastAsia="es-CO"/>
        </w:rPr>
        <w:t> (…)”. </w:t>
      </w:r>
      <w:r w:rsidRPr="00BC0ECD">
        <w:rPr>
          <w:rFonts w:eastAsia="Times New Roman" w:cs="Times New Roman"/>
          <w:color w:val="000000"/>
          <w:szCs w:val="24"/>
          <w:lang w:eastAsia="es-CO"/>
        </w:rPr>
        <w:t>(Subrayado fuera de texto).</w:t>
      </w:r>
    </w:p>
    <w:p w14:paraId="00CDBBA8"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6FA4BE1F"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Con base en lo anterior, se consulta:</w:t>
      </w:r>
    </w:p>
    <w:p w14:paraId="1E1E9DE8"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i/>
          <w:iCs/>
          <w:color w:val="000000"/>
          <w:szCs w:val="24"/>
          <w:lang w:eastAsia="es-CO"/>
        </w:rPr>
        <w:lastRenderedPageBreak/>
        <w:t> </w:t>
      </w:r>
    </w:p>
    <w:p w14:paraId="179C88DA" w14:textId="77777777" w:rsidR="00BC0ECD" w:rsidRPr="00BC0ECD" w:rsidRDefault="00BC0ECD" w:rsidP="00BC0ECD">
      <w:pPr>
        <w:spacing w:after="0" w:line="360" w:lineRule="auto"/>
        <w:ind w:left="284"/>
        <w:jc w:val="both"/>
        <w:rPr>
          <w:rFonts w:eastAsia="Times New Roman" w:cs="Times New Roman"/>
          <w:color w:val="000000"/>
          <w:szCs w:val="24"/>
          <w:lang w:eastAsia="es-CO"/>
        </w:rPr>
      </w:pPr>
      <w:r w:rsidRPr="00BC0ECD">
        <w:rPr>
          <w:rFonts w:eastAsia="Times New Roman" w:cs="Times New Roman"/>
          <w:i/>
          <w:iCs/>
          <w:color w:val="000000"/>
          <w:szCs w:val="24"/>
          <w:lang w:eastAsia="es-CO"/>
        </w:rPr>
        <w:t>“¿Qué tarifa de retención en la fuente se debe aplicar en los pagos a casa matriz por </w:t>
      </w:r>
      <w:r w:rsidRPr="00BC0ECD">
        <w:rPr>
          <w:rFonts w:eastAsia="Times New Roman" w:cs="Times New Roman"/>
          <w:i/>
          <w:iCs/>
          <w:color w:val="000000"/>
          <w:szCs w:val="24"/>
          <w:u w:val="single"/>
          <w:lang w:eastAsia="es-CO"/>
        </w:rPr>
        <w:t>concepto de gastos de administración o dirección</w:t>
      </w:r>
      <w:r w:rsidRPr="00BC0ECD">
        <w:rPr>
          <w:rFonts w:eastAsia="Times New Roman" w:cs="Times New Roman"/>
          <w:i/>
          <w:iCs/>
          <w:color w:val="000000"/>
          <w:szCs w:val="24"/>
          <w:lang w:eastAsia="es-CO"/>
        </w:rPr>
        <w:t> y así mismo por </w:t>
      </w:r>
      <w:r w:rsidRPr="00BC0ECD">
        <w:rPr>
          <w:rFonts w:eastAsia="Times New Roman" w:cs="Times New Roman"/>
          <w:i/>
          <w:iCs/>
          <w:color w:val="000000"/>
          <w:szCs w:val="24"/>
          <w:u w:val="single"/>
          <w:lang w:eastAsia="es-CO"/>
        </w:rPr>
        <w:t>concepto de regalías y explotación o adquisición</w:t>
      </w:r>
      <w:r w:rsidRPr="00BC0ECD">
        <w:rPr>
          <w:rFonts w:eastAsia="Times New Roman" w:cs="Times New Roman"/>
          <w:i/>
          <w:iCs/>
          <w:color w:val="000000"/>
          <w:szCs w:val="24"/>
          <w:lang w:eastAsia="es-CO"/>
        </w:rPr>
        <w:t> de cualquier tipo de intangibles, para el </w:t>
      </w:r>
      <w:r w:rsidRPr="00BC0ECD">
        <w:rPr>
          <w:rFonts w:eastAsia="Times New Roman" w:cs="Times New Roman"/>
          <w:i/>
          <w:iCs/>
          <w:color w:val="000000"/>
          <w:szCs w:val="24"/>
          <w:u w:val="single"/>
          <w:lang w:eastAsia="es-CO"/>
        </w:rPr>
        <w:t>año gravable 2022 y siguientes</w:t>
      </w:r>
      <w:r w:rsidRPr="00BC0ECD">
        <w:rPr>
          <w:rFonts w:eastAsia="Times New Roman" w:cs="Times New Roman"/>
          <w:i/>
          <w:iCs/>
          <w:color w:val="000000"/>
          <w:szCs w:val="24"/>
          <w:lang w:eastAsia="es-CO"/>
        </w:rPr>
        <w:t>?” </w:t>
      </w:r>
      <w:r w:rsidRPr="00BC0ECD">
        <w:rPr>
          <w:rFonts w:eastAsia="Times New Roman" w:cs="Times New Roman"/>
          <w:color w:val="000000"/>
          <w:szCs w:val="24"/>
          <w:lang w:eastAsia="es-CO"/>
        </w:rPr>
        <w:t>(Subrayado fuera de texto).</w:t>
      </w:r>
    </w:p>
    <w:p w14:paraId="6B3AD62E"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4B378B63"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Previo a exponer sus consideraciones, para esta Subdirección es menester examinar la normativa aplicable a los pagos objeto de consulta:</w:t>
      </w:r>
    </w:p>
    <w:p w14:paraId="2CEB255D"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540536CD" w14:textId="77777777" w:rsidR="00BC0ECD" w:rsidRPr="00BC0ECD" w:rsidRDefault="00BC0ECD" w:rsidP="00BC0ECD">
      <w:pPr>
        <w:spacing w:after="0" w:line="360" w:lineRule="auto"/>
        <w:ind w:left="284"/>
        <w:jc w:val="both"/>
        <w:rPr>
          <w:rFonts w:eastAsia="Times New Roman" w:cs="Times New Roman"/>
          <w:color w:val="000000"/>
          <w:szCs w:val="24"/>
          <w:lang w:eastAsia="es-CO"/>
        </w:rPr>
      </w:pPr>
      <w:r w:rsidRPr="00BC0ECD">
        <w:rPr>
          <w:rFonts w:eastAsia="Times New Roman" w:cs="Times New Roman"/>
          <w:color w:val="000000"/>
          <w:szCs w:val="24"/>
          <w:lang w:eastAsia="es-CO"/>
        </w:rPr>
        <w:t>·           El </w:t>
      </w:r>
      <w:hyperlink r:id="rId11" w:tooltip="Estatuto Tributario CETA" w:history="1">
        <w:r w:rsidRPr="00BC0ECD">
          <w:rPr>
            <w:rFonts w:eastAsia="Times New Roman" w:cs="Times New Roman"/>
            <w:color w:val="0089E1"/>
            <w:szCs w:val="24"/>
            <w:lang w:eastAsia="es-CO"/>
          </w:rPr>
          <w:t>artículo 124</w:t>
        </w:r>
      </w:hyperlink>
      <w:r w:rsidRPr="00BC0ECD">
        <w:rPr>
          <w:rFonts w:eastAsia="Times New Roman" w:cs="Times New Roman"/>
          <w:color w:val="000000"/>
          <w:szCs w:val="24"/>
          <w:lang w:eastAsia="es-CO"/>
        </w:rPr>
        <w:t> del Estatuto Tributario establece la retención en la fuente a título del impuesto sobre la renta como condición necesaria para la procedencia fiscal (como costo o gasto) de las expensas pagadas o reconocidas directa o indirectamente a las casas matrices u oficinas del exterior </w:t>
      </w:r>
      <w:r w:rsidRPr="00BC0ECD">
        <w:rPr>
          <w:rFonts w:eastAsia="Times New Roman" w:cs="Times New Roman"/>
          <w:i/>
          <w:iCs/>
          <w:color w:val="000000"/>
          <w:szCs w:val="24"/>
          <w:lang w:eastAsia="es-CO"/>
        </w:rPr>
        <w:t>“por concepto de gastos de administración o dirección y por concepto de regalías y explotación o adquisición de cualquier clase de intangibles”</w:t>
      </w:r>
      <w:r w:rsidRPr="00BC0ECD">
        <w:rPr>
          <w:rFonts w:eastAsia="Times New Roman" w:cs="Times New Roman"/>
          <w:color w:val="000000"/>
          <w:szCs w:val="24"/>
          <w:lang w:eastAsia="es-CO"/>
        </w:rPr>
        <w:t>.</w:t>
      </w:r>
    </w:p>
    <w:p w14:paraId="67144464"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0F909C14"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Asimismo se agrega en su parágrafo que </w:t>
      </w:r>
      <w:r w:rsidRPr="00BC0ECD">
        <w:rPr>
          <w:rFonts w:eastAsia="Times New Roman" w:cs="Times New Roman"/>
          <w:i/>
          <w:iCs/>
          <w:color w:val="000000"/>
          <w:szCs w:val="24"/>
          <w:lang w:eastAsia="es-CO"/>
        </w:rPr>
        <w:t>“Los conceptos mencionados en el presente artículo, </w:t>
      </w:r>
      <w:r w:rsidRPr="00BC0ECD">
        <w:rPr>
          <w:rFonts w:eastAsia="Times New Roman" w:cs="Times New Roman"/>
          <w:i/>
          <w:iCs/>
          <w:color w:val="000000"/>
          <w:szCs w:val="24"/>
          <w:u w:val="single"/>
          <w:lang w:eastAsia="es-CO"/>
        </w:rPr>
        <w:t>diferentes a regalías y explotación o adquisición de cualquier clase de intangible, sean de fuente nacional o extranjera</w:t>
      </w:r>
      <w:r w:rsidRPr="00BC0ECD">
        <w:rPr>
          <w:rFonts w:eastAsia="Times New Roman" w:cs="Times New Roman"/>
          <w:i/>
          <w:iCs/>
          <w:color w:val="000000"/>
          <w:szCs w:val="24"/>
          <w:lang w:eastAsia="es-CO"/>
        </w:rPr>
        <w:t> estarán sometidos a una </w:t>
      </w:r>
      <w:r w:rsidRPr="00BC0ECD">
        <w:rPr>
          <w:rFonts w:eastAsia="Times New Roman" w:cs="Times New Roman"/>
          <w:i/>
          <w:iCs/>
          <w:color w:val="000000"/>
          <w:szCs w:val="24"/>
          <w:u w:val="single"/>
          <w:lang w:eastAsia="es-CO"/>
        </w:rPr>
        <w:t>tarifa de retención en la fuente</w:t>
      </w:r>
      <w:r w:rsidRPr="00BC0ECD">
        <w:rPr>
          <w:rFonts w:eastAsia="Times New Roman" w:cs="Times New Roman"/>
          <w:i/>
          <w:iCs/>
          <w:color w:val="000000"/>
          <w:szCs w:val="24"/>
          <w:lang w:eastAsia="es-CO"/>
        </w:rPr>
        <w:t> establecido en el </w:t>
      </w:r>
      <w:hyperlink r:id="rId12" w:tooltip="Estatuto Tributario CETA" w:history="1">
        <w:r w:rsidRPr="00BC0ECD">
          <w:rPr>
            <w:rFonts w:eastAsia="Times New Roman" w:cs="Times New Roman"/>
            <w:i/>
            <w:iCs/>
            <w:color w:val="0089E1"/>
            <w:szCs w:val="24"/>
            <w:lang w:eastAsia="es-CO"/>
          </w:rPr>
          <w:t>artículo 408</w:t>
        </w:r>
      </w:hyperlink>
      <w:r w:rsidRPr="00BC0ECD">
        <w:rPr>
          <w:rFonts w:eastAsia="Times New Roman" w:cs="Times New Roman"/>
          <w:i/>
          <w:iCs/>
          <w:color w:val="000000"/>
          <w:szCs w:val="24"/>
          <w:u w:val="single"/>
          <w:lang w:eastAsia="es-CO"/>
        </w:rPr>
        <w:t> de este Estatuto</w:t>
      </w:r>
      <w:r w:rsidRPr="00BC0ECD">
        <w:rPr>
          <w:rFonts w:eastAsia="Times New Roman" w:cs="Times New Roman"/>
          <w:i/>
          <w:iCs/>
          <w:color w:val="000000"/>
          <w:szCs w:val="24"/>
          <w:lang w:eastAsia="es-CO"/>
        </w:rPr>
        <w:t>” </w:t>
      </w:r>
      <w:r w:rsidRPr="00BC0ECD">
        <w:rPr>
          <w:rFonts w:eastAsia="Times New Roman" w:cs="Times New Roman"/>
          <w:color w:val="000000"/>
          <w:szCs w:val="24"/>
          <w:lang w:eastAsia="es-CO"/>
        </w:rPr>
        <w:t>(subrayado fuera de texto).</w:t>
      </w:r>
    </w:p>
    <w:p w14:paraId="39C06662"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2524A382" w14:textId="77777777" w:rsidR="00BC0ECD" w:rsidRPr="00BC0ECD" w:rsidRDefault="00BC0ECD" w:rsidP="00BC0ECD">
      <w:pPr>
        <w:spacing w:after="0" w:line="360" w:lineRule="auto"/>
        <w:ind w:left="284"/>
        <w:jc w:val="both"/>
        <w:rPr>
          <w:rFonts w:eastAsia="Times New Roman" w:cs="Times New Roman"/>
          <w:color w:val="000000"/>
          <w:szCs w:val="24"/>
          <w:lang w:eastAsia="es-CO"/>
        </w:rPr>
      </w:pPr>
      <w:r w:rsidRPr="00BC0ECD">
        <w:rPr>
          <w:rFonts w:eastAsia="Times New Roman" w:cs="Times New Roman"/>
          <w:color w:val="000000"/>
          <w:szCs w:val="24"/>
          <w:lang w:eastAsia="es-CO"/>
        </w:rPr>
        <w:t>·           A su vez, los artículos </w:t>
      </w:r>
      <w:hyperlink r:id="rId13" w:tooltip="Estatuto Tributario CETA" w:history="1">
        <w:r w:rsidRPr="00BC0ECD">
          <w:rPr>
            <w:rFonts w:eastAsia="Times New Roman" w:cs="Times New Roman"/>
            <w:color w:val="0089E1"/>
            <w:szCs w:val="24"/>
            <w:lang w:eastAsia="es-CO"/>
          </w:rPr>
          <w:t>408</w:t>
        </w:r>
      </w:hyperlink>
      <w:r w:rsidRPr="00BC0ECD">
        <w:rPr>
          <w:rFonts w:eastAsia="Times New Roman" w:cs="Times New Roman"/>
          <w:color w:val="000000"/>
          <w:szCs w:val="24"/>
          <w:lang w:eastAsia="es-CO"/>
        </w:rPr>
        <w:t> y </w:t>
      </w:r>
      <w:hyperlink r:id="rId14" w:tooltip="Estatuto Tributario CETA" w:history="1">
        <w:r w:rsidRPr="00BC0ECD">
          <w:rPr>
            <w:rFonts w:eastAsia="Times New Roman" w:cs="Times New Roman"/>
            <w:color w:val="0089E1"/>
            <w:szCs w:val="24"/>
            <w:lang w:eastAsia="es-CO"/>
          </w:rPr>
          <w:t>415</w:t>
        </w:r>
      </w:hyperlink>
      <w:r w:rsidRPr="00BC0ECD">
        <w:rPr>
          <w:rFonts w:eastAsia="Times New Roman" w:cs="Times New Roman"/>
          <w:color w:val="000000"/>
          <w:szCs w:val="24"/>
          <w:lang w:eastAsia="es-CO"/>
        </w:rPr>
        <w:t> del Estatuto Tributario disponen las siguientes tarifas de retención en la fuente a título del mencionado impuesto, aplicables sobre el valor del pago o abono en cuenta realizado al exterior (cfr. </w:t>
      </w:r>
      <w:hyperlink r:id="rId15" w:tooltip="Estatuto Tributario CETA" w:history="1">
        <w:r w:rsidRPr="00BC0ECD">
          <w:rPr>
            <w:rFonts w:eastAsia="Times New Roman" w:cs="Times New Roman"/>
            <w:color w:val="0089E1"/>
            <w:szCs w:val="24"/>
            <w:lang w:eastAsia="es-CO"/>
          </w:rPr>
          <w:t>artículo 406</w:t>
        </w:r>
      </w:hyperlink>
      <w:r w:rsidRPr="00BC0ECD">
        <w:rPr>
          <w:rFonts w:eastAsia="Times New Roman" w:cs="Times New Roman"/>
          <w:color w:val="000000"/>
          <w:szCs w:val="24"/>
          <w:lang w:eastAsia="es-CO"/>
        </w:rPr>
        <w:t> </w:t>
      </w:r>
      <w:proofErr w:type="spellStart"/>
      <w:r w:rsidRPr="00BC0ECD">
        <w:rPr>
          <w:rFonts w:eastAsia="Times New Roman" w:cs="Times New Roman"/>
          <w:i/>
          <w:iCs/>
          <w:color w:val="000000"/>
          <w:szCs w:val="24"/>
          <w:lang w:eastAsia="es-CO"/>
        </w:rPr>
        <w:t>ibídem</w:t>
      </w:r>
      <w:proofErr w:type="spellEnd"/>
      <w:r w:rsidRPr="00BC0ECD">
        <w:rPr>
          <w:rFonts w:eastAsia="Times New Roman" w:cs="Times New Roman"/>
          <w:color w:val="000000"/>
          <w:szCs w:val="24"/>
          <w:lang w:eastAsia="es-CO"/>
        </w:rPr>
        <w:t>):</w:t>
      </w:r>
    </w:p>
    <w:p w14:paraId="09A166E8" w14:textId="77777777" w:rsidR="00BC0ECD" w:rsidRPr="00BC0ECD" w:rsidRDefault="00BC0ECD" w:rsidP="00BC0ECD">
      <w:pPr>
        <w:spacing w:after="0" w:line="360" w:lineRule="auto"/>
        <w:ind w:left="284"/>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0FF579FF" w14:textId="77777777" w:rsidR="00BC0ECD" w:rsidRPr="00BC0ECD" w:rsidRDefault="00BC0ECD" w:rsidP="00BC0ECD">
      <w:pPr>
        <w:spacing w:after="0" w:line="360" w:lineRule="auto"/>
        <w:ind w:left="284"/>
        <w:jc w:val="both"/>
        <w:rPr>
          <w:rFonts w:eastAsia="Times New Roman" w:cs="Times New Roman"/>
          <w:color w:val="000000"/>
          <w:szCs w:val="24"/>
          <w:lang w:eastAsia="es-CO"/>
        </w:rPr>
      </w:pPr>
      <w:r w:rsidRPr="00BC0ECD">
        <w:rPr>
          <w:rFonts w:eastAsia="Times New Roman" w:cs="Times New Roman"/>
          <w:color w:val="000000"/>
          <w:szCs w:val="24"/>
          <w:lang w:eastAsia="es-CO"/>
        </w:rPr>
        <w:t>i) 20% por concepto de </w:t>
      </w:r>
      <w:r w:rsidRPr="00BC0ECD">
        <w:rPr>
          <w:rFonts w:eastAsia="Times New Roman" w:cs="Times New Roman"/>
          <w:i/>
          <w:iCs/>
          <w:color w:val="000000"/>
          <w:szCs w:val="24"/>
          <w:lang w:eastAsia="es-CO"/>
        </w:rPr>
        <w:t>“regalías, (…) explotación de toda especie de propiedad industrial o del know-how, (…) beneficios o regalías provenientes de la propiedad literaria, artística y científica (…) y explotación de software”</w:t>
      </w:r>
      <w:r w:rsidRPr="00BC0ECD">
        <w:rPr>
          <w:rFonts w:eastAsia="Times New Roman" w:cs="Times New Roman"/>
          <w:color w:val="000000"/>
          <w:szCs w:val="24"/>
          <w:lang w:eastAsia="es-CO"/>
        </w:rPr>
        <w:t>.</w:t>
      </w:r>
    </w:p>
    <w:p w14:paraId="5755E974" w14:textId="77777777" w:rsidR="00BC0ECD" w:rsidRPr="00BC0ECD" w:rsidRDefault="00BC0ECD" w:rsidP="00BC0ECD">
      <w:pPr>
        <w:spacing w:after="0" w:line="360" w:lineRule="auto"/>
        <w:ind w:left="284"/>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15E9DB5D" w14:textId="77777777" w:rsidR="00BC0ECD" w:rsidRPr="00BC0ECD" w:rsidRDefault="00BC0ECD" w:rsidP="00BC0ECD">
      <w:pPr>
        <w:spacing w:after="0" w:line="360" w:lineRule="auto"/>
        <w:ind w:left="284"/>
        <w:jc w:val="both"/>
        <w:rPr>
          <w:rFonts w:eastAsia="Times New Roman" w:cs="Times New Roman"/>
          <w:color w:val="000000"/>
          <w:szCs w:val="24"/>
          <w:lang w:eastAsia="es-CO"/>
        </w:rPr>
      </w:pPr>
      <w:proofErr w:type="spellStart"/>
      <w:r w:rsidRPr="00BC0ECD">
        <w:rPr>
          <w:rFonts w:eastAsia="Times New Roman" w:cs="Times New Roman"/>
          <w:color w:val="000000"/>
          <w:szCs w:val="24"/>
          <w:lang w:eastAsia="es-CO"/>
        </w:rPr>
        <w:t>ii</w:t>
      </w:r>
      <w:proofErr w:type="spellEnd"/>
      <w:r w:rsidRPr="00BC0ECD">
        <w:rPr>
          <w:rFonts w:eastAsia="Times New Roman" w:cs="Times New Roman"/>
          <w:color w:val="000000"/>
          <w:szCs w:val="24"/>
          <w:lang w:eastAsia="es-CO"/>
        </w:rPr>
        <w:t>) 33% por concepto de </w:t>
      </w:r>
      <w:r w:rsidRPr="00BC0ECD">
        <w:rPr>
          <w:rFonts w:eastAsia="Times New Roman" w:cs="Times New Roman"/>
          <w:i/>
          <w:iCs/>
          <w:color w:val="000000"/>
          <w:szCs w:val="24"/>
          <w:lang w:eastAsia="es-CO"/>
        </w:rPr>
        <w:t>“administración o dirección de que trata el </w:t>
      </w:r>
      <w:hyperlink r:id="rId16" w:tooltip="Estatuto Tributario CETA" w:history="1">
        <w:r w:rsidRPr="00BC0ECD">
          <w:rPr>
            <w:rFonts w:eastAsia="Times New Roman" w:cs="Times New Roman"/>
            <w:i/>
            <w:iCs/>
            <w:color w:val="0089E1"/>
            <w:szCs w:val="24"/>
            <w:lang w:eastAsia="es-CO"/>
          </w:rPr>
          <w:t>artículo 124</w:t>
        </w:r>
      </w:hyperlink>
      <w:r w:rsidRPr="00BC0ECD">
        <w:rPr>
          <w:rFonts w:eastAsia="Times New Roman" w:cs="Times New Roman"/>
          <w:i/>
          <w:iCs/>
          <w:color w:val="000000"/>
          <w:szCs w:val="24"/>
          <w:lang w:eastAsia="es-CO"/>
        </w:rPr>
        <w:t> del Estatuto Tributario”</w:t>
      </w:r>
      <w:r w:rsidRPr="00BC0ECD">
        <w:rPr>
          <w:rFonts w:eastAsia="Times New Roman" w:cs="Times New Roman"/>
          <w:color w:val="000000"/>
          <w:szCs w:val="24"/>
          <w:lang w:eastAsia="es-CO"/>
        </w:rPr>
        <w:t>.</w:t>
      </w:r>
    </w:p>
    <w:p w14:paraId="4791388E" w14:textId="77777777" w:rsidR="00BC0ECD" w:rsidRPr="00BC0ECD" w:rsidRDefault="00BC0ECD" w:rsidP="00BC0ECD">
      <w:pPr>
        <w:spacing w:after="0" w:line="360" w:lineRule="auto"/>
        <w:ind w:left="284"/>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29337B26" w14:textId="77777777" w:rsidR="00BC0ECD" w:rsidRPr="00BC0ECD" w:rsidRDefault="00BC0ECD" w:rsidP="00BC0ECD">
      <w:pPr>
        <w:spacing w:after="0" w:line="360" w:lineRule="auto"/>
        <w:ind w:left="284"/>
        <w:jc w:val="both"/>
        <w:rPr>
          <w:rFonts w:eastAsia="Times New Roman" w:cs="Times New Roman"/>
          <w:color w:val="000000"/>
          <w:szCs w:val="24"/>
          <w:lang w:eastAsia="es-CO"/>
        </w:rPr>
      </w:pPr>
      <w:proofErr w:type="spellStart"/>
      <w:r w:rsidRPr="00BC0ECD">
        <w:rPr>
          <w:rFonts w:eastAsia="Times New Roman" w:cs="Times New Roman"/>
          <w:color w:val="000000"/>
          <w:szCs w:val="24"/>
          <w:lang w:eastAsia="es-CO"/>
        </w:rPr>
        <w:t>iii</w:t>
      </w:r>
      <w:proofErr w:type="spellEnd"/>
      <w:r w:rsidRPr="00BC0ECD">
        <w:rPr>
          <w:rFonts w:eastAsia="Times New Roman" w:cs="Times New Roman"/>
          <w:color w:val="000000"/>
          <w:szCs w:val="24"/>
          <w:lang w:eastAsia="es-CO"/>
        </w:rPr>
        <w:t>) 15% por conceptos no contemplados en los artículos 407 a 414-1 </w:t>
      </w:r>
      <w:proofErr w:type="spellStart"/>
      <w:r w:rsidRPr="00BC0ECD">
        <w:rPr>
          <w:rFonts w:eastAsia="Times New Roman" w:cs="Times New Roman"/>
          <w:i/>
          <w:iCs/>
          <w:color w:val="000000"/>
          <w:szCs w:val="24"/>
          <w:lang w:eastAsia="es-CO"/>
        </w:rPr>
        <w:t>ibídem</w:t>
      </w:r>
      <w:proofErr w:type="spellEnd"/>
      <w:r w:rsidRPr="00BC0ECD">
        <w:rPr>
          <w:rFonts w:eastAsia="Times New Roman" w:cs="Times New Roman"/>
          <w:color w:val="000000"/>
          <w:szCs w:val="24"/>
          <w:lang w:eastAsia="es-CO"/>
        </w:rPr>
        <w:t>.</w:t>
      </w:r>
    </w:p>
    <w:p w14:paraId="3708394C"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518ADFF1"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Nótese que las tarifas de retención en la fuente antes referidas no varían según el año gravable en el cual se efectúen los pagos o abonos en cuenta </w:t>
      </w:r>
      <w:r w:rsidRPr="00BC0ECD">
        <w:rPr>
          <w:rFonts w:eastAsia="Times New Roman" w:cs="Times New Roman"/>
          <w:i/>
          <w:iCs/>
          <w:color w:val="000000"/>
          <w:szCs w:val="24"/>
          <w:lang w:eastAsia="es-CO"/>
        </w:rPr>
        <w:t>sub examine </w:t>
      </w:r>
      <w:r w:rsidRPr="00BC0ECD">
        <w:rPr>
          <w:rFonts w:eastAsia="Times New Roman" w:cs="Times New Roman"/>
          <w:color w:val="000000"/>
          <w:szCs w:val="24"/>
          <w:lang w:eastAsia="es-CO"/>
        </w:rPr>
        <w:t>ni están sujetas a la tarifa general del impuesto sobre la renta a cargo de las personas jurídicas (cfr. </w:t>
      </w:r>
      <w:hyperlink r:id="rId17" w:tooltip="Estatuto Tributario CETA" w:history="1">
        <w:r w:rsidRPr="00BC0ECD">
          <w:rPr>
            <w:rFonts w:eastAsia="Times New Roman" w:cs="Times New Roman"/>
            <w:color w:val="0089E1"/>
            <w:szCs w:val="24"/>
            <w:lang w:eastAsia="es-CO"/>
          </w:rPr>
          <w:t>artículo 240</w:t>
        </w:r>
      </w:hyperlink>
      <w:r w:rsidRPr="00BC0ECD">
        <w:rPr>
          <w:rFonts w:eastAsia="Times New Roman" w:cs="Times New Roman"/>
          <w:color w:val="000000"/>
          <w:szCs w:val="24"/>
          <w:lang w:eastAsia="es-CO"/>
        </w:rPr>
        <w:t> del Estatuto Tributario); de modo que, en cada caso particular, el peticionario deberá determinar la retención aplicable según el concepto del pago o abono en cuenta, de acuerdo con la normativa aquí reseñada.</w:t>
      </w:r>
    </w:p>
    <w:p w14:paraId="57BDF764"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2DC8A52D"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lastRenderedPageBreak/>
        <w:t>Sin perjuicio de lo anterior, es de resaltar que, cuando el pago o abono en cuenta - independientemente del concepto al que obedezca- se efectúe a una persona o entidad residente, constituida, localizada o en funcionamiento </w:t>
      </w:r>
      <w:r w:rsidRPr="00BC0ECD">
        <w:rPr>
          <w:rFonts w:eastAsia="Times New Roman" w:cs="Times New Roman"/>
          <w:i/>
          <w:iCs/>
          <w:color w:val="000000"/>
          <w:szCs w:val="24"/>
          <w:lang w:eastAsia="es-CO"/>
        </w:rPr>
        <w:t>“en jurisdicciones no cooperantes o de baja o nula imposición, que hayan sido calificados como tales por el Gobierno colombiano, o a entidades sometidas a un régimen tributario preferencial”</w:t>
      </w:r>
      <w:r w:rsidRPr="00BC0ECD">
        <w:rPr>
          <w:rFonts w:eastAsia="Times New Roman" w:cs="Times New Roman"/>
          <w:color w:val="000000"/>
          <w:szCs w:val="24"/>
          <w:lang w:eastAsia="es-CO"/>
        </w:rPr>
        <w:t>, el parágrafo del citado </w:t>
      </w:r>
      <w:hyperlink r:id="rId18" w:tooltip="Estatuto Tributario CETA" w:history="1">
        <w:r w:rsidRPr="00BC0ECD">
          <w:rPr>
            <w:rFonts w:eastAsia="Times New Roman" w:cs="Times New Roman"/>
            <w:color w:val="0089E1"/>
            <w:szCs w:val="24"/>
            <w:lang w:eastAsia="es-CO"/>
          </w:rPr>
          <w:t>artículo 408</w:t>
        </w:r>
      </w:hyperlink>
      <w:r w:rsidRPr="00BC0ECD">
        <w:rPr>
          <w:rFonts w:eastAsia="Times New Roman" w:cs="Times New Roman"/>
          <w:color w:val="000000"/>
          <w:szCs w:val="24"/>
          <w:lang w:eastAsia="es-CO"/>
        </w:rPr>
        <w:t> taxativamente contempla que la tarifa de la retención en la fuente será la misma tarifa general del impuesto sobre la renta y complementarios para personas jurídicas, esto es, 35% a partir del año gravable 2022 (cfr. </w:t>
      </w:r>
      <w:hyperlink r:id="rId19" w:tooltip="Estatuto Tributario CETA" w:history="1">
        <w:r w:rsidRPr="00BC0ECD">
          <w:rPr>
            <w:rFonts w:eastAsia="Times New Roman" w:cs="Times New Roman"/>
            <w:color w:val="0089E1"/>
            <w:szCs w:val="24"/>
            <w:lang w:eastAsia="es-CO"/>
          </w:rPr>
          <w:t>artículo 240</w:t>
        </w:r>
      </w:hyperlink>
      <w:r w:rsidRPr="00BC0ECD">
        <w:rPr>
          <w:rFonts w:eastAsia="Times New Roman" w:cs="Times New Roman"/>
          <w:color w:val="000000"/>
          <w:szCs w:val="24"/>
          <w:lang w:eastAsia="es-CO"/>
        </w:rPr>
        <w:t> </w:t>
      </w:r>
      <w:proofErr w:type="spellStart"/>
      <w:r w:rsidRPr="00BC0ECD">
        <w:rPr>
          <w:rFonts w:eastAsia="Times New Roman" w:cs="Times New Roman"/>
          <w:i/>
          <w:iCs/>
          <w:color w:val="000000"/>
          <w:szCs w:val="24"/>
          <w:lang w:eastAsia="es-CO"/>
        </w:rPr>
        <w:t>ibídem</w:t>
      </w:r>
      <w:proofErr w:type="spellEnd"/>
      <w:r w:rsidRPr="00BC0ECD">
        <w:rPr>
          <w:rFonts w:eastAsia="Times New Roman" w:cs="Times New Roman"/>
          <w:color w:val="000000"/>
          <w:szCs w:val="24"/>
          <w:lang w:eastAsia="es-CO"/>
        </w:rPr>
        <w:t>).</w:t>
      </w:r>
    </w:p>
    <w:p w14:paraId="05756DC4"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0500B772"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Por último, no se debe perder de vista que las tarifas impositivas, al ser un elemento esencial del tributo, deben estar definidas expresamente en la Ley, en procura del principio de legalidad tributaria (cfr. artículo 338 de la Constitución Política y Sentencia C-155/03, Corte Constitucional, M.P. Dr. EDUARDO MONTEALEGRE LYNETT, entre otros pronunciamientos).</w:t>
      </w:r>
    </w:p>
    <w:p w14:paraId="078A4F95"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601BBF53"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20" w:history="1">
        <w:r w:rsidRPr="00BC0ECD">
          <w:rPr>
            <w:rFonts w:eastAsia="Times New Roman" w:cs="Times New Roman"/>
            <w:color w:val="0563C1"/>
            <w:szCs w:val="24"/>
            <w:lang w:eastAsia="es-CO"/>
          </w:rPr>
          <w:t>www.dian.gov.co</w:t>
        </w:r>
      </w:hyperlink>
      <w:r w:rsidRPr="00BC0ECD">
        <w:rPr>
          <w:rFonts w:eastAsia="Times New Roman" w:cs="Times New Roman"/>
          <w:color w:val="000000"/>
          <w:szCs w:val="24"/>
          <w:lang w:eastAsia="es-CO"/>
        </w:rPr>
        <w:t xml:space="preserve">, la base de conceptos en materia tributaria, aduanera y cambiaria expedidos desde el año 2001, la cual se puede ingresar por el ícono de “Normatividad”–“Doctrina”, dando </w:t>
      </w:r>
      <w:proofErr w:type="spellStart"/>
      <w:r w:rsidRPr="00BC0ECD">
        <w:rPr>
          <w:rFonts w:eastAsia="Times New Roman" w:cs="Times New Roman"/>
          <w:color w:val="000000"/>
          <w:szCs w:val="24"/>
          <w:lang w:eastAsia="es-CO"/>
        </w:rPr>
        <w:t>click</w:t>
      </w:r>
      <w:proofErr w:type="spellEnd"/>
      <w:r w:rsidRPr="00BC0ECD">
        <w:rPr>
          <w:rFonts w:eastAsia="Times New Roman" w:cs="Times New Roman"/>
          <w:color w:val="000000"/>
          <w:szCs w:val="24"/>
          <w:lang w:eastAsia="es-CO"/>
        </w:rPr>
        <w:t xml:space="preserve"> en el link “Doctrina Dirección de Gestión Jurídica”.</w:t>
      </w:r>
    </w:p>
    <w:p w14:paraId="2387B5D6"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28578EB0"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Atentamente,</w:t>
      </w:r>
    </w:p>
    <w:p w14:paraId="4209B567"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0981047E"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 </w:t>
      </w:r>
    </w:p>
    <w:p w14:paraId="3596019C"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b/>
          <w:bCs/>
          <w:color w:val="000000"/>
          <w:szCs w:val="24"/>
          <w:lang w:eastAsia="es-CO"/>
        </w:rPr>
        <w:t>NICOLÁS BERNAL ABELLA</w:t>
      </w:r>
    </w:p>
    <w:p w14:paraId="56C87B1D"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Subdirector de Normativa y Doctrina (E)</w:t>
      </w:r>
    </w:p>
    <w:p w14:paraId="6427DF46"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Dirección de Gestión Jurídica</w:t>
      </w:r>
    </w:p>
    <w:p w14:paraId="68AD752A" w14:textId="77777777" w:rsidR="00BC0ECD" w:rsidRPr="00BC0ECD" w:rsidRDefault="00BC0ECD" w:rsidP="00BC0ECD">
      <w:pPr>
        <w:spacing w:after="0" w:line="360" w:lineRule="auto"/>
        <w:jc w:val="both"/>
        <w:rPr>
          <w:rFonts w:eastAsia="Times New Roman" w:cs="Times New Roman"/>
          <w:color w:val="000000"/>
          <w:szCs w:val="24"/>
          <w:lang w:eastAsia="es-CO"/>
        </w:rPr>
      </w:pPr>
      <w:r w:rsidRPr="00BC0ECD">
        <w:rPr>
          <w:rFonts w:eastAsia="Times New Roman" w:cs="Times New Roman"/>
          <w:color w:val="000000"/>
          <w:szCs w:val="24"/>
          <w:lang w:eastAsia="es-CO"/>
        </w:rPr>
        <w:t>UAE-Dirección de Impuestos y Aduanas Nacionales</w:t>
      </w:r>
    </w:p>
    <w:p w14:paraId="05B01AF2" w14:textId="77777777" w:rsidR="007F5CC8" w:rsidRPr="00BC0ECD" w:rsidRDefault="007F5CC8" w:rsidP="00BC0ECD">
      <w:pPr>
        <w:spacing w:line="360" w:lineRule="auto"/>
        <w:rPr>
          <w:rFonts w:cs="Times New Roman"/>
          <w:szCs w:val="24"/>
        </w:rPr>
      </w:pPr>
    </w:p>
    <w:sectPr w:rsidR="007F5CC8" w:rsidRPr="00BC0EC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CD"/>
    <w:rsid w:val="000F3837"/>
    <w:rsid w:val="001E311E"/>
    <w:rsid w:val="00434AE6"/>
    <w:rsid w:val="007F5CC8"/>
    <w:rsid w:val="008779BE"/>
    <w:rsid w:val="00BC0EC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E15C"/>
  <w15:chartTrackingRefBased/>
  <w15:docId w15:val="{5D16F505-443D-4A04-8F75-C7C1EE43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6" TargetMode="External"/><Relationship Id="rId13" Type="http://schemas.openxmlformats.org/officeDocument/2006/relationships/hyperlink" Target="https://www.ceta.org.co/html/vista_de_un_articulo.asp?Norma=506" TargetMode="External"/><Relationship Id="rId18" Type="http://schemas.openxmlformats.org/officeDocument/2006/relationships/hyperlink" Target="https://www.ceta.org.co/html/vista_de_un_articulo.asp?Norma=50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513" TargetMode="External"/><Relationship Id="rId12" Type="http://schemas.openxmlformats.org/officeDocument/2006/relationships/hyperlink" Target="https://www.ceta.org.co/html/vista_de_un_articulo.asp?Norma=506" TargetMode="External"/><Relationship Id="rId17" Type="http://schemas.openxmlformats.org/officeDocument/2006/relationships/hyperlink" Target="https://www.ceta.org.co/html/vista_de_un_articulo.asp?Norma=310" TargetMode="External"/><Relationship Id="rId2" Type="http://schemas.openxmlformats.org/officeDocument/2006/relationships/settings" Target="settings.xml"/><Relationship Id="rId16" Type="http://schemas.openxmlformats.org/officeDocument/2006/relationships/hyperlink" Target="https://www.ceta.org.co/html/vista_de_un_articulo.asp?Norma=175" TargetMode="External"/><Relationship Id="rId20" Type="http://schemas.openxmlformats.org/officeDocument/2006/relationships/hyperlink" Target="http://www.dian.gov.co/" TargetMode="External"/><Relationship Id="rId1" Type="http://schemas.openxmlformats.org/officeDocument/2006/relationships/styles" Target="styles.xml"/><Relationship Id="rId6" Type="http://schemas.openxmlformats.org/officeDocument/2006/relationships/hyperlink" Target="https://www.ceta.org.co/html/vista_de_un_articulo.asp?Norma=506" TargetMode="External"/><Relationship Id="rId11" Type="http://schemas.openxmlformats.org/officeDocument/2006/relationships/hyperlink" Target="https://www.ceta.org.co/html/vista_de_un_articulo.asp?Norma=175" TargetMode="External"/><Relationship Id="rId5" Type="http://schemas.openxmlformats.org/officeDocument/2006/relationships/hyperlink" Target="https://www.ceta.org.co/html/vista_de_un_articulo.asp?Norma=310" TargetMode="External"/><Relationship Id="rId15" Type="http://schemas.openxmlformats.org/officeDocument/2006/relationships/hyperlink" Target="https://www.ceta.org.co/html/vista_de_un_articulo.asp?Norma=504" TargetMode="External"/><Relationship Id="rId10" Type="http://schemas.openxmlformats.org/officeDocument/2006/relationships/hyperlink" Target="https://www.ceta.org.co/html/vista_de_un_articulo.asp?Norma=506" TargetMode="External"/><Relationship Id="rId19" Type="http://schemas.openxmlformats.org/officeDocument/2006/relationships/hyperlink" Target="https://www.ceta.org.co/html/vista_de_un_articulo.asp?Norma=310" TargetMode="External"/><Relationship Id="rId4" Type="http://schemas.openxmlformats.org/officeDocument/2006/relationships/hyperlink" Target="https://www.ceta.org.co/html/vista_de_un_articulo.asp?Norma=175" TargetMode="External"/><Relationship Id="rId9" Type="http://schemas.openxmlformats.org/officeDocument/2006/relationships/hyperlink" Target="https://www.ceta.org.co/html/vista_de_un_articulo.asp?Norma=175" TargetMode="External"/><Relationship Id="rId14" Type="http://schemas.openxmlformats.org/officeDocument/2006/relationships/hyperlink" Target="https://www.ceta.org.co/html/vista_de_un_articulo.asp?Norma=513"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6596</Characters>
  <Application>Microsoft Office Word</Application>
  <DocSecurity>0</DocSecurity>
  <Lines>54</Lines>
  <Paragraphs>15</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2022-05-09T20:04:00Z</dcterms:created>
  <dcterms:modified xsi:type="dcterms:W3CDTF">2022-05-09T20:05:00Z</dcterms:modified>
</cp:coreProperties>
</file>