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946F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14:paraId="764FBA36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14:paraId="18A0E0D5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14:paraId="55EE6493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14:paraId="2F695740" w14:textId="6EDE018D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 w:rsidRPr="001732D7">
        <w:rPr>
          <w:b/>
          <w:bCs/>
          <w:color w:val="000000"/>
        </w:rPr>
        <w:t xml:space="preserve">OFICIO </w:t>
      </w:r>
      <w:proofErr w:type="spellStart"/>
      <w:r w:rsidRPr="001732D7">
        <w:rPr>
          <w:b/>
          <w:bCs/>
          <w:color w:val="000000"/>
        </w:rPr>
        <w:t>Nº</w:t>
      </w:r>
      <w:proofErr w:type="spellEnd"/>
      <w:r w:rsidRPr="001732D7">
        <w:rPr>
          <w:b/>
          <w:bCs/>
          <w:color w:val="000000"/>
        </w:rPr>
        <w:t xml:space="preserve"> 1446 [908569]</w:t>
      </w:r>
    </w:p>
    <w:p w14:paraId="7744F289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 w:rsidRPr="001732D7">
        <w:rPr>
          <w:b/>
          <w:bCs/>
          <w:color w:val="000000"/>
        </w:rPr>
        <w:t>24-11-2022</w:t>
      </w:r>
    </w:p>
    <w:p w14:paraId="2B196C21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 w:rsidRPr="001732D7">
        <w:rPr>
          <w:b/>
          <w:bCs/>
          <w:color w:val="000000"/>
        </w:rPr>
        <w:t>DIAN</w:t>
      </w:r>
    </w:p>
    <w:p w14:paraId="0955F94B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732D7">
        <w:rPr>
          <w:color w:val="000000"/>
        </w:rPr>
        <w:t> </w:t>
      </w:r>
    </w:p>
    <w:p w14:paraId="42497AC7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732D7">
        <w:rPr>
          <w:color w:val="000000"/>
        </w:rPr>
        <w:t> </w:t>
      </w:r>
    </w:p>
    <w:p w14:paraId="17F7F78B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732D7">
        <w:rPr>
          <w:color w:val="000000"/>
        </w:rPr>
        <w:t>100208192-1446</w:t>
      </w:r>
    </w:p>
    <w:p w14:paraId="1EE03B68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732D7">
        <w:rPr>
          <w:color w:val="000000"/>
        </w:rPr>
        <w:t>Bogotá, D.C.,</w:t>
      </w:r>
    </w:p>
    <w:p w14:paraId="1B53C931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732D7">
        <w:rPr>
          <w:color w:val="000000"/>
        </w:rPr>
        <w:t> </w:t>
      </w:r>
    </w:p>
    <w:p w14:paraId="785A306B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732D7">
        <w:rPr>
          <w:color w:val="000000"/>
        </w:rPr>
        <w:t>Cordial saludo</w:t>
      </w:r>
    </w:p>
    <w:p w14:paraId="37006DFC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732D7">
        <w:rPr>
          <w:color w:val="000000"/>
        </w:rPr>
        <w:t> </w:t>
      </w:r>
    </w:p>
    <w:p w14:paraId="268832CB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732D7">
        <w:rPr>
          <w:color w:val="000000"/>
        </w:rPr>
        <w:t>De conformidad con el artículo 56 del Decreto 1742 de 2020, este Despacho está facultado para absolver las consultas escritas generales que se formulen sobre la interpretación y aplicación de las normas tributarias, aduaneras y de fiscalización cambiaria,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52114BD8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732D7">
        <w:rPr>
          <w:color w:val="000000"/>
        </w:rPr>
        <w:t> </w:t>
      </w:r>
    </w:p>
    <w:p w14:paraId="7C977CD9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732D7">
        <w:rPr>
          <w:color w:val="000000"/>
          <w:highlight w:val="yellow"/>
        </w:rPr>
        <w:t>Mediante el radicado de la referencia, la peticionaria consulta en torno a un inmueble adquirido en el exterior y su reconocimiento en la declaración anual de activos en el exterior:</w:t>
      </w:r>
    </w:p>
    <w:p w14:paraId="5A9D99CD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732D7">
        <w:rPr>
          <w:color w:val="000000"/>
        </w:rPr>
        <w:t> </w:t>
      </w:r>
    </w:p>
    <w:p w14:paraId="6B2228CF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 w:rsidRPr="001732D7">
        <w:rPr>
          <w:i/>
          <w:iCs/>
          <w:color w:val="000000"/>
        </w:rPr>
        <w:t>“1. ¿El reconocimiento inicial es el </w:t>
      </w:r>
      <w:r w:rsidRPr="001732D7">
        <w:rPr>
          <w:i/>
          <w:iCs/>
          <w:color w:val="000000"/>
          <w:u w:val="single"/>
        </w:rPr>
        <w:t>valor de compra</w:t>
      </w:r>
      <w:r w:rsidRPr="001732D7">
        <w:rPr>
          <w:i/>
          <w:iCs/>
          <w:color w:val="000000"/>
        </w:rPr>
        <w:t> del inmueble (US dólar)?</w:t>
      </w:r>
    </w:p>
    <w:p w14:paraId="18847727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 w:rsidRPr="001732D7">
        <w:rPr>
          <w:color w:val="000000"/>
        </w:rPr>
        <w:t> </w:t>
      </w:r>
    </w:p>
    <w:p w14:paraId="2CDBC0A7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 w:rsidRPr="001732D7">
        <w:rPr>
          <w:i/>
          <w:iCs/>
          <w:color w:val="000000"/>
        </w:rPr>
        <w:t>2. ¿Cuál es la </w:t>
      </w:r>
      <w:r w:rsidRPr="001732D7">
        <w:rPr>
          <w:i/>
          <w:iCs/>
          <w:color w:val="000000"/>
          <w:u w:val="single"/>
        </w:rPr>
        <w:t>fecha de la tasa representativa del mercado</w:t>
      </w:r>
      <w:r w:rsidRPr="001732D7">
        <w:rPr>
          <w:i/>
          <w:iCs/>
          <w:color w:val="000000"/>
        </w:rPr>
        <w:t> para el valor patrimonial?” </w:t>
      </w:r>
      <w:r w:rsidRPr="001732D7">
        <w:rPr>
          <w:color w:val="000000"/>
        </w:rPr>
        <w:t>(subrayado fuera de texto)</w:t>
      </w:r>
    </w:p>
    <w:p w14:paraId="057A83F7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732D7">
        <w:rPr>
          <w:color w:val="000000"/>
        </w:rPr>
        <w:t> </w:t>
      </w:r>
    </w:p>
    <w:p w14:paraId="48253E2C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732D7">
        <w:rPr>
          <w:color w:val="000000"/>
        </w:rPr>
        <w:t>Sobre el particular, las consideraciones de este Despacho son las siguientes:</w:t>
      </w:r>
    </w:p>
    <w:p w14:paraId="57CEF49A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732D7">
        <w:rPr>
          <w:color w:val="000000"/>
        </w:rPr>
        <w:t> </w:t>
      </w:r>
    </w:p>
    <w:p w14:paraId="398A90E3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732D7">
        <w:rPr>
          <w:color w:val="000000"/>
        </w:rPr>
        <w:t>La Dirección de Gestión Jurídica mediante Concepto sobre Declaración Anual de Activos en el Exterior No. 027751 del 7 de octubre de 2015 precisó:</w:t>
      </w:r>
    </w:p>
    <w:p w14:paraId="13E51F3F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732D7">
        <w:rPr>
          <w:color w:val="000000"/>
        </w:rPr>
        <w:t> </w:t>
      </w:r>
    </w:p>
    <w:p w14:paraId="57EC7200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 w:rsidRPr="001732D7">
        <w:rPr>
          <w:i/>
          <w:iCs/>
          <w:color w:val="000000"/>
        </w:rPr>
        <w:t>“2. ¿Cómo debe determinarse el valor patrimonial de los bienes inmuebles que se posean en el exterior?</w:t>
      </w:r>
    </w:p>
    <w:p w14:paraId="24DE5A18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 w:rsidRPr="001732D7">
        <w:rPr>
          <w:color w:val="000000"/>
        </w:rPr>
        <w:t> </w:t>
      </w:r>
    </w:p>
    <w:p w14:paraId="01331A5F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 w:rsidRPr="001732D7">
        <w:rPr>
          <w:b/>
          <w:bCs/>
          <w:i/>
          <w:iCs/>
          <w:color w:val="000000"/>
        </w:rPr>
        <w:t>Respuesta:</w:t>
      </w:r>
      <w:r w:rsidRPr="001732D7">
        <w:rPr>
          <w:i/>
          <w:iCs/>
          <w:color w:val="000000"/>
        </w:rPr>
        <w:t xml:space="preserve"> De acuerdo a lo dispuesto en el instructivo para el diligenciamiento de la Declaración Anual de Activos en el Exterior, prescrito a través de la Resolución 96 de 2015, </w:t>
      </w:r>
      <w:r w:rsidRPr="001732D7">
        <w:rPr>
          <w:i/>
          <w:iCs/>
          <w:color w:val="000000"/>
        </w:rPr>
        <w:lastRenderedPageBreak/>
        <w:t>los bienes inmuebles poseídos en el exterior se deberán valorar </w:t>
      </w:r>
      <w:r w:rsidRPr="001732D7">
        <w:rPr>
          <w:i/>
          <w:iCs/>
          <w:color w:val="000000"/>
          <w:u w:val="single"/>
        </w:rPr>
        <w:t>según su naturaleza (activos fijos o movibles) teniendo en cuenta las normas previstas en el Libro Primero, Título II, Capítulo I del Estatuto Tributario,</w:t>
      </w:r>
      <w:r w:rsidRPr="001732D7">
        <w:rPr>
          <w:i/>
          <w:iCs/>
          <w:color w:val="000000"/>
        </w:rPr>
        <w:t> artículos 60 “CLASIFICACIÓN DE LOS ACTIVOS ENAJENADOS”, 67 “DETERMINACIÓN DEL COSTO DE LOS BIENES INMUEBLES” cuando son movibles, 69 “COSTO DE LOS ACTIVOS FIJOS”, 277 “VALOR PATRIMONIAL DE LOS INMUEBLES” y demás compatibles.</w:t>
      </w:r>
    </w:p>
    <w:p w14:paraId="20876536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 w:rsidRPr="001732D7">
        <w:rPr>
          <w:color w:val="000000"/>
        </w:rPr>
        <w:t> </w:t>
      </w:r>
    </w:p>
    <w:p w14:paraId="05429307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 w:rsidRPr="001732D7">
        <w:rPr>
          <w:i/>
          <w:iCs/>
          <w:color w:val="000000"/>
        </w:rPr>
        <w:t>En tal sentido, es menester precisar que, en tratándose del valor patrimonial de los inmuebles que </w:t>
      </w:r>
      <w:r w:rsidRPr="001732D7">
        <w:rPr>
          <w:i/>
          <w:iCs/>
          <w:color w:val="000000"/>
          <w:u w:val="single"/>
        </w:rPr>
        <w:t>tienen el carácter de activos fijos, el mismo corresponderá al costo de adquisición,</w:t>
      </w:r>
      <w:r w:rsidRPr="001732D7">
        <w:rPr>
          <w:i/>
          <w:iCs/>
          <w:color w:val="000000"/>
        </w:rPr>
        <w:t> </w:t>
      </w:r>
      <w:r w:rsidRPr="001732D7">
        <w:rPr>
          <w:i/>
          <w:iCs/>
          <w:color w:val="000000"/>
          <w:highlight w:val="yellow"/>
        </w:rPr>
        <w:t xml:space="preserve">toda vez que el </w:t>
      </w:r>
      <w:proofErr w:type="spellStart"/>
      <w:r w:rsidRPr="001732D7">
        <w:rPr>
          <w:i/>
          <w:iCs/>
          <w:color w:val="000000"/>
          <w:highlight w:val="yellow"/>
        </w:rPr>
        <w:t>autoavalúo</w:t>
      </w:r>
      <w:proofErr w:type="spellEnd"/>
      <w:r w:rsidRPr="001732D7">
        <w:rPr>
          <w:i/>
          <w:iCs/>
          <w:color w:val="000000"/>
          <w:highlight w:val="yellow"/>
        </w:rPr>
        <w:t xml:space="preserve"> y avalúo catastral únicamente pueden predicarse de los inmuebles ubicados en el territorio nacional, que no son objeto de la declaración analizada.” (subrayado fuera de texto)</w:t>
      </w:r>
    </w:p>
    <w:p w14:paraId="660F1A51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732D7">
        <w:rPr>
          <w:color w:val="000000"/>
        </w:rPr>
        <w:t> </w:t>
      </w:r>
    </w:p>
    <w:p w14:paraId="6C718268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732D7">
        <w:rPr>
          <w:color w:val="000000"/>
        </w:rPr>
        <w:t>En cuanto a la TRM aplicable, en el Concepto No. 906712 - interno 1019 del 6 de julio de 2021 esta Subdirección señaló:</w:t>
      </w:r>
    </w:p>
    <w:p w14:paraId="59A4C45E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732D7">
        <w:rPr>
          <w:color w:val="000000"/>
        </w:rPr>
        <w:t> </w:t>
      </w:r>
    </w:p>
    <w:p w14:paraId="210E3C44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 w:rsidRPr="001732D7">
        <w:rPr>
          <w:i/>
          <w:iCs/>
          <w:color w:val="000000"/>
        </w:rPr>
        <w:t>“Nótese que los artículos </w:t>
      </w:r>
      <w:hyperlink r:id="rId4" w:tooltip="Estatuto Tributario CETA" w:history="1">
        <w:r w:rsidRPr="001732D7">
          <w:rPr>
            <w:rStyle w:val="Hipervnculo"/>
            <w:i/>
            <w:iCs/>
            <w:color w:val="0645AD"/>
          </w:rPr>
          <w:t>269</w:t>
        </w:r>
      </w:hyperlink>
      <w:r w:rsidRPr="001732D7">
        <w:rPr>
          <w:i/>
          <w:iCs/>
          <w:color w:val="000000"/>
        </w:rPr>
        <w:t>, </w:t>
      </w:r>
      <w:hyperlink r:id="rId5" w:tooltip="Estatuto Tributario CETA" w:history="1">
        <w:r w:rsidRPr="001732D7">
          <w:rPr>
            <w:rStyle w:val="Hipervnculo"/>
            <w:i/>
            <w:iCs/>
            <w:color w:val="0645AD"/>
          </w:rPr>
          <w:t>285</w:t>
        </w:r>
      </w:hyperlink>
      <w:r w:rsidRPr="001732D7">
        <w:rPr>
          <w:i/>
          <w:iCs/>
          <w:color w:val="000000"/>
        </w:rPr>
        <w:t> y </w:t>
      </w:r>
      <w:hyperlink r:id="rId6" w:tooltip="Estatuto Tributario CETA" w:history="1">
        <w:r w:rsidRPr="001732D7">
          <w:rPr>
            <w:rStyle w:val="Hipervnculo"/>
            <w:i/>
            <w:iCs/>
            <w:color w:val="0645AD"/>
          </w:rPr>
          <w:t>288</w:t>
        </w:r>
      </w:hyperlink>
      <w:r w:rsidRPr="001732D7">
        <w:rPr>
          <w:i/>
          <w:iCs/>
          <w:color w:val="000000"/>
        </w:rPr>
        <w:t> del Estatuto Tributario disponen lo siguiente:</w:t>
      </w:r>
    </w:p>
    <w:p w14:paraId="3A2AC8AE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 w:rsidRPr="001732D7">
        <w:rPr>
          <w:color w:val="000000"/>
        </w:rPr>
        <w:t> </w:t>
      </w:r>
    </w:p>
    <w:p w14:paraId="16619C19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ind w:left="284"/>
        <w:jc w:val="both"/>
        <w:rPr>
          <w:color w:val="000000"/>
          <w:sz w:val="32"/>
          <w:szCs w:val="32"/>
        </w:rPr>
      </w:pPr>
      <w:r w:rsidRPr="001732D7">
        <w:rPr>
          <w:i/>
          <w:iCs/>
          <w:color w:val="000000"/>
          <w:sz w:val="32"/>
          <w:szCs w:val="32"/>
          <w:highlight w:val="yellow"/>
        </w:rPr>
        <w:t>“</w:t>
      </w:r>
      <w:hyperlink r:id="rId7" w:tooltip="Estatuto Tributario CETA" w:history="1">
        <w:r w:rsidRPr="001732D7">
          <w:rPr>
            <w:rStyle w:val="Hipervnculo"/>
            <w:b/>
            <w:bCs/>
            <w:i/>
            <w:iCs/>
            <w:color w:val="0645AD"/>
            <w:sz w:val="32"/>
            <w:szCs w:val="32"/>
            <w:highlight w:val="yellow"/>
          </w:rPr>
          <w:t>Artículo 269</w:t>
        </w:r>
      </w:hyperlink>
      <w:r w:rsidRPr="001732D7">
        <w:rPr>
          <w:b/>
          <w:bCs/>
          <w:i/>
          <w:iCs/>
          <w:color w:val="000000"/>
          <w:sz w:val="32"/>
          <w:szCs w:val="32"/>
          <w:highlight w:val="yellow"/>
        </w:rPr>
        <w:t>.</w:t>
      </w:r>
      <w:r w:rsidRPr="001732D7">
        <w:rPr>
          <w:i/>
          <w:iCs/>
          <w:color w:val="000000"/>
          <w:sz w:val="32"/>
          <w:szCs w:val="32"/>
          <w:highlight w:val="yellow"/>
        </w:rPr>
        <w:t> Valor patrimonial de los bienes en moneda extranjera. El valor de los activos en moneda extranjera, </w:t>
      </w:r>
      <w:r w:rsidRPr="001732D7">
        <w:rPr>
          <w:i/>
          <w:iCs/>
          <w:color w:val="000000"/>
          <w:sz w:val="32"/>
          <w:szCs w:val="32"/>
          <w:highlight w:val="yellow"/>
          <w:u w:val="single"/>
        </w:rPr>
        <w:t>se estiman en moneda nacional al momento de su reconocimiento inicial a la tasa representativa del mercado, </w:t>
      </w:r>
      <w:r w:rsidRPr="001732D7">
        <w:rPr>
          <w:i/>
          <w:iCs/>
          <w:color w:val="000000"/>
          <w:sz w:val="32"/>
          <w:szCs w:val="32"/>
          <w:highlight w:val="yellow"/>
        </w:rPr>
        <w:t>menos los abonos o pagos medidos a la misma tasa representativa del mercado del reconocimiento inicial.”</w:t>
      </w:r>
    </w:p>
    <w:p w14:paraId="39AE193D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ind w:left="284"/>
        <w:jc w:val="both"/>
        <w:rPr>
          <w:color w:val="000000"/>
          <w:sz w:val="32"/>
          <w:szCs w:val="32"/>
        </w:rPr>
      </w:pPr>
      <w:r w:rsidRPr="001732D7">
        <w:rPr>
          <w:color w:val="000000"/>
          <w:sz w:val="32"/>
          <w:szCs w:val="32"/>
        </w:rPr>
        <w:t> </w:t>
      </w:r>
    </w:p>
    <w:p w14:paraId="670B0ECD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 w:rsidRPr="001732D7">
        <w:rPr>
          <w:i/>
          <w:iCs/>
          <w:color w:val="000000"/>
        </w:rPr>
        <w:t>(...)</w:t>
      </w:r>
    </w:p>
    <w:p w14:paraId="2E43BFEA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 w:rsidRPr="001732D7">
        <w:rPr>
          <w:color w:val="000000"/>
        </w:rPr>
        <w:t> </w:t>
      </w:r>
    </w:p>
    <w:p w14:paraId="78264DFE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ind w:left="284"/>
        <w:jc w:val="both"/>
        <w:rPr>
          <w:color w:val="000000"/>
          <w:sz w:val="32"/>
          <w:szCs w:val="32"/>
        </w:rPr>
      </w:pPr>
      <w:r w:rsidRPr="001732D7">
        <w:rPr>
          <w:i/>
          <w:iCs/>
          <w:color w:val="000000"/>
          <w:sz w:val="32"/>
          <w:szCs w:val="32"/>
          <w:highlight w:val="yellow"/>
        </w:rPr>
        <w:t>“</w:t>
      </w:r>
      <w:hyperlink r:id="rId8" w:tooltip="Estatuto Tributario CETA" w:history="1">
        <w:r w:rsidRPr="001732D7">
          <w:rPr>
            <w:rStyle w:val="Hipervnculo"/>
            <w:b/>
            <w:bCs/>
            <w:i/>
            <w:iCs/>
            <w:color w:val="0645AD"/>
            <w:sz w:val="32"/>
            <w:szCs w:val="32"/>
            <w:highlight w:val="yellow"/>
          </w:rPr>
          <w:t>Artículo 288</w:t>
        </w:r>
      </w:hyperlink>
      <w:r w:rsidRPr="001732D7">
        <w:rPr>
          <w:b/>
          <w:bCs/>
          <w:i/>
          <w:iCs/>
          <w:color w:val="000000"/>
          <w:sz w:val="32"/>
          <w:szCs w:val="32"/>
          <w:highlight w:val="yellow"/>
        </w:rPr>
        <w:t>.</w:t>
      </w:r>
      <w:r w:rsidRPr="001732D7">
        <w:rPr>
          <w:i/>
          <w:iCs/>
          <w:color w:val="000000"/>
          <w:sz w:val="32"/>
          <w:szCs w:val="32"/>
          <w:highlight w:val="yellow"/>
        </w:rPr>
        <w:t> Ajustes por diferencia en cambio. Los ingresos, costos, deducciones, </w:t>
      </w:r>
      <w:r w:rsidRPr="001732D7">
        <w:rPr>
          <w:i/>
          <w:iCs/>
          <w:color w:val="000000"/>
          <w:sz w:val="32"/>
          <w:szCs w:val="32"/>
          <w:highlight w:val="yellow"/>
          <w:u w:val="single"/>
        </w:rPr>
        <w:t>activos</w:t>
      </w:r>
      <w:r w:rsidRPr="001732D7">
        <w:rPr>
          <w:i/>
          <w:iCs/>
          <w:color w:val="000000"/>
          <w:sz w:val="32"/>
          <w:szCs w:val="32"/>
          <w:highlight w:val="yellow"/>
        </w:rPr>
        <w:t> y pasivos en moneda extranjera </w:t>
      </w:r>
      <w:r w:rsidRPr="001732D7">
        <w:rPr>
          <w:i/>
          <w:iCs/>
          <w:color w:val="000000"/>
          <w:sz w:val="32"/>
          <w:szCs w:val="32"/>
          <w:highlight w:val="yellow"/>
          <w:u w:val="single"/>
        </w:rPr>
        <w:t>se medirán al momento de su reconocimiento inicial a la tasa representativa del mercado</w:t>
      </w:r>
      <w:r w:rsidRPr="001732D7">
        <w:rPr>
          <w:i/>
          <w:iCs/>
          <w:color w:val="000000"/>
          <w:sz w:val="32"/>
          <w:szCs w:val="32"/>
          <w:highlight w:val="yellow"/>
        </w:rPr>
        <w:t>.</w:t>
      </w:r>
    </w:p>
    <w:p w14:paraId="708B0F3E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 w:rsidRPr="001732D7">
        <w:rPr>
          <w:color w:val="000000"/>
        </w:rPr>
        <w:t> </w:t>
      </w:r>
    </w:p>
    <w:p w14:paraId="21D4B509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ind w:left="284"/>
        <w:jc w:val="both"/>
        <w:rPr>
          <w:b/>
          <w:bCs/>
          <w:color w:val="000000"/>
          <w:sz w:val="32"/>
          <w:szCs w:val="32"/>
        </w:rPr>
      </w:pPr>
      <w:r w:rsidRPr="001732D7">
        <w:rPr>
          <w:b/>
          <w:bCs/>
          <w:i/>
          <w:iCs/>
          <w:color w:val="000000"/>
          <w:sz w:val="32"/>
          <w:szCs w:val="32"/>
          <w:highlight w:val="yellow"/>
        </w:rPr>
        <w:t>Las fluctuaciones de las partidas del estado de situación financiera, activos y pasivos, expresadas en moneda extranjera, no tendrán efectos fiscales </w:t>
      </w:r>
      <w:r w:rsidRPr="001732D7">
        <w:rPr>
          <w:b/>
          <w:bCs/>
          <w:i/>
          <w:iCs/>
          <w:color w:val="000000"/>
          <w:sz w:val="32"/>
          <w:szCs w:val="32"/>
          <w:highlight w:val="yellow"/>
          <w:u w:val="single"/>
        </w:rPr>
        <w:t xml:space="preserve">sino hasta el momento de la enajenación o abono en </w:t>
      </w:r>
      <w:r w:rsidRPr="001732D7">
        <w:rPr>
          <w:b/>
          <w:bCs/>
          <w:i/>
          <w:iCs/>
          <w:color w:val="000000"/>
          <w:sz w:val="32"/>
          <w:szCs w:val="32"/>
          <w:highlight w:val="yellow"/>
          <w:u w:val="single"/>
        </w:rPr>
        <w:lastRenderedPageBreak/>
        <w:t>el caso de los activos, </w:t>
      </w:r>
      <w:r w:rsidRPr="001732D7">
        <w:rPr>
          <w:b/>
          <w:bCs/>
          <w:i/>
          <w:iCs/>
          <w:color w:val="000000"/>
          <w:sz w:val="32"/>
          <w:szCs w:val="32"/>
          <w:highlight w:val="yellow"/>
        </w:rPr>
        <w:t>o liquidación o pago parcial en el caso de los pasivos.</w:t>
      </w:r>
    </w:p>
    <w:p w14:paraId="7831E951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 w:rsidRPr="001732D7">
        <w:rPr>
          <w:color w:val="000000"/>
        </w:rPr>
        <w:t> </w:t>
      </w:r>
    </w:p>
    <w:p w14:paraId="2DD0BA78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ind w:left="284"/>
        <w:jc w:val="both"/>
        <w:rPr>
          <w:color w:val="000000"/>
          <w:sz w:val="32"/>
          <w:szCs w:val="32"/>
        </w:rPr>
      </w:pPr>
      <w:r w:rsidRPr="001732D7">
        <w:rPr>
          <w:i/>
          <w:iCs/>
          <w:color w:val="000000"/>
          <w:sz w:val="32"/>
          <w:szCs w:val="32"/>
          <w:highlight w:val="yellow"/>
        </w:rPr>
        <w:t>En los eventos de enajenación o abono, la liquidación o el pago parcial, según sea el caso, se reconocerá a la tasa representativa del mercado del reconocimiento inicial.</w:t>
      </w:r>
    </w:p>
    <w:p w14:paraId="3B8E52C1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ind w:left="284"/>
        <w:jc w:val="both"/>
        <w:rPr>
          <w:color w:val="000000"/>
          <w:sz w:val="32"/>
          <w:szCs w:val="32"/>
        </w:rPr>
      </w:pPr>
      <w:r w:rsidRPr="001732D7">
        <w:rPr>
          <w:color w:val="000000"/>
          <w:sz w:val="32"/>
          <w:szCs w:val="32"/>
        </w:rPr>
        <w:t> </w:t>
      </w:r>
    </w:p>
    <w:p w14:paraId="5E0982B0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ind w:left="284"/>
        <w:jc w:val="both"/>
        <w:rPr>
          <w:b/>
          <w:bCs/>
          <w:color w:val="000000"/>
          <w:sz w:val="32"/>
          <w:szCs w:val="32"/>
        </w:rPr>
      </w:pPr>
      <w:r w:rsidRPr="001732D7">
        <w:rPr>
          <w:b/>
          <w:bCs/>
          <w:i/>
          <w:iCs/>
          <w:color w:val="000000"/>
          <w:sz w:val="32"/>
          <w:szCs w:val="32"/>
          <w:highlight w:val="yellow"/>
        </w:rPr>
        <w:t>El ingreso gravado, costo o gasto deducible en los abonos o pagos mencionados anteriormente corresponderá al que se genere por la diferencia entre la tasa representativa del mercado en el reconocimiento inicial y la tasa representativa del mercado en el momento del abono o pago.”</w:t>
      </w:r>
    </w:p>
    <w:p w14:paraId="2DE78C34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 w:rsidRPr="001732D7">
        <w:rPr>
          <w:color w:val="000000"/>
        </w:rPr>
        <w:t> </w:t>
      </w:r>
    </w:p>
    <w:p w14:paraId="26FA80CE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 w:rsidRPr="001732D7">
        <w:rPr>
          <w:i/>
          <w:iCs/>
          <w:color w:val="000000"/>
        </w:rPr>
        <w:t>(...)</w:t>
      </w:r>
    </w:p>
    <w:p w14:paraId="732C3779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 w:rsidRPr="001732D7">
        <w:rPr>
          <w:color w:val="000000"/>
        </w:rPr>
        <w:t> </w:t>
      </w:r>
    </w:p>
    <w:p w14:paraId="02591898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 w:rsidRPr="001732D7">
        <w:rPr>
          <w:i/>
          <w:iCs/>
          <w:color w:val="000000"/>
        </w:rPr>
        <w:t>En concordancia con lo anterior, se resalta lo contenido en el artículo 1.1.3. del Decreto 1625 de 2016:</w:t>
      </w:r>
    </w:p>
    <w:p w14:paraId="2F11279B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 w:rsidRPr="001732D7">
        <w:rPr>
          <w:color w:val="000000"/>
        </w:rPr>
        <w:t> </w:t>
      </w:r>
    </w:p>
    <w:p w14:paraId="40293B7B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ind w:left="284"/>
        <w:jc w:val="both"/>
        <w:rPr>
          <w:b/>
          <w:bCs/>
          <w:color w:val="000000"/>
          <w:sz w:val="32"/>
          <w:szCs w:val="32"/>
        </w:rPr>
      </w:pPr>
      <w:r w:rsidRPr="001732D7">
        <w:rPr>
          <w:b/>
          <w:bCs/>
          <w:i/>
          <w:iCs/>
          <w:color w:val="000000"/>
          <w:sz w:val="32"/>
          <w:szCs w:val="32"/>
          <w:highlight w:val="yellow"/>
        </w:rPr>
        <w:t>Artículo 1.1.3. Tasa de cambio representativa del mercado para efectos tributarios (TRM). La tasa de cambio representativa del mercando (TRM) para efectos tributarios, </w:t>
      </w:r>
      <w:r w:rsidRPr="001732D7">
        <w:rPr>
          <w:b/>
          <w:bCs/>
          <w:i/>
          <w:iCs/>
          <w:color w:val="000000"/>
          <w:sz w:val="32"/>
          <w:szCs w:val="32"/>
          <w:highlight w:val="yellow"/>
          <w:u w:val="single"/>
        </w:rPr>
        <w:t>será la tasa de cambio representativa del mercado vigente al momento del reconocimiento inicial</w:t>
      </w:r>
      <w:r w:rsidRPr="001732D7">
        <w:rPr>
          <w:b/>
          <w:bCs/>
          <w:i/>
          <w:iCs/>
          <w:color w:val="000000"/>
          <w:sz w:val="32"/>
          <w:szCs w:val="32"/>
          <w:highlight w:val="yellow"/>
        </w:rPr>
        <w:t> y posterior de las partidas del estado de situación financiera, activos y pasivos, expresadas en moneda extranjera, reconociéndose los ajustes por diferencia en cambio según lo previsto en el Estatuto Tributario y en este decreto.</w:t>
      </w:r>
    </w:p>
    <w:p w14:paraId="08DBA3D2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 w:rsidRPr="001732D7">
        <w:rPr>
          <w:color w:val="000000"/>
        </w:rPr>
        <w:t> </w:t>
      </w:r>
    </w:p>
    <w:p w14:paraId="6D28635D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ind w:left="284"/>
        <w:jc w:val="both"/>
        <w:rPr>
          <w:b/>
          <w:bCs/>
          <w:color w:val="000000"/>
          <w:sz w:val="32"/>
          <w:szCs w:val="32"/>
        </w:rPr>
      </w:pPr>
      <w:r w:rsidRPr="001732D7">
        <w:rPr>
          <w:b/>
          <w:bCs/>
          <w:i/>
          <w:iCs/>
          <w:color w:val="000000"/>
          <w:sz w:val="32"/>
          <w:szCs w:val="32"/>
          <w:highlight w:val="yellow"/>
        </w:rPr>
        <w:t>La tasa de cambio representativa del mercado (TRM) corresponde a la </w:t>
      </w:r>
      <w:r w:rsidRPr="001732D7">
        <w:rPr>
          <w:b/>
          <w:bCs/>
          <w:i/>
          <w:iCs/>
          <w:color w:val="000000"/>
          <w:sz w:val="32"/>
          <w:szCs w:val="32"/>
          <w:highlight w:val="yellow"/>
          <w:u w:val="single"/>
        </w:rPr>
        <w:t>certificada por la Superintendencia Financiera de Colombia,</w:t>
      </w:r>
      <w:r w:rsidRPr="001732D7">
        <w:rPr>
          <w:b/>
          <w:bCs/>
          <w:i/>
          <w:iCs/>
          <w:color w:val="000000"/>
          <w:sz w:val="32"/>
          <w:szCs w:val="32"/>
          <w:highlight w:val="yellow"/>
        </w:rPr>
        <w:t> de acuerdo con lo dispuesto en el artículo 40 de la Resolución Externa 01 de 2018 de la Junta Directiva del Banco de la República o las normas que la modifiquen, adicionen o sustituyan. (...)”</w:t>
      </w:r>
    </w:p>
    <w:p w14:paraId="4178C9D7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 w:rsidRPr="001732D7">
        <w:rPr>
          <w:color w:val="000000"/>
        </w:rPr>
        <w:lastRenderedPageBreak/>
        <w:t> </w:t>
      </w:r>
    </w:p>
    <w:p w14:paraId="51E41C0A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 w:rsidRPr="001732D7">
        <w:rPr>
          <w:i/>
          <w:iCs/>
          <w:color w:val="000000"/>
        </w:rPr>
        <w:t>(...)”</w:t>
      </w:r>
      <w:r w:rsidRPr="001732D7">
        <w:rPr>
          <w:color w:val="000000"/>
        </w:rPr>
        <w:t> (subrayado fuera de texto)</w:t>
      </w:r>
    </w:p>
    <w:p w14:paraId="37148ACB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732D7">
        <w:rPr>
          <w:color w:val="000000"/>
        </w:rPr>
        <w:t> </w:t>
      </w:r>
    </w:p>
    <w:p w14:paraId="434A0C1D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732D7">
        <w:rPr>
          <w:color w:val="000000"/>
        </w:rPr>
        <w:t> </w:t>
      </w:r>
    </w:p>
    <w:p w14:paraId="0ABF9D5D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732D7">
        <w:rPr>
          <w:color w:val="000000"/>
        </w:rPr>
        <w:t>Atentamente,</w:t>
      </w:r>
    </w:p>
    <w:p w14:paraId="7404B0AE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732D7">
        <w:rPr>
          <w:color w:val="000000"/>
        </w:rPr>
        <w:t> </w:t>
      </w:r>
    </w:p>
    <w:p w14:paraId="72FAF061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732D7">
        <w:rPr>
          <w:color w:val="000000"/>
        </w:rPr>
        <w:t> </w:t>
      </w:r>
    </w:p>
    <w:p w14:paraId="1FE4AC1B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732D7">
        <w:rPr>
          <w:b/>
          <w:bCs/>
          <w:color w:val="000000"/>
        </w:rPr>
        <w:t>ALFREDO RAMÍREZ CASTAÑEDA</w:t>
      </w:r>
    </w:p>
    <w:p w14:paraId="22AB4CD2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732D7">
        <w:rPr>
          <w:color w:val="000000"/>
        </w:rPr>
        <w:t>Subdirector de Normativa y Doctrina (E)</w:t>
      </w:r>
    </w:p>
    <w:p w14:paraId="20AED2EE" w14:textId="77777777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732D7">
        <w:rPr>
          <w:color w:val="000000"/>
        </w:rPr>
        <w:t>Dirección de Gestión Jurídica</w:t>
      </w:r>
    </w:p>
    <w:p w14:paraId="6DDEC89A" w14:textId="2B783370" w:rsidR="001732D7" w:rsidRDefault="001732D7" w:rsidP="001732D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732D7">
        <w:rPr>
          <w:color w:val="000000"/>
        </w:rPr>
        <w:t>UAE-Dirección de Impuestos y Aduanas Nacionales</w:t>
      </w:r>
    </w:p>
    <w:p w14:paraId="3D5A0D5B" w14:textId="68801DF0" w:rsidR="001732D7" w:rsidRPr="001732D7" w:rsidRDefault="001732D7" w:rsidP="001732D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30FAC001" w14:textId="77777777" w:rsidR="007F5CC8" w:rsidRPr="001732D7" w:rsidRDefault="007F5CC8" w:rsidP="001732D7">
      <w:pPr>
        <w:spacing w:line="360" w:lineRule="auto"/>
        <w:rPr>
          <w:rFonts w:cs="Times New Roman"/>
          <w:szCs w:val="24"/>
        </w:rPr>
      </w:pPr>
    </w:p>
    <w:sectPr w:rsidR="007F5CC8" w:rsidRPr="001732D7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D7"/>
    <w:rsid w:val="000F3837"/>
    <w:rsid w:val="001732D7"/>
    <w:rsid w:val="001E311E"/>
    <w:rsid w:val="00434AE6"/>
    <w:rsid w:val="007F5CC8"/>
    <w:rsid w:val="008779BE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767C"/>
  <w15:chartTrackingRefBased/>
  <w15:docId w15:val="{0FF8D24B-3479-4134-A24E-6BF0F8AC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32D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173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3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eta.org.co/html/vista_de_un_articulo.asp?Norma=3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365" TargetMode="External"/><Relationship Id="rId5" Type="http://schemas.openxmlformats.org/officeDocument/2006/relationships/hyperlink" Target="https://www.ceta.org.co/html/vista_de_un_articulo.asp?Norma=36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eta.org.co/html/vista_de_un_articulo.asp?Norma=34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873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1</cp:revision>
  <dcterms:created xsi:type="dcterms:W3CDTF">2023-01-12T17:19:00Z</dcterms:created>
  <dcterms:modified xsi:type="dcterms:W3CDTF">2023-01-12T17:26:00Z</dcterms:modified>
</cp:coreProperties>
</file>