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9428" w14:textId="77777777" w:rsidR="0024048A" w:rsidRPr="0024048A" w:rsidRDefault="0024048A" w:rsidP="0024048A">
      <w:pPr>
        <w:spacing w:after="0" w:line="360" w:lineRule="auto"/>
        <w:jc w:val="center"/>
        <w:rPr>
          <w:rFonts w:eastAsia="Times New Roman" w:cs="Times New Roman"/>
          <w:color w:val="000000"/>
          <w:szCs w:val="24"/>
          <w:highlight w:val="yellow"/>
          <w:lang w:eastAsia="es-CO"/>
        </w:rPr>
      </w:pPr>
      <w:r w:rsidRPr="0024048A">
        <w:rPr>
          <w:rFonts w:eastAsia="Times New Roman" w:cs="Times New Roman"/>
          <w:b/>
          <w:bCs/>
          <w:color w:val="000000"/>
          <w:szCs w:val="24"/>
          <w:highlight w:val="yellow"/>
          <w:lang w:eastAsia="es-CO"/>
        </w:rPr>
        <w:t xml:space="preserve">OFICIO </w:t>
      </w:r>
      <w:proofErr w:type="spellStart"/>
      <w:r w:rsidRPr="0024048A">
        <w:rPr>
          <w:rFonts w:eastAsia="Times New Roman" w:cs="Times New Roman"/>
          <w:b/>
          <w:bCs/>
          <w:color w:val="000000"/>
          <w:szCs w:val="24"/>
          <w:highlight w:val="yellow"/>
          <w:lang w:eastAsia="es-CO"/>
        </w:rPr>
        <w:t>Nº</w:t>
      </w:r>
      <w:proofErr w:type="spellEnd"/>
      <w:r w:rsidRPr="0024048A">
        <w:rPr>
          <w:rFonts w:eastAsia="Times New Roman" w:cs="Times New Roman"/>
          <w:b/>
          <w:bCs/>
          <w:color w:val="000000"/>
          <w:szCs w:val="24"/>
          <w:highlight w:val="yellow"/>
          <w:lang w:eastAsia="es-CO"/>
        </w:rPr>
        <w:t xml:space="preserve"> 1343 [908077]</w:t>
      </w:r>
    </w:p>
    <w:p w14:paraId="596DA416" w14:textId="77777777" w:rsidR="0024048A" w:rsidRPr="0024048A" w:rsidRDefault="0024048A" w:rsidP="0024048A">
      <w:pPr>
        <w:spacing w:after="0" w:line="360" w:lineRule="auto"/>
        <w:jc w:val="center"/>
        <w:rPr>
          <w:rFonts w:eastAsia="Times New Roman" w:cs="Times New Roman"/>
          <w:color w:val="000000"/>
          <w:szCs w:val="24"/>
          <w:highlight w:val="yellow"/>
          <w:lang w:eastAsia="es-CO"/>
        </w:rPr>
      </w:pPr>
      <w:r w:rsidRPr="0024048A">
        <w:rPr>
          <w:rFonts w:eastAsia="Times New Roman" w:cs="Times New Roman"/>
          <w:b/>
          <w:bCs/>
          <w:color w:val="000000"/>
          <w:szCs w:val="24"/>
          <w:highlight w:val="yellow"/>
          <w:lang w:eastAsia="es-CO"/>
        </w:rPr>
        <w:t>08-11-2022</w:t>
      </w:r>
    </w:p>
    <w:p w14:paraId="5E3CCCDD" w14:textId="77777777" w:rsidR="0024048A" w:rsidRPr="0024048A" w:rsidRDefault="0024048A" w:rsidP="0024048A">
      <w:pPr>
        <w:spacing w:after="0" w:line="360" w:lineRule="auto"/>
        <w:jc w:val="center"/>
        <w:rPr>
          <w:rFonts w:eastAsia="Times New Roman" w:cs="Times New Roman"/>
          <w:color w:val="000000"/>
          <w:szCs w:val="24"/>
          <w:lang w:eastAsia="es-CO"/>
        </w:rPr>
      </w:pPr>
      <w:r w:rsidRPr="0024048A">
        <w:rPr>
          <w:rFonts w:eastAsia="Times New Roman" w:cs="Times New Roman"/>
          <w:b/>
          <w:bCs/>
          <w:color w:val="000000"/>
          <w:szCs w:val="24"/>
          <w:highlight w:val="yellow"/>
          <w:lang w:eastAsia="es-CO"/>
        </w:rPr>
        <w:t>DIAN</w:t>
      </w:r>
    </w:p>
    <w:p w14:paraId="5D8C1133"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617CC657"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0AD1D844"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100208192-1343</w:t>
      </w:r>
    </w:p>
    <w:p w14:paraId="2F626852"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Bogotá, D.C.,</w:t>
      </w:r>
    </w:p>
    <w:p w14:paraId="6D48CD6E"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206"/>
        <w:gridCol w:w="6098"/>
      </w:tblGrid>
      <w:tr w:rsidR="0024048A" w:rsidRPr="0024048A" w14:paraId="01433BE8" w14:textId="77777777" w:rsidTr="0024048A">
        <w:tc>
          <w:tcPr>
            <w:tcW w:w="2206" w:type="dxa"/>
            <w:tcBorders>
              <w:top w:val="nil"/>
              <w:left w:val="nil"/>
              <w:bottom w:val="nil"/>
              <w:right w:val="nil"/>
            </w:tcBorders>
            <w:tcMar>
              <w:top w:w="0" w:type="dxa"/>
              <w:left w:w="105" w:type="dxa"/>
              <w:bottom w:w="0" w:type="dxa"/>
              <w:right w:w="105" w:type="dxa"/>
            </w:tcMar>
            <w:hideMark/>
          </w:tcPr>
          <w:p w14:paraId="1CFDE548" w14:textId="77777777" w:rsidR="0024048A" w:rsidRPr="0024048A" w:rsidRDefault="0024048A" w:rsidP="0024048A">
            <w:pPr>
              <w:spacing w:after="0" w:line="360" w:lineRule="auto"/>
              <w:jc w:val="both"/>
              <w:rPr>
                <w:rFonts w:eastAsia="Times New Roman" w:cs="Times New Roman"/>
                <w:szCs w:val="24"/>
                <w:lang w:eastAsia="es-CO"/>
              </w:rPr>
            </w:pPr>
            <w:r w:rsidRPr="0024048A">
              <w:rPr>
                <w:rFonts w:eastAsia="Times New Roman" w:cs="Times New Roman"/>
                <w:b/>
                <w:bCs/>
                <w:szCs w:val="24"/>
                <w:lang w:eastAsia="es-CO"/>
              </w:rPr>
              <w:t>Tema:</w:t>
            </w:r>
          </w:p>
        </w:tc>
        <w:tc>
          <w:tcPr>
            <w:tcW w:w="6098" w:type="dxa"/>
            <w:tcBorders>
              <w:top w:val="nil"/>
              <w:left w:val="nil"/>
              <w:bottom w:val="nil"/>
              <w:right w:val="nil"/>
            </w:tcBorders>
            <w:tcMar>
              <w:top w:w="0" w:type="dxa"/>
              <w:left w:w="105" w:type="dxa"/>
              <w:bottom w:w="0" w:type="dxa"/>
              <w:right w:w="105" w:type="dxa"/>
            </w:tcMar>
            <w:hideMark/>
          </w:tcPr>
          <w:p w14:paraId="5351B96C" w14:textId="77777777" w:rsidR="0024048A" w:rsidRPr="0024048A" w:rsidRDefault="0024048A" w:rsidP="0024048A">
            <w:pPr>
              <w:spacing w:after="0" w:line="360" w:lineRule="auto"/>
              <w:jc w:val="both"/>
              <w:rPr>
                <w:rFonts w:eastAsia="Times New Roman" w:cs="Times New Roman"/>
                <w:szCs w:val="24"/>
                <w:lang w:eastAsia="es-CO"/>
              </w:rPr>
            </w:pPr>
            <w:r w:rsidRPr="0024048A">
              <w:rPr>
                <w:rFonts w:eastAsia="Times New Roman" w:cs="Times New Roman"/>
                <w:szCs w:val="24"/>
                <w:lang w:eastAsia="es-CO"/>
              </w:rPr>
              <w:t>Procedimiento tributario</w:t>
            </w:r>
          </w:p>
        </w:tc>
      </w:tr>
      <w:tr w:rsidR="0024048A" w:rsidRPr="0024048A" w14:paraId="13003F98" w14:textId="77777777" w:rsidTr="0024048A">
        <w:trPr>
          <w:trHeight w:val="413"/>
        </w:trPr>
        <w:tc>
          <w:tcPr>
            <w:tcW w:w="2206" w:type="dxa"/>
            <w:tcBorders>
              <w:top w:val="nil"/>
              <w:left w:val="nil"/>
              <w:bottom w:val="nil"/>
              <w:right w:val="nil"/>
            </w:tcBorders>
            <w:tcMar>
              <w:top w:w="0" w:type="dxa"/>
              <w:left w:w="105" w:type="dxa"/>
              <w:bottom w:w="0" w:type="dxa"/>
              <w:right w:w="105" w:type="dxa"/>
            </w:tcMar>
            <w:hideMark/>
          </w:tcPr>
          <w:p w14:paraId="0B5DD454" w14:textId="77777777" w:rsidR="0024048A" w:rsidRPr="0024048A" w:rsidRDefault="0024048A" w:rsidP="0024048A">
            <w:pPr>
              <w:spacing w:after="0" w:line="360" w:lineRule="auto"/>
              <w:jc w:val="both"/>
              <w:rPr>
                <w:rFonts w:eastAsia="Times New Roman" w:cs="Times New Roman"/>
                <w:szCs w:val="24"/>
                <w:highlight w:val="yellow"/>
                <w:lang w:eastAsia="es-CO"/>
              </w:rPr>
            </w:pPr>
            <w:r w:rsidRPr="0024048A">
              <w:rPr>
                <w:rFonts w:eastAsia="Times New Roman" w:cs="Times New Roman"/>
                <w:b/>
                <w:bCs/>
                <w:szCs w:val="24"/>
                <w:highlight w:val="yellow"/>
                <w:lang w:eastAsia="es-CO"/>
              </w:rPr>
              <w:t>Descriptores:</w:t>
            </w:r>
          </w:p>
        </w:tc>
        <w:tc>
          <w:tcPr>
            <w:tcW w:w="6098" w:type="dxa"/>
            <w:tcBorders>
              <w:top w:val="nil"/>
              <w:left w:val="nil"/>
              <w:bottom w:val="nil"/>
              <w:right w:val="nil"/>
            </w:tcBorders>
            <w:tcMar>
              <w:top w:w="0" w:type="dxa"/>
              <w:left w:w="105" w:type="dxa"/>
              <w:bottom w:w="0" w:type="dxa"/>
              <w:right w:w="105" w:type="dxa"/>
            </w:tcMar>
            <w:hideMark/>
          </w:tcPr>
          <w:p w14:paraId="29A751F7" w14:textId="77777777" w:rsidR="0024048A" w:rsidRPr="0024048A" w:rsidRDefault="0024048A" w:rsidP="0024048A">
            <w:pPr>
              <w:spacing w:after="0" w:line="360" w:lineRule="auto"/>
              <w:jc w:val="both"/>
              <w:rPr>
                <w:rFonts w:eastAsia="Times New Roman" w:cs="Times New Roman"/>
                <w:szCs w:val="24"/>
                <w:highlight w:val="yellow"/>
                <w:lang w:eastAsia="es-CO"/>
              </w:rPr>
            </w:pPr>
            <w:r w:rsidRPr="0024048A">
              <w:rPr>
                <w:rFonts w:eastAsia="Times New Roman" w:cs="Times New Roman"/>
                <w:szCs w:val="24"/>
                <w:highlight w:val="yellow"/>
                <w:lang w:eastAsia="es-CO"/>
              </w:rPr>
              <w:t>Autorretención a título del impuesto sobre la renta y complementarios</w:t>
            </w:r>
          </w:p>
        </w:tc>
      </w:tr>
      <w:tr w:rsidR="0024048A" w:rsidRPr="0024048A" w14:paraId="41C6AE4C" w14:textId="77777777" w:rsidTr="0024048A">
        <w:tc>
          <w:tcPr>
            <w:tcW w:w="2206" w:type="dxa"/>
            <w:tcBorders>
              <w:top w:val="nil"/>
              <w:left w:val="nil"/>
              <w:bottom w:val="nil"/>
              <w:right w:val="nil"/>
            </w:tcBorders>
            <w:tcMar>
              <w:top w:w="0" w:type="dxa"/>
              <w:left w:w="105" w:type="dxa"/>
              <w:bottom w:w="0" w:type="dxa"/>
              <w:right w:w="105" w:type="dxa"/>
            </w:tcMar>
            <w:hideMark/>
          </w:tcPr>
          <w:p w14:paraId="0B9477A9" w14:textId="77777777" w:rsidR="0024048A" w:rsidRPr="0024048A" w:rsidRDefault="0024048A" w:rsidP="0024048A">
            <w:pPr>
              <w:spacing w:after="0" w:line="360" w:lineRule="auto"/>
              <w:jc w:val="both"/>
              <w:rPr>
                <w:rFonts w:eastAsia="Times New Roman" w:cs="Times New Roman"/>
                <w:szCs w:val="24"/>
                <w:lang w:eastAsia="es-CO"/>
              </w:rPr>
            </w:pPr>
            <w:r w:rsidRPr="0024048A">
              <w:rPr>
                <w:rFonts w:eastAsia="Times New Roman" w:cs="Times New Roman"/>
                <w:b/>
                <w:bCs/>
                <w:szCs w:val="24"/>
                <w:lang w:eastAsia="es-CO"/>
              </w:rPr>
              <w:t>Fuentes formales:</w:t>
            </w:r>
          </w:p>
        </w:tc>
        <w:tc>
          <w:tcPr>
            <w:tcW w:w="6098" w:type="dxa"/>
            <w:tcBorders>
              <w:top w:val="nil"/>
              <w:left w:val="nil"/>
              <w:bottom w:val="nil"/>
              <w:right w:val="nil"/>
            </w:tcBorders>
            <w:tcMar>
              <w:top w:w="0" w:type="dxa"/>
              <w:left w:w="105" w:type="dxa"/>
              <w:bottom w:w="0" w:type="dxa"/>
              <w:right w:w="105" w:type="dxa"/>
            </w:tcMar>
            <w:hideMark/>
          </w:tcPr>
          <w:p w14:paraId="59BF4A86" w14:textId="77777777" w:rsidR="0024048A" w:rsidRPr="0024048A" w:rsidRDefault="0024048A" w:rsidP="0024048A">
            <w:pPr>
              <w:spacing w:after="0" w:line="360" w:lineRule="auto"/>
              <w:jc w:val="both"/>
              <w:rPr>
                <w:rFonts w:eastAsia="Times New Roman" w:cs="Times New Roman"/>
                <w:szCs w:val="24"/>
                <w:lang w:eastAsia="es-CO"/>
              </w:rPr>
            </w:pPr>
            <w:r w:rsidRPr="0024048A">
              <w:rPr>
                <w:rFonts w:eastAsia="Times New Roman" w:cs="Times New Roman"/>
                <w:szCs w:val="24"/>
                <w:lang w:eastAsia="es-CO"/>
              </w:rPr>
              <w:t>Artículos </w:t>
            </w:r>
            <w:hyperlink r:id="rId5" w:tooltip="Estatuto Tributario CETA" w:history="1">
              <w:r w:rsidRPr="0024048A">
                <w:rPr>
                  <w:rFonts w:eastAsia="Times New Roman" w:cs="Times New Roman"/>
                  <w:color w:val="0645AD"/>
                  <w:szCs w:val="24"/>
                  <w:u w:val="single"/>
                  <w:lang w:eastAsia="es-CO"/>
                </w:rPr>
                <w:t>365</w:t>
              </w:r>
            </w:hyperlink>
            <w:r w:rsidRPr="0024048A">
              <w:rPr>
                <w:rFonts w:eastAsia="Times New Roman" w:cs="Times New Roman"/>
                <w:szCs w:val="24"/>
                <w:lang w:eastAsia="es-CO"/>
              </w:rPr>
              <w:t> y </w:t>
            </w:r>
            <w:hyperlink r:id="rId6" w:tooltip="Estatuto Tributario CETA" w:history="1">
              <w:r w:rsidRPr="0024048A">
                <w:rPr>
                  <w:rFonts w:eastAsia="Times New Roman" w:cs="Times New Roman"/>
                  <w:color w:val="0645AD"/>
                  <w:szCs w:val="24"/>
                  <w:u w:val="single"/>
                  <w:lang w:eastAsia="es-CO"/>
                </w:rPr>
                <w:t>366-1</w:t>
              </w:r>
            </w:hyperlink>
            <w:r w:rsidRPr="0024048A">
              <w:rPr>
                <w:rFonts w:eastAsia="Times New Roman" w:cs="Times New Roman"/>
                <w:szCs w:val="24"/>
                <w:lang w:eastAsia="es-CO"/>
              </w:rPr>
              <w:t> del Estatuto Tributario</w:t>
            </w:r>
          </w:p>
          <w:p w14:paraId="1A9ADAC0" w14:textId="77777777" w:rsidR="0024048A" w:rsidRPr="0024048A" w:rsidRDefault="0024048A" w:rsidP="0024048A">
            <w:pPr>
              <w:spacing w:after="0" w:line="360" w:lineRule="auto"/>
              <w:jc w:val="both"/>
              <w:rPr>
                <w:rFonts w:eastAsia="Times New Roman" w:cs="Times New Roman"/>
                <w:szCs w:val="24"/>
                <w:lang w:eastAsia="es-CO"/>
              </w:rPr>
            </w:pPr>
            <w:r w:rsidRPr="0024048A">
              <w:rPr>
                <w:rFonts w:eastAsia="Times New Roman" w:cs="Times New Roman"/>
                <w:szCs w:val="24"/>
                <w:lang w:eastAsia="es-CO"/>
              </w:rPr>
              <w:t>Artículos 1.2.6.6. al 1.2.6.11. del Decreto 1625 de 2016</w:t>
            </w:r>
          </w:p>
        </w:tc>
      </w:tr>
    </w:tbl>
    <w:p w14:paraId="7E197C70"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32C7C4EE"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34DABC32"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Cordial saludo,</w:t>
      </w:r>
    </w:p>
    <w:p w14:paraId="4672ACEB"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38609CA5"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D6647A5"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07D77FC1"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Mediante el radicado de la referencia, el peticionario solicita un alcance al Oficio No. 023680 del 19 de septiembre de 2019 con el ánimo de precisar la aplicación del parágrafo 1° del </w:t>
      </w:r>
      <w:hyperlink r:id="rId7" w:tooltip="Estatuto Tributario CETA" w:history="1">
        <w:r w:rsidRPr="0024048A">
          <w:rPr>
            <w:rFonts w:eastAsia="Times New Roman" w:cs="Times New Roman"/>
            <w:color w:val="0645AD"/>
            <w:szCs w:val="24"/>
            <w:u w:val="single"/>
            <w:lang w:eastAsia="es-CO"/>
          </w:rPr>
          <w:t>artículo 366-1</w:t>
        </w:r>
      </w:hyperlink>
      <w:r w:rsidRPr="0024048A">
        <w:rPr>
          <w:rFonts w:eastAsia="Times New Roman" w:cs="Times New Roman"/>
          <w:color w:val="000000"/>
          <w:szCs w:val="24"/>
          <w:lang w:eastAsia="es-CO"/>
        </w:rPr>
        <w:t> del Estatuto Tributario tratándose de la autorretención prevista en los artículos 1.2.6.6. y siguientes del Decreto 1625 de 2016, para el caso de sociedades nacionales.</w:t>
      </w:r>
    </w:p>
    <w:p w14:paraId="714CB77F"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27287FAB"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Sobre el particular, las consideraciones de este Despacho son las siguientes, no sin antes reiterar que no le corresponde pronunciarse sobre situaciones de carácter particular ni prestar asesoría específica, por lo que le corresponderá al peticionario definir, en su caso particular, las obligaciones sustanciales y formales a las que haya lugar.</w:t>
      </w:r>
    </w:p>
    <w:p w14:paraId="57B698C3"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130F6249"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En el Oficio No. 023680 en comento se concluyó:</w:t>
      </w:r>
    </w:p>
    <w:p w14:paraId="503A3E25"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656EF10C"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i/>
          <w:iCs/>
          <w:color w:val="000000"/>
          <w:szCs w:val="24"/>
          <w:lang w:eastAsia="es-CO"/>
        </w:rPr>
        <w:t xml:space="preserve">“(...) al tener la retención en la fuente por objeto conseguir en forma gradual que el impuesto (en este caso de renta) se recaude en lo posible dentro del mismo ejercicio gravable en que se causa y al estar gravadas las sociedades y entidades nacionales tanto sobre sus rentas y </w:t>
      </w:r>
      <w:r w:rsidRPr="0024048A">
        <w:rPr>
          <w:rFonts w:eastAsia="Times New Roman" w:cs="Times New Roman"/>
          <w:i/>
          <w:iCs/>
          <w:color w:val="000000"/>
          <w:szCs w:val="24"/>
          <w:lang w:eastAsia="es-CO"/>
        </w:rPr>
        <w:lastRenderedPageBreak/>
        <w:t>ganancias ocasionales de fuente nacional como de fuente extranjera, esta autorretención (esto es, la prevista en el artículo 1.2.6.6. del Decreto 1625 de 2016) </w:t>
      </w:r>
      <w:r w:rsidRPr="0024048A">
        <w:rPr>
          <w:rFonts w:eastAsia="Times New Roman" w:cs="Times New Roman"/>
          <w:i/>
          <w:iCs/>
          <w:color w:val="000000"/>
          <w:szCs w:val="24"/>
          <w:u w:val="single"/>
          <w:lang w:eastAsia="es-CO"/>
        </w:rPr>
        <w:t>también debe tener como base los ingresos que para el beneficiario del pago constituyan ingreso de fuente extranjera,</w:t>
      </w:r>
      <w:r w:rsidRPr="0024048A">
        <w:rPr>
          <w:rFonts w:eastAsia="Times New Roman" w:cs="Times New Roman"/>
          <w:i/>
          <w:iCs/>
          <w:color w:val="000000"/>
          <w:szCs w:val="24"/>
          <w:lang w:eastAsia="es-CO"/>
        </w:rPr>
        <w:t> a la tarifa que corresponda según el artículo 1.2.6.7. del Decreto 1625 de 2016.”</w:t>
      </w:r>
      <w:r w:rsidRPr="0024048A">
        <w:rPr>
          <w:rFonts w:eastAsia="Times New Roman" w:cs="Times New Roman"/>
          <w:color w:val="000000"/>
          <w:szCs w:val="24"/>
          <w:lang w:eastAsia="es-CO"/>
        </w:rPr>
        <w:t> (subrayado fuera de texto)</w:t>
      </w:r>
    </w:p>
    <w:p w14:paraId="6C2250DE"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7B8549FC"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De acuerdo con el artículo 1.2.6.6. de Decreto 1625 de 2016, tienen la calidad de autorretenedores a título del impuesto sobre la renta y complementarios, atendiendo el parágrafo 2° del </w:t>
      </w:r>
      <w:hyperlink r:id="rId8" w:tooltip="Estatuto Tributario CETA" w:history="1">
        <w:r w:rsidRPr="0024048A">
          <w:rPr>
            <w:rFonts w:eastAsia="Times New Roman" w:cs="Times New Roman"/>
            <w:color w:val="0645AD"/>
            <w:szCs w:val="24"/>
            <w:u w:val="single"/>
            <w:lang w:eastAsia="es-CO"/>
          </w:rPr>
          <w:t>artículo 365</w:t>
        </w:r>
      </w:hyperlink>
      <w:r w:rsidRPr="0024048A">
        <w:rPr>
          <w:rFonts w:eastAsia="Times New Roman" w:cs="Times New Roman"/>
          <w:color w:val="000000"/>
          <w:szCs w:val="24"/>
          <w:lang w:eastAsia="es-CO"/>
        </w:rPr>
        <w:t> del Estatuto Tributario, los sujetos que cumplan las siguientes condiciones:</w:t>
      </w:r>
    </w:p>
    <w:p w14:paraId="437433C5"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5BF2E3B5"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i/>
          <w:iCs/>
          <w:color w:val="000000"/>
          <w:szCs w:val="24"/>
          <w:lang w:eastAsia="es-CO"/>
        </w:rPr>
        <w:t>“1. Que se trate de </w:t>
      </w:r>
      <w:r w:rsidRPr="0024048A">
        <w:rPr>
          <w:rFonts w:eastAsia="Times New Roman" w:cs="Times New Roman"/>
          <w:i/>
          <w:iCs/>
          <w:color w:val="000000"/>
          <w:szCs w:val="24"/>
          <w:u w:val="single"/>
          <w:lang w:eastAsia="es-CO"/>
        </w:rPr>
        <w:t>sociedades nacionales y sus asimiladas, contribuyentes declarantes del impuesto sobre la renta y complementario</w:t>
      </w:r>
      <w:r w:rsidRPr="0024048A">
        <w:rPr>
          <w:rFonts w:eastAsia="Times New Roman" w:cs="Times New Roman"/>
          <w:i/>
          <w:iCs/>
          <w:color w:val="000000"/>
          <w:szCs w:val="24"/>
          <w:lang w:eastAsia="es-CO"/>
        </w:rPr>
        <w:t> (...)</w:t>
      </w:r>
    </w:p>
    <w:p w14:paraId="10167A1D"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49575877"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i/>
          <w:iCs/>
          <w:color w:val="000000"/>
          <w:szCs w:val="24"/>
          <w:lang w:eastAsia="es-CO"/>
        </w:rPr>
        <w:t>2. Que las sociedades de que trata el numeral 1 de este artículo, estén </w:t>
      </w:r>
      <w:r w:rsidRPr="0024048A">
        <w:rPr>
          <w:rFonts w:eastAsia="Times New Roman" w:cs="Times New Roman"/>
          <w:i/>
          <w:iCs/>
          <w:color w:val="000000"/>
          <w:szCs w:val="24"/>
          <w:u w:val="single"/>
          <w:lang w:eastAsia="es-CO"/>
        </w:rPr>
        <w:t>exoneradas del pago de las cotizaciones al Sistema General de Seguridad Social en Salud y del pago de los aportes parafiscales a favor del Servicio Nacional del Aprendizaje (SENA), del Instituto Colombiano de Bienestar Familiar (ICBF) y las cotizaciones al Régimen Contributivo de Salud,</w:t>
      </w:r>
      <w:r w:rsidRPr="0024048A">
        <w:rPr>
          <w:rFonts w:eastAsia="Times New Roman" w:cs="Times New Roman"/>
          <w:i/>
          <w:iCs/>
          <w:color w:val="000000"/>
          <w:szCs w:val="24"/>
          <w:lang w:eastAsia="es-CO"/>
        </w:rPr>
        <w:t> respecto de los trabajadores que devenguen, individualmente considerados, menos de diez (10) salarios mínimos mensuales legales vigentes, por sus </w:t>
      </w:r>
      <w:r w:rsidRPr="0024048A">
        <w:rPr>
          <w:rFonts w:eastAsia="Times New Roman" w:cs="Times New Roman"/>
          <w:i/>
          <w:iCs/>
          <w:color w:val="000000"/>
          <w:szCs w:val="24"/>
          <w:u w:val="single"/>
          <w:lang w:eastAsia="es-CO"/>
        </w:rPr>
        <w:t>ingresos de fuente nacional</w:t>
      </w:r>
      <w:r w:rsidRPr="0024048A">
        <w:rPr>
          <w:rFonts w:eastAsia="Times New Roman" w:cs="Times New Roman"/>
          <w:i/>
          <w:iCs/>
          <w:color w:val="000000"/>
          <w:szCs w:val="24"/>
          <w:lang w:eastAsia="es-CO"/>
        </w:rPr>
        <w:t> obtenidos mediante sucursales y establecimientos permanentes, de conformidad con el </w:t>
      </w:r>
      <w:hyperlink r:id="rId9" w:tooltip="Estatuto Tributario CETA" w:history="1">
        <w:r w:rsidRPr="0024048A">
          <w:rPr>
            <w:rFonts w:eastAsia="Times New Roman" w:cs="Times New Roman"/>
            <w:i/>
            <w:iCs/>
            <w:color w:val="0645AD"/>
            <w:szCs w:val="24"/>
            <w:u w:val="single"/>
            <w:lang w:eastAsia="es-CO"/>
          </w:rPr>
          <w:t>artículo 114-1</w:t>
        </w:r>
      </w:hyperlink>
      <w:r w:rsidRPr="0024048A">
        <w:rPr>
          <w:rFonts w:eastAsia="Times New Roman" w:cs="Times New Roman"/>
          <w:i/>
          <w:iCs/>
          <w:color w:val="000000"/>
          <w:szCs w:val="24"/>
          <w:lang w:eastAsia="es-CO"/>
        </w:rPr>
        <w:t> del Estatuto Tributario adicionado por el artículo 65 de la Ley 1819 de 2016. ”</w:t>
      </w:r>
      <w:r w:rsidRPr="0024048A">
        <w:rPr>
          <w:rFonts w:eastAsia="Times New Roman" w:cs="Times New Roman"/>
          <w:color w:val="000000"/>
          <w:szCs w:val="24"/>
          <w:lang w:eastAsia="es-CO"/>
        </w:rPr>
        <w:t> (subrayado fuera de texto)</w:t>
      </w:r>
    </w:p>
    <w:p w14:paraId="36E9B455"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3EB7F852"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El artículo 1.2.6.7. </w:t>
      </w:r>
      <w:r w:rsidRPr="0024048A">
        <w:rPr>
          <w:rFonts w:eastAsia="Times New Roman" w:cs="Times New Roman"/>
          <w:i/>
          <w:iCs/>
          <w:color w:val="000000"/>
          <w:szCs w:val="24"/>
          <w:lang w:eastAsia="es-CO"/>
        </w:rPr>
        <w:t>ibidem</w:t>
      </w:r>
      <w:r w:rsidRPr="0024048A">
        <w:rPr>
          <w:rFonts w:eastAsia="Times New Roman" w:cs="Times New Roman"/>
          <w:color w:val="000000"/>
          <w:szCs w:val="24"/>
          <w:lang w:eastAsia="es-CO"/>
        </w:rPr>
        <w:t> precisa a su vez que </w:t>
      </w:r>
      <w:r w:rsidRPr="0024048A">
        <w:rPr>
          <w:rFonts w:eastAsia="Times New Roman" w:cs="Times New Roman"/>
          <w:i/>
          <w:iCs/>
          <w:color w:val="000000"/>
          <w:szCs w:val="24"/>
          <w:lang w:eastAsia="es-CO"/>
        </w:rPr>
        <w:t>“Las bases establecidas en las normas vigentes para calcular la retención del impuesto sobre la renta y complementario </w:t>
      </w:r>
      <w:r w:rsidRPr="0024048A">
        <w:rPr>
          <w:rFonts w:eastAsia="Times New Roman" w:cs="Times New Roman"/>
          <w:i/>
          <w:iCs/>
          <w:color w:val="000000"/>
          <w:szCs w:val="24"/>
          <w:u w:val="single"/>
          <w:lang w:eastAsia="es-CO"/>
        </w:rPr>
        <w:t>serán aplicables igualmente</w:t>
      </w:r>
      <w:r w:rsidRPr="0024048A">
        <w:rPr>
          <w:rFonts w:eastAsia="Times New Roman" w:cs="Times New Roman"/>
          <w:i/>
          <w:iCs/>
          <w:color w:val="000000"/>
          <w:szCs w:val="24"/>
          <w:lang w:eastAsia="es-CO"/>
        </w:rPr>
        <w:t> para practicar la autorretención”</w:t>
      </w:r>
      <w:r w:rsidRPr="0024048A">
        <w:rPr>
          <w:rFonts w:eastAsia="Times New Roman" w:cs="Times New Roman"/>
          <w:color w:val="000000"/>
          <w:szCs w:val="24"/>
          <w:lang w:eastAsia="es-CO"/>
        </w:rPr>
        <w:t> (subrayado fuera de texto) de que trata el citado artículo I.2.6.6.</w:t>
      </w:r>
    </w:p>
    <w:p w14:paraId="32BE3AA8"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46DD02D7"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Valga señalar que el parágrafo 2° del citado </w:t>
      </w:r>
      <w:hyperlink r:id="rId10" w:tooltip="Estatuto Tributario CETA" w:history="1">
        <w:r w:rsidRPr="0024048A">
          <w:rPr>
            <w:rFonts w:eastAsia="Times New Roman" w:cs="Times New Roman"/>
            <w:color w:val="0645AD"/>
            <w:szCs w:val="24"/>
            <w:u w:val="single"/>
            <w:lang w:eastAsia="es-CO"/>
          </w:rPr>
          <w:t>artículo 365</w:t>
        </w:r>
      </w:hyperlink>
      <w:r w:rsidRPr="0024048A">
        <w:rPr>
          <w:rFonts w:eastAsia="Times New Roman" w:cs="Times New Roman"/>
          <w:color w:val="000000"/>
          <w:szCs w:val="24"/>
          <w:lang w:eastAsia="es-CO"/>
        </w:rPr>
        <w:t> indica:</w:t>
      </w:r>
    </w:p>
    <w:p w14:paraId="27C2DAB5"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794D1B1B"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i/>
          <w:iCs/>
          <w:color w:val="000000"/>
          <w:szCs w:val="24"/>
          <w:lang w:eastAsia="es-CO"/>
        </w:rPr>
        <w:t>“El Gobierno nacional establecerá </w:t>
      </w:r>
      <w:r w:rsidRPr="0024048A">
        <w:rPr>
          <w:rFonts w:eastAsia="Times New Roman" w:cs="Times New Roman"/>
          <w:i/>
          <w:iCs/>
          <w:color w:val="000000"/>
          <w:szCs w:val="24"/>
          <w:u w:val="single"/>
          <w:lang w:eastAsia="es-CO"/>
        </w:rPr>
        <w:t>un sistema de autorretención en la fuente a título del impuesto sobre la renta y complementarios,</w:t>
      </w:r>
      <w:r w:rsidRPr="0024048A">
        <w:rPr>
          <w:rFonts w:eastAsia="Times New Roman" w:cs="Times New Roman"/>
          <w:i/>
          <w:iCs/>
          <w:color w:val="000000"/>
          <w:szCs w:val="24"/>
          <w:lang w:eastAsia="es-CO"/>
        </w:rPr>
        <w:t> el cual no excluye la posibilidad de que los autorretenedores sean sujetos de retención en la fuente.”</w:t>
      </w:r>
      <w:r w:rsidRPr="0024048A">
        <w:rPr>
          <w:rFonts w:eastAsia="Times New Roman" w:cs="Times New Roman"/>
          <w:color w:val="000000"/>
          <w:szCs w:val="24"/>
          <w:lang w:eastAsia="es-CO"/>
        </w:rPr>
        <w:t> (subrayado fuera de texto)</w:t>
      </w:r>
    </w:p>
    <w:p w14:paraId="1E15D458"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467FFF6C"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Ahora bien, el </w:t>
      </w:r>
      <w:hyperlink r:id="rId11" w:tooltip="Estatuto Tributario CETA" w:history="1">
        <w:r w:rsidRPr="0024048A">
          <w:rPr>
            <w:rFonts w:eastAsia="Times New Roman" w:cs="Times New Roman"/>
            <w:color w:val="0645AD"/>
            <w:szCs w:val="24"/>
            <w:u w:val="single"/>
            <w:lang w:eastAsia="es-CO"/>
          </w:rPr>
          <w:t>artículo 366-1</w:t>
        </w:r>
      </w:hyperlink>
      <w:r w:rsidRPr="0024048A">
        <w:rPr>
          <w:rFonts w:eastAsia="Times New Roman" w:cs="Times New Roman"/>
          <w:color w:val="000000"/>
          <w:szCs w:val="24"/>
          <w:lang w:eastAsia="es-CO"/>
        </w:rPr>
        <w:t> del Estatuto Tributario establece:</w:t>
      </w:r>
    </w:p>
    <w:p w14:paraId="3776A8B4"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5E32CC64"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i/>
          <w:iCs/>
          <w:color w:val="000000"/>
          <w:szCs w:val="24"/>
          <w:lang w:eastAsia="es-CO"/>
        </w:rPr>
        <w:t>“</w:t>
      </w:r>
      <w:hyperlink r:id="rId12" w:tooltip="Estatuto Tributario CETA" w:history="1">
        <w:r w:rsidRPr="0024048A">
          <w:rPr>
            <w:rFonts w:eastAsia="Times New Roman" w:cs="Times New Roman"/>
            <w:b/>
            <w:bCs/>
            <w:i/>
            <w:iCs/>
            <w:color w:val="0645AD"/>
            <w:szCs w:val="24"/>
            <w:u w:val="single"/>
            <w:lang w:eastAsia="es-CO"/>
          </w:rPr>
          <w:t>ARTÍCULO 366-1</w:t>
        </w:r>
      </w:hyperlink>
      <w:r w:rsidRPr="0024048A">
        <w:rPr>
          <w:rFonts w:eastAsia="Times New Roman" w:cs="Times New Roman"/>
          <w:b/>
          <w:bCs/>
          <w:i/>
          <w:iCs/>
          <w:color w:val="000000"/>
          <w:szCs w:val="24"/>
          <w:lang w:eastAsia="es-CO"/>
        </w:rPr>
        <w:t>. FACULTAD PARA ESTABLECER RETENCIÓN EN LA FUENTE POR INGRESOS DEL EXTERIOR. </w:t>
      </w:r>
      <w:r w:rsidRPr="0024048A">
        <w:rPr>
          <w:rFonts w:eastAsia="Times New Roman" w:cs="Times New Roman"/>
          <w:i/>
          <w:iCs/>
          <w:color w:val="000000"/>
          <w:szCs w:val="24"/>
          <w:lang w:eastAsia="es-CO"/>
        </w:rPr>
        <w:t xml:space="preserve">&lt;Artículo adicionado por el artículo 7 de la Ley 6 de 1992. El nuevo texto es el siguiente:&gt; Sin perjuicio de las retenciones en la fuente consagradas en las disposiciones vigentes, el Gobierno Nacional podrá señalar porcentajes de retención en la fuente no superiores al treinta por ciento (30%) del respectivo pago o abono en </w:t>
      </w:r>
      <w:r w:rsidRPr="0024048A">
        <w:rPr>
          <w:rFonts w:eastAsia="Times New Roman" w:cs="Times New Roman"/>
          <w:i/>
          <w:iCs/>
          <w:color w:val="000000"/>
          <w:szCs w:val="24"/>
          <w:lang w:eastAsia="es-CO"/>
        </w:rPr>
        <w:lastRenderedPageBreak/>
        <w:t>cuenta, </w:t>
      </w:r>
      <w:r w:rsidRPr="0024048A">
        <w:rPr>
          <w:rFonts w:eastAsia="Times New Roman" w:cs="Times New Roman"/>
          <w:i/>
          <w:iCs/>
          <w:color w:val="000000"/>
          <w:szCs w:val="24"/>
          <w:u w:val="single"/>
          <w:lang w:eastAsia="es-CO"/>
        </w:rPr>
        <w:t>cuando se trate de ingresos constitutivos de renta o ganancia ocasional, provenientes del exterior en moneda extranjera,</w:t>
      </w:r>
      <w:r w:rsidRPr="0024048A">
        <w:rPr>
          <w:rFonts w:eastAsia="Times New Roman" w:cs="Times New Roman"/>
          <w:i/>
          <w:iCs/>
          <w:color w:val="000000"/>
          <w:szCs w:val="24"/>
          <w:lang w:eastAsia="es-CO"/>
        </w:rPr>
        <w:t xml:space="preserve"> independientemente de la clase de beneficiario de </w:t>
      </w:r>
      <w:proofErr w:type="gramStart"/>
      <w:r w:rsidRPr="0024048A">
        <w:rPr>
          <w:rFonts w:eastAsia="Times New Roman" w:cs="Times New Roman"/>
          <w:i/>
          <w:iCs/>
          <w:color w:val="000000"/>
          <w:szCs w:val="24"/>
          <w:lang w:eastAsia="es-CO"/>
        </w:rPr>
        <w:t>los mismos</w:t>
      </w:r>
      <w:proofErr w:type="gramEnd"/>
      <w:r w:rsidRPr="0024048A">
        <w:rPr>
          <w:rFonts w:eastAsia="Times New Roman" w:cs="Times New Roman"/>
          <w:i/>
          <w:iCs/>
          <w:color w:val="000000"/>
          <w:szCs w:val="24"/>
          <w:lang w:eastAsia="es-CO"/>
        </w:rPr>
        <w:t>.</w:t>
      </w:r>
    </w:p>
    <w:p w14:paraId="5DD811B6"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452C56D9"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i/>
          <w:iCs/>
          <w:color w:val="000000"/>
          <w:szCs w:val="24"/>
          <w:lang w:eastAsia="es-CO"/>
        </w:rPr>
        <w:t>En todo lo demás se aplicarán las disposiciones vigentes sobre la materia.</w:t>
      </w:r>
    </w:p>
    <w:p w14:paraId="510C939B"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6A8773CD"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b/>
          <w:bCs/>
          <w:i/>
          <w:iCs/>
          <w:color w:val="000000"/>
          <w:szCs w:val="24"/>
          <w:lang w:eastAsia="es-CO"/>
        </w:rPr>
        <w:t>PARÁGRAFO 1o.</w:t>
      </w:r>
      <w:r w:rsidRPr="0024048A">
        <w:rPr>
          <w:rFonts w:eastAsia="Times New Roman" w:cs="Times New Roman"/>
          <w:i/>
          <w:iCs/>
          <w:color w:val="000000"/>
          <w:szCs w:val="24"/>
          <w:lang w:eastAsia="es-CO"/>
        </w:rPr>
        <w:t> &lt;Parágrafo modificado por el artículo 105 de la Ley 488 de 1998. El nuevo texto es el siguiente:&gt; </w:t>
      </w:r>
      <w:r w:rsidRPr="0024048A">
        <w:rPr>
          <w:rFonts w:eastAsia="Times New Roman" w:cs="Times New Roman"/>
          <w:i/>
          <w:iCs/>
          <w:color w:val="000000"/>
          <w:szCs w:val="24"/>
          <w:u w:val="single"/>
          <w:lang w:eastAsia="es-CO"/>
        </w:rPr>
        <w:t>La retención prevista en este artículo no será aplicable a los ingresos por concepto de exportaciones de bienes,</w:t>
      </w:r>
      <w:r w:rsidRPr="0024048A">
        <w:rPr>
          <w:rFonts w:eastAsia="Times New Roman" w:cs="Times New Roman"/>
          <w:i/>
          <w:iCs/>
          <w:color w:val="000000"/>
          <w:szCs w:val="24"/>
          <w:lang w:eastAsia="es-CO"/>
        </w:rPr>
        <w:t> ni a los ingresos provenientes de los servicios prestados, por colombianos, en el exterior, a personas naturales o jurídicas no residenciadas en Colombia </w:t>
      </w:r>
      <w:r w:rsidRPr="0024048A">
        <w:rPr>
          <w:rFonts w:eastAsia="Times New Roman" w:cs="Times New Roman"/>
          <w:i/>
          <w:iCs/>
          <w:color w:val="000000"/>
          <w:szCs w:val="24"/>
          <w:u w:val="single"/>
          <w:lang w:eastAsia="es-CO"/>
        </w:rPr>
        <w:t>siempre y cuando que las divisas que se generen sean canalizadas a través del mercado cambiario</w:t>
      </w:r>
      <w:r w:rsidRPr="0024048A">
        <w:rPr>
          <w:rFonts w:eastAsia="Times New Roman" w:cs="Times New Roman"/>
          <w:i/>
          <w:iCs/>
          <w:color w:val="000000"/>
          <w:szCs w:val="24"/>
          <w:lang w:eastAsia="es-CO"/>
        </w:rPr>
        <w:t>.</w:t>
      </w:r>
    </w:p>
    <w:p w14:paraId="69727F26"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6884C26C" w14:textId="77777777" w:rsidR="0024048A" w:rsidRPr="0024048A" w:rsidRDefault="0024048A" w:rsidP="0024048A">
      <w:pPr>
        <w:spacing w:after="0" w:line="360" w:lineRule="auto"/>
        <w:ind w:left="284"/>
        <w:jc w:val="both"/>
        <w:rPr>
          <w:rFonts w:eastAsia="Times New Roman" w:cs="Times New Roman"/>
          <w:color w:val="000000"/>
          <w:szCs w:val="24"/>
          <w:lang w:eastAsia="es-CO"/>
        </w:rPr>
      </w:pPr>
      <w:r w:rsidRPr="0024048A">
        <w:rPr>
          <w:rFonts w:eastAsia="Times New Roman" w:cs="Times New Roman"/>
          <w:i/>
          <w:iCs/>
          <w:color w:val="000000"/>
          <w:szCs w:val="24"/>
          <w:lang w:eastAsia="es-CO"/>
        </w:rPr>
        <w:t>(...)”</w:t>
      </w:r>
      <w:r w:rsidRPr="0024048A">
        <w:rPr>
          <w:rFonts w:eastAsia="Times New Roman" w:cs="Times New Roman"/>
          <w:color w:val="000000"/>
          <w:szCs w:val="24"/>
          <w:lang w:eastAsia="es-CO"/>
        </w:rPr>
        <w:t> (subrayado fuera de texto)</w:t>
      </w:r>
    </w:p>
    <w:p w14:paraId="48239F79"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19A9B090"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De las antepuestas normas resulta claro entonces que:</w:t>
      </w:r>
    </w:p>
    <w:p w14:paraId="1DE7425B"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4BE95FD2" w14:textId="77777777" w:rsidR="0024048A" w:rsidRPr="0024048A" w:rsidRDefault="0024048A" w:rsidP="0024048A">
      <w:pPr>
        <w:numPr>
          <w:ilvl w:val="0"/>
          <w:numId w:val="1"/>
        </w:numPr>
        <w:spacing w:before="100" w:beforeAutospacing="1" w:after="100" w:afterAutospacing="1" w:line="360" w:lineRule="auto"/>
        <w:ind w:left="1080" w:firstLine="0"/>
        <w:jc w:val="both"/>
        <w:rPr>
          <w:rFonts w:eastAsia="Times New Roman" w:cs="Times New Roman"/>
          <w:color w:val="000000"/>
          <w:szCs w:val="24"/>
          <w:lang w:eastAsia="es-CO"/>
        </w:rPr>
      </w:pPr>
      <w:r w:rsidRPr="0024048A">
        <w:rPr>
          <w:rFonts w:eastAsia="Times New Roman" w:cs="Times New Roman"/>
          <w:color w:val="000000"/>
          <w:szCs w:val="24"/>
          <w:lang w:eastAsia="es-CO"/>
        </w:rPr>
        <w:t>La autorretención de que trata el artículo 1.2.6.6. del Decreto 1625 de 2016 es exigible, entre otros sujetos, a las sociedades nacionales contribuyentes del impuesto sobre la renta y complementarios que estén exoneradas del pago de las cotizaciones al Sistema General de Seguridad Social en Salud y del pago de los aportes parafiscales a favor del SENA, del ICBF y las cotizaciones al Régimen Contributivo de Salud, en los términos del </w:t>
      </w:r>
      <w:hyperlink r:id="rId13" w:tooltip="Estatuto Tributario CETA" w:history="1">
        <w:r w:rsidRPr="0024048A">
          <w:rPr>
            <w:rFonts w:eastAsia="Times New Roman" w:cs="Times New Roman"/>
            <w:color w:val="0645AD"/>
            <w:szCs w:val="24"/>
            <w:u w:val="single"/>
            <w:lang w:eastAsia="es-CO"/>
          </w:rPr>
          <w:t>artículo 114-1</w:t>
        </w:r>
      </w:hyperlink>
      <w:r w:rsidRPr="0024048A">
        <w:rPr>
          <w:rFonts w:eastAsia="Times New Roman" w:cs="Times New Roman"/>
          <w:color w:val="000000"/>
          <w:szCs w:val="24"/>
          <w:lang w:eastAsia="es-CO"/>
        </w:rPr>
        <w:t> del Estatuto Tributario.</w:t>
      </w:r>
    </w:p>
    <w:p w14:paraId="530DCF0F"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53CD4F22"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Adicionalmente, </w:t>
      </w:r>
      <w:r w:rsidRPr="0024048A">
        <w:rPr>
          <w:rFonts w:eastAsia="Times New Roman" w:cs="Times New Roman"/>
          <w:color w:val="000000"/>
          <w:szCs w:val="24"/>
          <w:u w:val="single"/>
          <w:lang w:eastAsia="es-CO"/>
        </w:rPr>
        <w:t>el sustento de esta autorretención yace en la facultad del Gobierno nacional consagrada en el parágrafo 2 del </w:t>
      </w:r>
      <w:hyperlink r:id="rId14" w:tooltip="Estatuto Tributario CETA" w:history="1">
        <w:r w:rsidRPr="0024048A">
          <w:rPr>
            <w:rFonts w:eastAsia="Times New Roman" w:cs="Times New Roman"/>
            <w:color w:val="0645AD"/>
            <w:szCs w:val="24"/>
            <w:u w:val="single"/>
            <w:lang w:eastAsia="es-CO"/>
          </w:rPr>
          <w:t>artículo 365</w:t>
        </w:r>
      </w:hyperlink>
      <w:r w:rsidRPr="0024048A">
        <w:rPr>
          <w:rFonts w:eastAsia="Times New Roman" w:cs="Times New Roman"/>
          <w:color w:val="000000"/>
          <w:szCs w:val="24"/>
          <w:u w:val="single"/>
          <w:lang w:eastAsia="es-CO"/>
        </w:rPr>
        <w:t> </w:t>
      </w:r>
      <w:r w:rsidRPr="0024048A">
        <w:rPr>
          <w:rFonts w:eastAsia="Times New Roman" w:cs="Times New Roman"/>
          <w:i/>
          <w:iCs/>
          <w:color w:val="000000"/>
          <w:szCs w:val="24"/>
          <w:u w:val="single"/>
          <w:lang w:eastAsia="es-CO"/>
        </w:rPr>
        <w:t>ibidem</w:t>
      </w:r>
      <w:r w:rsidRPr="0024048A">
        <w:rPr>
          <w:rFonts w:eastAsia="Times New Roman" w:cs="Times New Roman"/>
          <w:color w:val="000000"/>
          <w:szCs w:val="24"/>
          <w:lang w:eastAsia="es-CO"/>
        </w:rPr>
        <w:t>.</w:t>
      </w:r>
    </w:p>
    <w:p w14:paraId="0661BFA5"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6F01CCD1" w14:textId="77777777" w:rsidR="0024048A" w:rsidRPr="0024048A" w:rsidRDefault="0024048A" w:rsidP="0024048A">
      <w:pPr>
        <w:numPr>
          <w:ilvl w:val="0"/>
          <w:numId w:val="2"/>
        </w:numPr>
        <w:spacing w:before="100" w:beforeAutospacing="1" w:after="100" w:afterAutospacing="1" w:line="360" w:lineRule="auto"/>
        <w:ind w:left="1080" w:firstLine="0"/>
        <w:jc w:val="both"/>
        <w:rPr>
          <w:rFonts w:eastAsia="Times New Roman" w:cs="Times New Roman"/>
          <w:color w:val="000000"/>
          <w:szCs w:val="24"/>
          <w:lang w:eastAsia="es-CO"/>
        </w:rPr>
      </w:pPr>
      <w:r w:rsidRPr="0024048A">
        <w:rPr>
          <w:rFonts w:eastAsia="Times New Roman" w:cs="Times New Roman"/>
          <w:color w:val="000000"/>
          <w:szCs w:val="24"/>
          <w:lang w:eastAsia="es-CO"/>
        </w:rPr>
        <w:t>Por su parte, </w:t>
      </w:r>
      <w:r w:rsidRPr="0024048A">
        <w:rPr>
          <w:rFonts w:eastAsia="Times New Roman" w:cs="Times New Roman"/>
          <w:color w:val="000000"/>
          <w:szCs w:val="24"/>
          <w:u w:val="single"/>
          <w:lang w:eastAsia="es-CO"/>
        </w:rPr>
        <w:t>de conformidad con el </w:t>
      </w:r>
      <w:hyperlink r:id="rId15" w:tooltip="Estatuto Tributario CETA" w:history="1">
        <w:r w:rsidRPr="0024048A">
          <w:rPr>
            <w:rFonts w:eastAsia="Times New Roman" w:cs="Times New Roman"/>
            <w:color w:val="0645AD"/>
            <w:szCs w:val="24"/>
            <w:u w:val="single"/>
            <w:lang w:eastAsia="es-CO"/>
          </w:rPr>
          <w:t>artículo 366-1</w:t>
        </w:r>
      </w:hyperlink>
      <w:r w:rsidRPr="0024048A">
        <w:rPr>
          <w:rFonts w:eastAsia="Times New Roman" w:cs="Times New Roman"/>
          <w:color w:val="000000"/>
          <w:szCs w:val="24"/>
          <w:u w:val="single"/>
          <w:lang w:eastAsia="es-CO"/>
        </w:rPr>
        <w:t> </w:t>
      </w:r>
      <w:r w:rsidRPr="0024048A">
        <w:rPr>
          <w:rFonts w:eastAsia="Times New Roman" w:cs="Times New Roman"/>
          <w:i/>
          <w:iCs/>
          <w:color w:val="000000"/>
          <w:szCs w:val="24"/>
          <w:u w:val="single"/>
          <w:lang w:eastAsia="es-CO"/>
        </w:rPr>
        <w:t>ibidem</w:t>
      </w:r>
      <w:r w:rsidRPr="0024048A">
        <w:rPr>
          <w:rFonts w:eastAsia="Times New Roman" w:cs="Times New Roman"/>
          <w:color w:val="000000"/>
          <w:szCs w:val="24"/>
          <w:lang w:eastAsia="es-CO"/>
        </w:rPr>
        <w:t>, el Gobierno nacional puede establecer porcentajes de retención en la fuente sobre ingresos constitutivos de renta o ganancia ocasional provenientes del exterior en moneda extranjera, de la cual, no obstante, están exonerados -entre otros- los ingresos por concepto de exportaciones de bienes siempre y cuando las divisas que se generen sean canalizadas a través del mercado cambiario.</w:t>
      </w:r>
    </w:p>
    <w:p w14:paraId="331B70C0"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3EC15549"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Así pues, es evidente que la autorretención de que trata el parágrafo 2° del </w:t>
      </w:r>
      <w:hyperlink r:id="rId16" w:tooltip="Estatuto Tributario CETA" w:history="1">
        <w:r w:rsidRPr="0024048A">
          <w:rPr>
            <w:rFonts w:eastAsia="Times New Roman" w:cs="Times New Roman"/>
            <w:color w:val="0645AD"/>
            <w:szCs w:val="24"/>
            <w:u w:val="single"/>
            <w:lang w:eastAsia="es-CO"/>
          </w:rPr>
          <w:t>artículo 365</w:t>
        </w:r>
      </w:hyperlink>
      <w:r w:rsidRPr="0024048A">
        <w:rPr>
          <w:rFonts w:eastAsia="Times New Roman" w:cs="Times New Roman"/>
          <w:color w:val="000000"/>
          <w:szCs w:val="24"/>
          <w:lang w:eastAsia="es-CO"/>
        </w:rPr>
        <w:t> del Estatuto Tributario obedece a </w:t>
      </w:r>
      <w:r w:rsidRPr="0024048A">
        <w:rPr>
          <w:rFonts w:eastAsia="Times New Roman" w:cs="Times New Roman"/>
          <w:color w:val="000000"/>
          <w:szCs w:val="24"/>
          <w:u w:val="single"/>
          <w:lang w:eastAsia="es-CO"/>
        </w:rPr>
        <w:t>unas facultades y supuestos completamente diferentes</w:t>
      </w:r>
      <w:r w:rsidRPr="0024048A">
        <w:rPr>
          <w:rFonts w:eastAsia="Times New Roman" w:cs="Times New Roman"/>
          <w:color w:val="000000"/>
          <w:szCs w:val="24"/>
          <w:lang w:eastAsia="es-CO"/>
        </w:rPr>
        <w:t> de las relacionadas con la retención en la fuente prevista en el </w:t>
      </w:r>
      <w:hyperlink r:id="rId17" w:tooltip="Estatuto Tributario CETA" w:history="1">
        <w:r w:rsidRPr="0024048A">
          <w:rPr>
            <w:rFonts w:eastAsia="Times New Roman" w:cs="Times New Roman"/>
            <w:color w:val="0645AD"/>
            <w:szCs w:val="24"/>
            <w:u w:val="single"/>
            <w:lang w:eastAsia="es-CO"/>
          </w:rPr>
          <w:t>artículo 366-1</w:t>
        </w:r>
      </w:hyperlink>
      <w:r w:rsidRPr="0024048A">
        <w:rPr>
          <w:rFonts w:eastAsia="Times New Roman" w:cs="Times New Roman"/>
          <w:color w:val="000000"/>
          <w:szCs w:val="24"/>
          <w:lang w:eastAsia="es-CO"/>
        </w:rPr>
        <w:t> </w:t>
      </w:r>
      <w:r w:rsidRPr="0024048A">
        <w:rPr>
          <w:rFonts w:eastAsia="Times New Roman" w:cs="Times New Roman"/>
          <w:i/>
          <w:iCs/>
          <w:color w:val="000000"/>
          <w:szCs w:val="24"/>
          <w:lang w:eastAsia="es-CO"/>
        </w:rPr>
        <w:t>ibidem</w:t>
      </w:r>
      <w:r w:rsidRPr="0024048A">
        <w:rPr>
          <w:rFonts w:eastAsia="Times New Roman" w:cs="Times New Roman"/>
          <w:color w:val="000000"/>
          <w:szCs w:val="24"/>
          <w:lang w:eastAsia="es-CO"/>
        </w:rPr>
        <w:t>.</w:t>
      </w:r>
    </w:p>
    <w:p w14:paraId="19F19BB4"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lastRenderedPageBreak/>
        <w:t> </w:t>
      </w:r>
    </w:p>
    <w:p w14:paraId="64EEF51F"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Por ende, las sociedades nacionales que obtengan ingresos constitutivos de renta o ganancia ocasional, provenientes del exterior en moneda extranjera por concepto de exportaciones de bienes, están obligadas a practicar sobre los mismos la autorretención regulada en los artículos 1.2.6.6. y siguientes del Decreto 1625 de 2016.</w:t>
      </w:r>
    </w:p>
    <w:p w14:paraId="3E3E90F6"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014BFA06" w14:textId="77777777" w:rsidR="0024048A" w:rsidRPr="0024048A" w:rsidRDefault="0024048A" w:rsidP="0024048A">
      <w:pPr>
        <w:spacing w:after="0" w:line="360" w:lineRule="auto"/>
        <w:jc w:val="both"/>
        <w:rPr>
          <w:rFonts w:eastAsia="Times New Roman" w:cs="Times New Roman"/>
          <w:color w:val="000000"/>
          <w:sz w:val="28"/>
          <w:szCs w:val="28"/>
          <w:highlight w:val="yellow"/>
          <w:lang w:eastAsia="es-CO"/>
        </w:rPr>
      </w:pPr>
      <w:r w:rsidRPr="0024048A">
        <w:rPr>
          <w:rFonts w:eastAsia="Times New Roman" w:cs="Times New Roman"/>
          <w:color w:val="000000"/>
          <w:sz w:val="28"/>
          <w:szCs w:val="28"/>
          <w:highlight w:val="yellow"/>
          <w:lang w:eastAsia="es-CO"/>
        </w:rPr>
        <w:t>No se debe dejar de lado que, como fuera expresado en el Oficio 914965 - interno 502 del 8 de diciembre de 2021:</w:t>
      </w:r>
    </w:p>
    <w:p w14:paraId="5AC364B0" w14:textId="77777777" w:rsidR="0024048A" w:rsidRPr="0024048A" w:rsidRDefault="0024048A" w:rsidP="0024048A">
      <w:pPr>
        <w:spacing w:after="0" w:line="360" w:lineRule="auto"/>
        <w:jc w:val="both"/>
        <w:rPr>
          <w:rFonts w:eastAsia="Times New Roman" w:cs="Times New Roman"/>
          <w:color w:val="000000"/>
          <w:sz w:val="28"/>
          <w:szCs w:val="28"/>
          <w:highlight w:val="yellow"/>
          <w:lang w:eastAsia="es-CO"/>
        </w:rPr>
      </w:pPr>
      <w:r w:rsidRPr="0024048A">
        <w:rPr>
          <w:rFonts w:eastAsia="Times New Roman" w:cs="Times New Roman"/>
          <w:color w:val="000000"/>
          <w:sz w:val="28"/>
          <w:szCs w:val="28"/>
          <w:highlight w:val="yellow"/>
          <w:lang w:eastAsia="es-CO"/>
        </w:rPr>
        <w:t> </w:t>
      </w:r>
    </w:p>
    <w:p w14:paraId="14FA89BC" w14:textId="77777777" w:rsidR="0024048A" w:rsidRPr="0024048A" w:rsidRDefault="0024048A" w:rsidP="0024048A">
      <w:pPr>
        <w:spacing w:after="0" w:line="360" w:lineRule="auto"/>
        <w:ind w:left="284"/>
        <w:jc w:val="both"/>
        <w:rPr>
          <w:rFonts w:eastAsia="Times New Roman" w:cs="Times New Roman"/>
          <w:color w:val="000000"/>
          <w:sz w:val="28"/>
          <w:szCs w:val="28"/>
          <w:highlight w:val="yellow"/>
          <w:lang w:eastAsia="es-CO"/>
        </w:rPr>
      </w:pPr>
      <w:r w:rsidRPr="0024048A">
        <w:rPr>
          <w:rFonts w:eastAsia="Times New Roman" w:cs="Times New Roman"/>
          <w:i/>
          <w:iCs/>
          <w:color w:val="000000"/>
          <w:sz w:val="28"/>
          <w:szCs w:val="28"/>
          <w:highlight w:val="yellow"/>
          <w:lang w:eastAsia="es-CO"/>
        </w:rPr>
        <w:t>“(...) el origen de lo dispuesto en los artículos I.2.6.6. a 1.2.6.11. del Decreto 1625 del 2016, se remonta a las disposiciones relacionadas con el CREE cuya tarifa tenía una </w:t>
      </w:r>
      <w:r w:rsidRPr="0024048A">
        <w:rPr>
          <w:rFonts w:eastAsia="Times New Roman" w:cs="Times New Roman"/>
          <w:i/>
          <w:iCs/>
          <w:color w:val="000000"/>
          <w:sz w:val="28"/>
          <w:szCs w:val="28"/>
          <w:highlight w:val="yellow"/>
          <w:u w:val="single"/>
          <w:lang w:eastAsia="es-CO"/>
        </w:rPr>
        <w:t>destinación específica</w:t>
      </w:r>
      <w:r w:rsidRPr="0024048A">
        <w:rPr>
          <w:rFonts w:eastAsia="Times New Roman" w:cs="Times New Roman"/>
          <w:i/>
          <w:iCs/>
          <w:color w:val="000000"/>
          <w:sz w:val="28"/>
          <w:szCs w:val="28"/>
          <w:highlight w:val="yellow"/>
          <w:lang w:eastAsia="es-CO"/>
        </w:rPr>
        <w:t> y su recaudo se daba a través de una autorretención especial.</w:t>
      </w:r>
    </w:p>
    <w:p w14:paraId="6A82AF69" w14:textId="77777777" w:rsidR="0024048A" w:rsidRPr="0024048A" w:rsidRDefault="0024048A" w:rsidP="0024048A">
      <w:pPr>
        <w:spacing w:after="0" w:line="360" w:lineRule="auto"/>
        <w:ind w:left="284"/>
        <w:jc w:val="both"/>
        <w:rPr>
          <w:rFonts w:eastAsia="Times New Roman" w:cs="Times New Roman"/>
          <w:color w:val="000000"/>
          <w:sz w:val="28"/>
          <w:szCs w:val="28"/>
          <w:highlight w:val="yellow"/>
          <w:lang w:eastAsia="es-CO"/>
        </w:rPr>
      </w:pPr>
      <w:r w:rsidRPr="0024048A">
        <w:rPr>
          <w:rFonts w:eastAsia="Times New Roman" w:cs="Times New Roman"/>
          <w:color w:val="000000"/>
          <w:sz w:val="28"/>
          <w:szCs w:val="28"/>
          <w:highlight w:val="yellow"/>
          <w:lang w:eastAsia="es-CO"/>
        </w:rPr>
        <w:t> </w:t>
      </w:r>
    </w:p>
    <w:p w14:paraId="32903F3D" w14:textId="77777777" w:rsidR="0024048A" w:rsidRPr="0024048A" w:rsidRDefault="0024048A" w:rsidP="0024048A">
      <w:pPr>
        <w:spacing w:after="0" w:line="360" w:lineRule="auto"/>
        <w:ind w:left="284"/>
        <w:jc w:val="both"/>
        <w:rPr>
          <w:rFonts w:eastAsia="Times New Roman" w:cs="Times New Roman"/>
          <w:color w:val="000000"/>
          <w:sz w:val="28"/>
          <w:szCs w:val="28"/>
          <w:lang w:eastAsia="es-CO"/>
        </w:rPr>
      </w:pPr>
      <w:r w:rsidRPr="0024048A">
        <w:rPr>
          <w:rFonts w:eastAsia="Times New Roman" w:cs="Times New Roman"/>
          <w:i/>
          <w:iCs/>
          <w:color w:val="000000"/>
          <w:sz w:val="28"/>
          <w:szCs w:val="28"/>
          <w:highlight w:val="yellow"/>
          <w:lang w:eastAsia="es-CO"/>
        </w:rPr>
        <w:t>Dicha autorretención estaba regulada en el Decreto 1828 de 2013, disposiciones compiladas en el Decreto 1625 del 2016 y posteriormente retiradas de esta reglamentación para ser </w:t>
      </w:r>
      <w:r w:rsidRPr="0024048A">
        <w:rPr>
          <w:rFonts w:eastAsia="Times New Roman" w:cs="Times New Roman"/>
          <w:i/>
          <w:iCs/>
          <w:color w:val="000000"/>
          <w:sz w:val="28"/>
          <w:szCs w:val="28"/>
          <w:highlight w:val="yellow"/>
          <w:u w:val="single"/>
          <w:lang w:eastAsia="es-CO"/>
        </w:rPr>
        <w:t>sustituidas por lo dispuesto en el Decreto 2201 de 2016, </w:t>
      </w:r>
      <w:r w:rsidRPr="0024048A">
        <w:rPr>
          <w:rFonts w:eastAsia="Times New Roman" w:cs="Times New Roman"/>
          <w:i/>
          <w:iCs/>
          <w:color w:val="000000"/>
          <w:sz w:val="28"/>
          <w:szCs w:val="28"/>
          <w:highlight w:val="yellow"/>
          <w:lang w:eastAsia="es-CO"/>
        </w:rPr>
        <w:t>con el cual se incorporó la actual redacción de los artículos 1.2.6.6. a 1.2.6.11. a este Decreto Único.”</w:t>
      </w:r>
      <w:r w:rsidRPr="0024048A">
        <w:rPr>
          <w:rFonts w:eastAsia="Times New Roman" w:cs="Times New Roman"/>
          <w:color w:val="000000"/>
          <w:sz w:val="28"/>
          <w:szCs w:val="28"/>
          <w:highlight w:val="yellow"/>
          <w:lang w:eastAsia="es-CO"/>
        </w:rPr>
        <w:t> (subrayado fuera de texto).</w:t>
      </w:r>
    </w:p>
    <w:p w14:paraId="62D6D6CF"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66FBA042"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8" w:tgtFrame="_blank" w:history="1">
        <w:r w:rsidRPr="0024048A">
          <w:rPr>
            <w:rFonts w:eastAsia="Times New Roman" w:cs="Times New Roman"/>
            <w:color w:val="0645AD"/>
            <w:szCs w:val="24"/>
            <w:u w:val="single"/>
            <w:lang w:eastAsia="es-CO"/>
          </w:rPr>
          <w:t>www.dian.gov.co</w:t>
        </w:r>
      </w:hyperlink>
      <w:r w:rsidRPr="0024048A">
        <w:rPr>
          <w:rFonts w:eastAsia="Times New Roman" w:cs="Times New Roman"/>
          <w:color w:val="000000"/>
          <w:szCs w:val="24"/>
          <w:lang w:eastAsia="es-CO"/>
        </w:rPr>
        <w:t xml:space="preserve">, la base de conceptos en materia tributaria, aduanera y cambiaria expedidos desde el año 2001, la cual se puede ingresar por el icono de “Normatividad”-“Doctrina”, dando </w:t>
      </w:r>
      <w:proofErr w:type="spellStart"/>
      <w:r w:rsidRPr="0024048A">
        <w:rPr>
          <w:rFonts w:eastAsia="Times New Roman" w:cs="Times New Roman"/>
          <w:color w:val="000000"/>
          <w:szCs w:val="24"/>
          <w:lang w:eastAsia="es-CO"/>
        </w:rPr>
        <w:t>click</w:t>
      </w:r>
      <w:proofErr w:type="spellEnd"/>
      <w:r w:rsidRPr="0024048A">
        <w:rPr>
          <w:rFonts w:eastAsia="Times New Roman" w:cs="Times New Roman"/>
          <w:color w:val="000000"/>
          <w:szCs w:val="24"/>
          <w:lang w:eastAsia="es-CO"/>
        </w:rPr>
        <w:t xml:space="preserve"> en el link “Doctrina Dirección de Gestión Jurídica”.</w:t>
      </w:r>
    </w:p>
    <w:p w14:paraId="5E3FF4BE"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569D0506"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Atentamente,</w:t>
      </w:r>
    </w:p>
    <w:p w14:paraId="60D69583"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2332B6BB"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 </w:t>
      </w:r>
    </w:p>
    <w:p w14:paraId="6B98EC3D"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b/>
          <w:bCs/>
          <w:color w:val="000000"/>
          <w:szCs w:val="24"/>
          <w:lang w:eastAsia="es-CO"/>
        </w:rPr>
        <w:t>ALFREDO RAMÍREZ CASTAÑEDA</w:t>
      </w:r>
    </w:p>
    <w:p w14:paraId="64ABC4DD"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Subdirector de Normativa y Doctrina (E)</w:t>
      </w:r>
    </w:p>
    <w:p w14:paraId="2CAC30EC"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Dirección de Gestión Jurídica</w:t>
      </w:r>
    </w:p>
    <w:p w14:paraId="64DD9105" w14:textId="77777777" w:rsidR="0024048A" w:rsidRPr="0024048A" w:rsidRDefault="0024048A" w:rsidP="0024048A">
      <w:pPr>
        <w:spacing w:after="0" w:line="360" w:lineRule="auto"/>
        <w:jc w:val="both"/>
        <w:rPr>
          <w:rFonts w:eastAsia="Times New Roman" w:cs="Times New Roman"/>
          <w:color w:val="000000"/>
          <w:szCs w:val="24"/>
          <w:lang w:eastAsia="es-CO"/>
        </w:rPr>
      </w:pPr>
      <w:r w:rsidRPr="0024048A">
        <w:rPr>
          <w:rFonts w:eastAsia="Times New Roman" w:cs="Times New Roman"/>
          <w:color w:val="000000"/>
          <w:szCs w:val="24"/>
          <w:lang w:eastAsia="es-CO"/>
        </w:rPr>
        <w:t>UAE-Dirección de Impuestos y Aduanas Nacionales</w:t>
      </w:r>
    </w:p>
    <w:p w14:paraId="0FFE2E6B" w14:textId="77777777" w:rsidR="007F5CC8" w:rsidRPr="0024048A" w:rsidRDefault="007F5CC8" w:rsidP="0024048A">
      <w:pPr>
        <w:spacing w:line="360" w:lineRule="auto"/>
        <w:rPr>
          <w:rFonts w:cs="Times New Roman"/>
          <w:szCs w:val="24"/>
        </w:rPr>
      </w:pPr>
    </w:p>
    <w:p w14:paraId="0408A267" w14:textId="77777777" w:rsidR="0024048A" w:rsidRPr="0024048A" w:rsidRDefault="0024048A">
      <w:pPr>
        <w:spacing w:line="360" w:lineRule="auto"/>
        <w:rPr>
          <w:rFonts w:cs="Times New Roman"/>
          <w:szCs w:val="24"/>
        </w:rPr>
      </w:pPr>
    </w:p>
    <w:sectPr w:rsidR="0024048A" w:rsidRPr="0024048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417C"/>
    <w:multiLevelType w:val="multilevel"/>
    <w:tmpl w:val="DC36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AF7EF7"/>
    <w:multiLevelType w:val="multilevel"/>
    <w:tmpl w:val="16A6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165628">
    <w:abstractNumId w:val="1"/>
    <w:lvlOverride w:ilvl="0">
      <w:startOverride w:val="1"/>
    </w:lvlOverride>
  </w:num>
  <w:num w:numId="2" w16cid:durableId="1798451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8A"/>
    <w:rsid w:val="000F3837"/>
    <w:rsid w:val="001E311E"/>
    <w:rsid w:val="0024048A"/>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4B98"/>
  <w15:chartTrackingRefBased/>
  <w15:docId w15:val="{07F601C8-F9C4-4D8F-9B4E-C86EAAC9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54" TargetMode="External"/><Relationship Id="rId13" Type="http://schemas.openxmlformats.org/officeDocument/2006/relationships/hyperlink" Target="https://www.ceta.org.co/html/vista_de_un_articulo.asp?Norma=42481" TargetMode="External"/><Relationship Id="rId18" Type="http://schemas.openxmlformats.org/officeDocument/2006/relationships/hyperlink" Target="http://www.dian.gov.co/" TargetMode="External"/><Relationship Id="rId3" Type="http://schemas.openxmlformats.org/officeDocument/2006/relationships/settings" Target="settings.xml"/><Relationship Id="rId7" Type="http://schemas.openxmlformats.org/officeDocument/2006/relationships/hyperlink" Target="https://www.ceta.org.co/html/vista_de_un_articulo.asp?Norma=456" TargetMode="External"/><Relationship Id="rId12" Type="http://schemas.openxmlformats.org/officeDocument/2006/relationships/hyperlink" Target="https://www.ceta.org.co/html/vista_de_un_articulo.asp?Norma=456" TargetMode="External"/><Relationship Id="rId17" Type="http://schemas.openxmlformats.org/officeDocument/2006/relationships/hyperlink" Target="https://www.ceta.org.co/html/vista_de_un_articulo.asp?Norma=456" TargetMode="External"/><Relationship Id="rId2" Type="http://schemas.openxmlformats.org/officeDocument/2006/relationships/styles" Target="styles.xml"/><Relationship Id="rId16" Type="http://schemas.openxmlformats.org/officeDocument/2006/relationships/hyperlink" Target="https://www.ceta.org.co/html/vista_de_un_articulo.asp?Norma=45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articulo.asp?Norma=456" TargetMode="External"/><Relationship Id="rId11" Type="http://schemas.openxmlformats.org/officeDocument/2006/relationships/hyperlink" Target="https://www.ceta.org.co/html/vista_de_un_articulo.asp?Norma=456" TargetMode="External"/><Relationship Id="rId5" Type="http://schemas.openxmlformats.org/officeDocument/2006/relationships/hyperlink" Target="https://www.ceta.org.co/html/vista_de_un_articulo.asp?Norma=454" TargetMode="External"/><Relationship Id="rId15" Type="http://schemas.openxmlformats.org/officeDocument/2006/relationships/hyperlink" Target="https://www.ceta.org.co/html/vista_de_un_articulo.asp?Norma=456" TargetMode="External"/><Relationship Id="rId10" Type="http://schemas.openxmlformats.org/officeDocument/2006/relationships/hyperlink" Target="https://www.ceta.org.co/html/vista_de_un_articulo.asp?Norma=45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42481" TargetMode="External"/><Relationship Id="rId14" Type="http://schemas.openxmlformats.org/officeDocument/2006/relationships/hyperlink" Target="https://www.ceta.org.co/html/vista_de_un_articulo.asp?Norma=4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1554</Words>
  <Characters>8552</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2022-12-15T21:18:00Z</dcterms:created>
  <dcterms:modified xsi:type="dcterms:W3CDTF">2022-12-15T21:21:00Z</dcterms:modified>
</cp:coreProperties>
</file>