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6B6F" w14:textId="77777777" w:rsidR="001C5579" w:rsidRDefault="001C5579" w:rsidP="00703223">
      <w:pPr>
        <w:jc w:val="center"/>
        <w:rPr>
          <w:rFonts w:eastAsia="Times New Roman"/>
          <w:b/>
          <w:bCs/>
          <w:color w:val="auto"/>
          <w:highlight w:val="green"/>
          <w:lang w:val="es-CO"/>
        </w:rPr>
      </w:pPr>
    </w:p>
    <w:p w14:paraId="042DC74B" w14:textId="77777777" w:rsidR="001C5579" w:rsidRDefault="001C5579" w:rsidP="00703223">
      <w:pPr>
        <w:jc w:val="center"/>
        <w:rPr>
          <w:rFonts w:eastAsia="Times New Roman"/>
          <w:b/>
          <w:bCs/>
          <w:color w:val="auto"/>
          <w:highlight w:val="green"/>
          <w:lang w:val="es-CO"/>
        </w:rPr>
      </w:pPr>
    </w:p>
    <w:p w14:paraId="493C1396" w14:textId="3B2B38C6" w:rsidR="00CB1758" w:rsidRPr="00E04E8F" w:rsidRDefault="00CB1758" w:rsidP="00703223">
      <w:pPr>
        <w:jc w:val="center"/>
        <w:rPr>
          <w:rFonts w:eastAsia="Times New Roman"/>
          <w:color w:val="auto"/>
          <w:highlight w:val="green"/>
          <w:lang w:val="es-CO"/>
        </w:rPr>
      </w:pPr>
      <w:r w:rsidRPr="00E04E8F">
        <w:rPr>
          <w:rFonts w:eastAsia="Times New Roman"/>
          <w:b/>
          <w:bCs/>
          <w:color w:val="auto"/>
          <w:highlight w:val="green"/>
          <w:lang w:val="es-CO"/>
        </w:rPr>
        <w:t xml:space="preserve">OFICIO </w:t>
      </w:r>
      <w:proofErr w:type="spellStart"/>
      <w:r w:rsidRPr="00E04E8F">
        <w:rPr>
          <w:rFonts w:eastAsia="Times New Roman"/>
          <w:b/>
          <w:bCs/>
          <w:color w:val="auto"/>
          <w:highlight w:val="green"/>
          <w:lang w:val="es-CO"/>
        </w:rPr>
        <w:t>Nº</w:t>
      </w:r>
      <w:proofErr w:type="spellEnd"/>
      <w:r w:rsidRPr="00E04E8F">
        <w:rPr>
          <w:rFonts w:eastAsia="Times New Roman"/>
          <w:b/>
          <w:bCs/>
          <w:color w:val="auto"/>
          <w:highlight w:val="green"/>
          <w:lang w:val="es-CO"/>
        </w:rPr>
        <w:t xml:space="preserve"> 021693</w:t>
      </w:r>
    </w:p>
    <w:p w14:paraId="20C84DFE" w14:textId="77777777" w:rsidR="00CB1758" w:rsidRPr="00E04E8F" w:rsidRDefault="00CB1758" w:rsidP="00703223">
      <w:pPr>
        <w:jc w:val="center"/>
        <w:rPr>
          <w:rFonts w:eastAsia="Times New Roman"/>
          <w:color w:val="auto"/>
          <w:highlight w:val="green"/>
          <w:lang w:val="es-CO"/>
        </w:rPr>
      </w:pPr>
      <w:r w:rsidRPr="00E04E8F">
        <w:rPr>
          <w:rFonts w:eastAsia="Times New Roman"/>
          <w:b/>
          <w:bCs/>
          <w:color w:val="auto"/>
          <w:highlight w:val="green"/>
          <w:lang w:val="es-CO"/>
        </w:rPr>
        <w:t>18-10-2017</w:t>
      </w:r>
    </w:p>
    <w:p w14:paraId="3F64BD59" w14:textId="77777777" w:rsidR="00CB1758" w:rsidRPr="00CB1758" w:rsidRDefault="00CB1758" w:rsidP="00703223">
      <w:pPr>
        <w:jc w:val="center"/>
        <w:rPr>
          <w:rFonts w:eastAsia="Times New Roman"/>
          <w:color w:val="auto"/>
          <w:lang w:val="es-CO"/>
        </w:rPr>
      </w:pPr>
      <w:r w:rsidRPr="00E04E8F">
        <w:rPr>
          <w:rFonts w:eastAsia="Times New Roman"/>
          <w:b/>
          <w:bCs/>
          <w:color w:val="auto"/>
          <w:highlight w:val="green"/>
          <w:lang w:val="es-CO"/>
        </w:rPr>
        <w:t>DIAN</w:t>
      </w:r>
    </w:p>
    <w:p w14:paraId="16C0E264" w14:textId="77777777" w:rsidR="00CB1758" w:rsidRPr="00CB1758" w:rsidRDefault="00CB1758" w:rsidP="00703223">
      <w:pPr>
        <w:rPr>
          <w:rFonts w:eastAsia="Times New Roman"/>
          <w:color w:val="auto"/>
          <w:lang w:val="es-CO"/>
        </w:rPr>
      </w:pPr>
      <w:r w:rsidRPr="00CB1758">
        <w:rPr>
          <w:rFonts w:eastAsia="Times New Roman"/>
          <w:b/>
          <w:bCs/>
          <w:color w:val="auto"/>
          <w:lang w:val="es-CO"/>
        </w:rPr>
        <w:t> </w:t>
      </w:r>
    </w:p>
    <w:p w14:paraId="00B9CEC1" w14:textId="77777777" w:rsidR="00CB1758" w:rsidRPr="00CB1758" w:rsidRDefault="00CB1758" w:rsidP="00703223">
      <w:pPr>
        <w:rPr>
          <w:rFonts w:eastAsia="Times New Roman"/>
          <w:color w:val="auto"/>
          <w:lang w:val="es-CO"/>
        </w:rPr>
      </w:pPr>
      <w:r w:rsidRPr="00CB1758">
        <w:rPr>
          <w:rFonts w:eastAsia="Times New Roman"/>
          <w:b/>
          <w:bCs/>
          <w:color w:val="auto"/>
          <w:lang w:val="es-CO"/>
        </w:rPr>
        <w:t> </w:t>
      </w:r>
    </w:p>
    <w:p w14:paraId="733D6CF8"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Gestión Jurídica</w:t>
      </w:r>
    </w:p>
    <w:p w14:paraId="168A6267" w14:textId="77777777" w:rsidR="00CB1758" w:rsidRPr="00CB1758" w:rsidRDefault="00CB1758" w:rsidP="00703223">
      <w:pPr>
        <w:rPr>
          <w:rFonts w:eastAsia="Times New Roman"/>
          <w:color w:val="auto"/>
          <w:lang w:val="es-CO"/>
        </w:rPr>
      </w:pPr>
      <w:r w:rsidRPr="00CB1758">
        <w:rPr>
          <w:rFonts w:eastAsia="Times New Roman"/>
          <w:color w:val="auto"/>
          <w:lang w:val="es-CO"/>
        </w:rPr>
        <w:t>Bogotá D.C.</w:t>
      </w:r>
    </w:p>
    <w:p w14:paraId="55EDD59E" w14:textId="77777777" w:rsidR="00CB1758" w:rsidRPr="00CB1758" w:rsidRDefault="00CB1758" w:rsidP="00703223">
      <w:pPr>
        <w:rPr>
          <w:rFonts w:eastAsia="Times New Roman"/>
          <w:color w:val="auto"/>
          <w:lang w:val="es-CO"/>
        </w:rPr>
      </w:pPr>
      <w:r w:rsidRPr="00CB1758">
        <w:rPr>
          <w:rFonts w:eastAsia="Times New Roman"/>
          <w:color w:val="auto"/>
          <w:lang w:val="es-CO"/>
        </w:rPr>
        <w:t>100202208- 1078</w:t>
      </w:r>
    </w:p>
    <w:p w14:paraId="20290430"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0926D97" w14:textId="77777777" w:rsidR="00CB1758" w:rsidRPr="00CB1758" w:rsidRDefault="00CB1758" w:rsidP="00703223">
      <w:pPr>
        <w:rPr>
          <w:rFonts w:eastAsia="Times New Roman"/>
          <w:color w:val="auto"/>
          <w:lang w:val="es-CO"/>
        </w:rPr>
      </w:pPr>
      <w:r w:rsidRPr="00CB1758">
        <w:rPr>
          <w:rFonts w:eastAsia="Times New Roman"/>
          <w:color w:val="auto"/>
          <w:lang w:val="es-CO"/>
        </w:rPr>
        <w:t>Señor</w:t>
      </w:r>
    </w:p>
    <w:p w14:paraId="6C8336FC" w14:textId="77777777" w:rsidR="00CB1758" w:rsidRPr="00CB1758" w:rsidRDefault="00CB1758" w:rsidP="00703223">
      <w:pPr>
        <w:rPr>
          <w:rFonts w:eastAsia="Times New Roman"/>
          <w:color w:val="auto"/>
          <w:lang w:val="es-CO"/>
        </w:rPr>
      </w:pPr>
      <w:r w:rsidRPr="00CB1758">
        <w:rPr>
          <w:rFonts w:eastAsia="Times New Roman"/>
          <w:b/>
          <w:bCs/>
          <w:color w:val="auto"/>
          <w:lang w:val="es-CO"/>
        </w:rPr>
        <w:t>ENRIQUE JAVIER BRAVO DÍAZ</w:t>
      </w:r>
    </w:p>
    <w:p w14:paraId="00E1486D" w14:textId="77777777" w:rsidR="00CB1758" w:rsidRPr="00CB1758" w:rsidRDefault="00CB1758" w:rsidP="00703223">
      <w:pPr>
        <w:rPr>
          <w:rFonts w:eastAsia="Times New Roman"/>
          <w:color w:val="auto"/>
          <w:lang w:val="es-CO"/>
        </w:rPr>
      </w:pPr>
      <w:r w:rsidRPr="00CB1758">
        <w:rPr>
          <w:rFonts w:eastAsia="Times New Roman"/>
          <w:color w:val="auto"/>
          <w:lang w:val="es-CO"/>
        </w:rPr>
        <w:t>Subdirector de Gestión de Recaudo y Cobranzas</w:t>
      </w:r>
    </w:p>
    <w:p w14:paraId="5DA44035"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Gestión de Ingresos</w:t>
      </w:r>
    </w:p>
    <w:p w14:paraId="01401D75"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Impuestos y Aduanas Nacionales</w:t>
      </w:r>
    </w:p>
    <w:p w14:paraId="13B6B52C" w14:textId="77777777" w:rsidR="00CB1758" w:rsidRPr="00CB1758" w:rsidRDefault="001C5579" w:rsidP="00703223">
      <w:pPr>
        <w:rPr>
          <w:rFonts w:eastAsia="Times New Roman"/>
          <w:color w:val="auto"/>
          <w:lang w:val="es-CO"/>
        </w:rPr>
      </w:pPr>
      <w:hyperlink r:id="rId4" w:history="1">
        <w:r w:rsidR="00CB1758" w:rsidRPr="00CB1758">
          <w:rPr>
            <w:rFonts w:eastAsia="Times New Roman"/>
            <w:color w:val="auto"/>
            <w:u w:val="single"/>
            <w:lang w:val="es-CO"/>
          </w:rPr>
          <w:t>ebravod@dian.gov.co</w:t>
        </w:r>
      </w:hyperlink>
    </w:p>
    <w:p w14:paraId="63511E24" w14:textId="77777777" w:rsidR="00CB1758" w:rsidRPr="00CB1758" w:rsidRDefault="00CB1758" w:rsidP="00703223">
      <w:pPr>
        <w:rPr>
          <w:rFonts w:eastAsia="Times New Roman"/>
          <w:color w:val="auto"/>
          <w:lang w:val="es-CO"/>
        </w:rPr>
      </w:pPr>
      <w:r w:rsidRPr="00CB1758">
        <w:rPr>
          <w:rFonts w:eastAsia="Times New Roman"/>
          <w:color w:val="auto"/>
          <w:lang w:val="es-CO"/>
        </w:rPr>
        <w:t>Carrera 8 # 6C-38 Piso 6</w:t>
      </w:r>
    </w:p>
    <w:p w14:paraId="39FE4985" w14:textId="77777777" w:rsidR="00CB1758" w:rsidRPr="00CB1758" w:rsidRDefault="00CB1758" w:rsidP="00703223">
      <w:pPr>
        <w:rPr>
          <w:rFonts w:eastAsia="Times New Roman"/>
          <w:color w:val="auto"/>
          <w:lang w:val="es-CO"/>
        </w:rPr>
      </w:pPr>
      <w:r w:rsidRPr="00CB1758">
        <w:rPr>
          <w:rFonts w:eastAsia="Times New Roman"/>
          <w:color w:val="auto"/>
          <w:lang w:val="es-CO"/>
        </w:rPr>
        <w:t>Bogotá D.C.</w:t>
      </w:r>
    </w:p>
    <w:p w14:paraId="6B574DD4"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F51A80B" w14:textId="77777777" w:rsidR="00CB1758" w:rsidRPr="00CB1758" w:rsidRDefault="00CB1758" w:rsidP="00703223">
      <w:pPr>
        <w:rPr>
          <w:rFonts w:eastAsia="Times New Roman"/>
          <w:color w:val="auto"/>
          <w:lang w:val="es-CO"/>
        </w:rPr>
      </w:pPr>
      <w:r w:rsidRPr="00CB1758">
        <w:rPr>
          <w:rFonts w:eastAsia="Times New Roman"/>
          <w:b/>
          <w:bCs/>
          <w:color w:val="auto"/>
          <w:lang w:val="es-CO"/>
        </w:rPr>
        <w:t>Ref.: </w:t>
      </w:r>
      <w:r w:rsidRPr="00CB1758">
        <w:rPr>
          <w:rFonts w:eastAsia="Times New Roman"/>
          <w:color w:val="auto"/>
          <w:lang w:val="es-CO"/>
        </w:rPr>
        <w:t>Radicado No. 000411 del 15 de septiembre de 2017</w:t>
      </w:r>
    </w:p>
    <w:p w14:paraId="4AA8625F"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38D2AF14" w14:textId="77777777" w:rsidR="00CB1758" w:rsidRPr="00CB1758" w:rsidRDefault="00CB1758" w:rsidP="00703223">
      <w:pPr>
        <w:rPr>
          <w:rFonts w:eastAsia="Times New Roman"/>
          <w:color w:val="auto"/>
          <w:lang w:val="es-CO"/>
        </w:rPr>
      </w:pPr>
      <w:r w:rsidRPr="00CB1758">
        <w:rPr>
          <w:rFonts w:eastAsia="Times New Roman"/>
          <w:color w:val="auto"/>
          <w:lang w:val="es-CO"/>
        </w:rPr>
        <w:t>Cordial saludo Sr. Bravo Díaz.</w:t>
      </w:r>
    </w:p>
    <w:p w14:paraId="05936092"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1EC6D67" w14:textId="77777777" w:rsidR="00CB1758" w:rsidRPr="00CB1758" w:rsidRDefault="00CB1758" w:rsidP="00703223">
      <w:pPr>
        <w:rPr>
          <w:rFonts w:eastAsia="Times New Roman"/>
          <w:color w:val="auto"/>
          <w:lang w:val="es-CO"/>
        </w:rPr>
      </w:pPr>
      <w:r w:rsidRPr="00CB1758">
        <w:rPr>
          <w:rFonts w:eastAsia="Times New Roman"/>
          <w:color w:val="auto"/>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662DA9E9"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0DC30E8" w14:textId="77777777" w:rsidR="00CB1758" w:rsidRPr="00D62D0A" w:rsidRDefault="00CB1758" w:rsidP="00703223">
      <w:pPr>
        <w:rPr>
          <w:rFonts w:eastAsia="Times New Roman"/>
          <w:color w:val="auto"/>
          <w:sz w:val="32"/>
          <w:szCs w:val="32"/>
          <w:lang w:val="es-CO"/>
        </w:rPr>
      </w:pPr>
      <w:r w:rsidRPr="00D62D0A">
        <w:rPr>
          <w:rFonts w:eastAsia="Times New Roman"/>
          <w:color w:val="auto"/>
          <w:sz w:val="32"/>
          <w:szCs w:val="32"/>
          <w:lang w:val="es-CO"/>
        </w:rPr>
        <w:t>Mediante el radicado de la referencia consulta:</w:t>
      </w:r>
    </w:p>
    <w:p w14:paraId="1A4CF5EC" w14:textId="77777777" w:rsidR="00CB1758" w:rsidRPr="00D62D0A" w:rsidRDefault="00CB1758" w:rsidP="00703223">
      <w:pPr>
        <w:ind w:left="180"/>
        <w:rPr>
          <w:rFonts w:eastAsia="Times New Roman"/>
          <w:color w:val="auto"/>
          <w:sz w:val="32"/>
          <w:szCs w:val="32"/>
          <w:lang w:val="es-CO"/>
        </w:rPr>
      </w:pPr>
      <w:r w:rsidRPr="00D62D0A">
        <w:rPr>
          <w:rFonts w:eastAsia="Times New Roman"/>
          <w:i/>
          <w:iCs/>
          <w:color w:val="auto"/>
          <w:sz w:val="32"/>
          <w:szCs w:val="32"/>
          <w:lang w:val="es-CO"/>
        </w:rPr>
        <w:t> </w:t>
      </w:r>
    </w:p>
    <w:p w14:paraId="158316B6" w14:textId="77777777" w:rsidR="00CB1758" w:rsidRPr="00D62D0A" w:rsidRDefault="00CB1758" w:rsidP="00703223">
      <w:pPr>
        <w:ind w:left="180"/>
        <w:rPr>
          <w:rFonts w:eastAsia="Times New Roman"/>
          <w:b/>
          <w:bCs/>
          <w:color w:val="auto"/>
          <w:sz w:val="32"/>
          <w:szCs w:val="32"/>
          <w:lang w:val="es-CO"/>
        </w:rPr>
      </w:pPr>
      <w:r w:rsidRPr="00D62D0A">
        <w:rPr>
          <w:rFonts w:eastAsia="Times New Roman"/>
          <w:b/>
          <w:bCs/>
          <w:i/>
          <w:iCs/>
          <w:color w:val="auto"/>
          <w:sz w:val="32"/>
          <w:szCs w:val="32"/>
          <w:highlight w:val="green"/>
          <w:lang w:val="es-CO"/>
        </w:rPr>
        <w:lastRenderedPageBreak/>
        <w:t>“¿Qué valores debe tener en cuenta el contribuyente para liquidar la sanción por no enviar la información exógena o enviarla de manera extemporánea, teniendo en cuenta que, al momento de presentar la información, se pueden presentar casos de duplicidad de valores al estar los mismos en conceptos y formatos diferentes?” </w:t>
      </w:r>
      <w:r w:rsidRPr="00D62D0A">
        <w:rPr>
          <w:rFonts w:eastAsia="Times New Roman"/>
          <w:b/>
          <w:bCs/>
          <w:color w:val="auto"/>
          <w:sz w:val="32"/>
          <w:szCs w:val="32"/>
          <w:highlight w:val="green"/>
          <w:lang w:val="es-CO"/>
        </w:rPr>
        <w:t>(negrilla fuera de texto).</w:t>
      </w:r>
    </w:p>
    <w:p w14:paraId="610AF707" w14:textId="77777777" w:rsidR="00CB1758" w:rsidRPr="00D62D0A" w:rsidRDefault="00CB1758" w:rsidP="00703223">
      <w:pPr>
        <w:rPr>
          <w:rFonts w:eastAsia="Times New Roman"/>
          <w:color w:val="auto"/>
          <w:sz w:val="32"/>
          <w:szCs w:val="32"/>
          <w:lang w:val="es-CO"/>
        </w:rPr>
      </w:pPr>
      <w:r w:rsidRPr="00D62D0A">
        <w:rPr>
          <w:rFonts w:eastAsia="Times New Roman"/>
          <w:color w:val="auto"/>
          <w:sz w:val="32"/>
          <w:szCs w:val="32"/>
          <w:lang w:val="es-CO"/>
        </w:rPr>
        <w:t> </w:t>
      </w:r>
    </w:p>
    <w:p w14:paraId="7CB3C4DB" w14:textId="77777777" w:rsidR="00CB1758" w:rsidRPr="00CB1758" w:rsidRDefault="00CB1758" w:rsidP="00703223">
      <w:pPr>
        <w:rPr>
          <w:rFonts w:eastAsia="Times New Roman"/>
          <w:color w:val="auto"/>
          <w:lang w:val="es-CO"/>
        </w:rPr>
      </w:pPr>
      <w:r w:rsidRPr="00CB1758">
        <w:rPr>
          <w:rFonts w:eastAsia="Times New Roman"/>
          <w:color w:val="auto"/>
          <w:lang w:val="es-CO"/>
        </w:rPr>
        <w:t>Al respecto agrega:</w:t>
      </w:r>
    </w:p>
    <w:p w14:paraId="17941114"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265FE82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al momento de suministrar la información, en algunos eventos, </w:t>
      </w:r>
      <w:r w:rsidRPr="00CB1758">
        <w:rPr>
          <w:rFonts w:eastAsia="Times New Roman"/>
          <w:b/>
          <w:bCs/>
          <w:i/>
          <w:iCs/>
          <w:color w:val="auto"/>
          <w:lang w:val="es-CO"/>
        </w:rPr>
        <w:t>ésta puede presentarse en distintos formatos y de manera detallada o desagregada, </w:t>
      </w:r>
      <w:r w:rsidRPr="00CB1758">
        <w:rPr>
          <w:rFonts w:eastAsia="Times New Roman"/>
          <w:i/>
          <w:iCs/>
          <w:color w:val="auto"/>
          <w:lang w:val="es-CO"/>
        </w:rPr>
        <w:t>no se tiene claridad respecto a la base a tener en cuenta para liquidar la sanción, es decir, si se deben sumar todos los valores que se registran en los formatos dispuestos para presentar la información, así estos se dupliquen, o solamente los valores obligados a reportar por una sola vez.</w:t>
      </w:r>
    </w:p>
    <w:p w14:paraId="48593F36"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w:t>
      </w:r>
    </w:p>
    <w:p w14:paraId="22DAD2CF"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Dirección de Gestión de Ingresos considera que cuando la norma indica ‘las sumas respecto de las cuales no se reportó la información’ hace referencia a cada uno de los conceptos que la norma obliga a reportar (ingresos, retenciones, costos, pagos), y se deben tener en cuenta los mismos por una sola vez, </w:t>
      </w:r>
      <w:r w:rsidRPr="00CB1758">
        <w:rPr>
          <w:rFonts w:eastAsia="Times New Roman"/>
          <w:b/>
          <w:bCs/>
          <w:i/>
          <w:iCs/>
          <w:color w:val="auto"/>
          <w:lang w:val="es-CO"/>
        </w:rPr>
        <w:t>con independencia de que esta misma información se reporte varias veces en diferentes formatos y de manera distinta.” </w:t>
      </w:r>
      <w:r w:rsidRPr="00CB1758">
        <w:rPr>
          <w:rFonts w:eastAsia="Times New Roman"/>
          <w:color w:val="auto"/>
          <w:lang w:val="es-CO"/>
        </w:rPr>
        <w:t>(negrilla fuera de texto).</w:t>
      </w:r>
    </w:p>
    <w:p w14:paraId="3FD62105"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14BDA425" w14:textId="77777777" w:rsidR="00CB1758" w:rsidRPr="00CB1758" w:rsidRDefault="00CB1758" w:rsidP="00703223">
      <w:pPr>
        <w:rPr>
          <w:rFonts w:eastAsia="Times New Roman"/>
          <w:color w:val="auto"/>
          <w:lang w:val="es-CO"/>
        </w:rPr>
      </w:pPr>
      <w:r w:rsidRPr="00CB1758">
        <w:rPr>
          <w:rFonts w:eastAsia="Times New Roman"/>
          <w:color w:val="auto"/>
          <w:lang w:val="es-CO"/>
        </w:rPr>
        <w:t>En efecto, a partir de la información suministrada por la Coordinación de Programas de Control y Facilitación de la Subdirección de Gestión de Análisis Operacional de la Entidad se observa que cierta información solicitada por la Administración Tributaria, en algunos casos, puede exigirse en diferentes formatos simultáneamente.</w:t>
      </w:r>
    </w:p>
    <w:p w14:paraId="4A4EE56D"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4FC45319" w14:textId="77777777" w:rsidR="00CB1758" w:rsidRPr="00CB1758" w:rsidRDefault="00CB1758" w:rsidP="00703223">
      <w:pPr>
        <w:rPr>
          <w:rFonts w:eastAsia="Times New Roman"/>
          <w:color w:val="auto"/>
          <w:lang w:val="es-CO"/>
        </w:rPr>
      </w:pPr>
      <w:r w:rsidRPr="00CB1758">
        <w:rPr>
          <w:rFonts w:eastAsia="Times New Roman"/>
          <w:color w:val="auto"/>
          <w:lang w:val="es-CO"/>
        </w:rPr>
        <w:t>A modo de ejemplo:</w:t>
      </w:r>
    </w:p>
    <w:p w14:paraId="39B4D161" w14:textId="77777777" w:rsidR="00CB1758" w:rsidRPr="00CB1758" w:rsidRDefault="00CB1758" w:rsidP="00703223">
      <w:pPr>
        <w:rPr>
          <w:rFonts w:eastAsia="Times New Roman"/>
          <w:color w:val="auto"/>
          <w:lang w:val="es-CO"/>
        </w:rPr>
      </w:pPr>
      <w:r w:rsidRPr="00CB1758">
        <w:rPr>
          <w:rFonts w:eastAsia="Times New Roman"/>
          <w:color w:val="auto"/>
          <w:lang w:val="es-CO"/>
        </w:rPr>
        <w:lastRenderedPageBreak/>
        <w:t> </w:t>
      </w:r>
    </w:p>
    <w:p w14:paraId="68D15445" w14:textId="77777777" w:rsidR="00CB1758" w:rsidRPr="00E04E8F" w:rsidRDefault="00CB1758" w:rsidP="00703223">
      <w:pPr>
        <w:rPr>
          <w:rFonts w:eastAsia="Times New Roman"/>
          <w:color w:val="auto"/>
          <w:sz w:val="28"/>
          <w:szCs w:val="28"/>
          <w:lang w:val="es-CO"/>
        </w:rPr>
      </w:pPr>
      <w:r w:rsidRPr="00E04E8F">
        <w:rPr>
          <w:rFonts w:eastAsia="Times New Roman"/>
          <w:color w:val="auto"/>
          <w:sz w:val="28"/>
          <w:szCs w:val="28"/>
          <w:highlight w:val="green"/>
          <w:lang w:val="es-CO"/>
        </w:rPr>
        <w:t>El formato 1007 (ingresos y devoluciones) comprende, entre otra, información como ingresos brutos operacionales y no operacionales por consorcios o uniones temporales; a su vez, el formato 1045 (ingresos y devoluciones por consorcios y uniones temporales) también se refiere a los ingresos brutos de las mencionadas figuras de colaboración empresarial.</w:t>
      </w:r>
    </w:p>
    <w:p w14:paraId="419AD9B2"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C9E5A74" w14:textId="77777777" w:rsidR="00CB1758" w:rsidRPr="00CB1758" w:rsidRDefault="00CB1758" w:rsidP="00703223">
      <w:pPr>
        <w:rPr>
          <w:rFonts w:eastAsia="Times New Roman"/>
          <w:color w:val="auto"/>
          <w:lang w:val="es-CO"/>
        </w:rPr>
      </w:pPr>
      <w:r w:rsidRPr="00CB1758">
        <w:rPr>
          <w:rFonts w:eastAsia="Times New Roman"/>
          <w:color w:val="auto"/>
          <w:lang w:val="es-CO"/>
        </w:rPr>
        <w:t>Ahora bien, el </w:t>
      </w:r>
      <w:hyperlink r:id="rId5" w:tooltip="Estatuto Tributario CETA" w:history="1">
        <w:r w:rsidRPr="00CB1758">
          <w:rPr>
            <w:rFonts w:eastAsia="Times New Roman"/>
            <w:color w:val="auto"/>
            <w:u w:val="single"/>
            <w:lang w:val="es-CO"/>
          </w:rPr>
          <w:t>artículo 651</w:t>
        </w:r>
      </w:hyperlink>
      <w:r w:rsidRPr="00CB1758">
        <w:rPr>
          <w:rFonts w:eastAsia="Times New Roman"/>
          <w:color w:val="auto"/>
          <w:lang w:val="es-CO"/>
        </w:rPr>
        <w:t> del Estatuto Tributario establece:</w:t>
      </w:r>
    </w:p>
    <w:p w14:paraId="1200F759"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4A1DD7B0"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w:t>
      </w:r>
      <w:hyperlink r:id="rId6" w:tooltip="Estatuto Tributario CETA" w:history="1">
        <w:r w:rsidRPr="00CB1758">
          <w:rPr>
            <w:rFonts w:eastAsia="Times New Roman"/>
            <w:b/>
            <w:bCs/>
            <w:i/>
            <w:iCs/>
            <w:color w:val="auto"/>
            <w:u w:val="single"/>
            <w:lang w:val="es-CO"/>
          </w:rPr>
          <w:t>ARTÍCULO 651</w:t>
        </w:r>
      </w:hyperlink>
      <w:r w:rsidRPr="00CB1758">
        <w:rPr>
          <w:rFonts w:eastAsia="Times New Roman"/>
          <w:b/>
          <w:bCs/>
          <w:i/>
          <w:iCs/>
          <w:color w:val="auto"/>
          <w:lang w:val="es-CO"/>
        </w:rPr>
        <w:t>. SANCIÓN POR NO ENVIAR INFORMACIÓN O ENVIARLA CON ERRORES.</w:t>
      </w:r>
      <w:r w:rsidRPr="00CB1758">
        <w:rPr>
          <w:rFonts w:eastAsia="Times New Roman"/>
          <w:i/>
          <w:iCs/>
          <w:color w:val="auto"/>
          <w:lang w:val="es-CO"/>
        </w:rPr>
        <w:t xml:space="preserve"> &lt;Artículo modificado por el artículo 289 de la Ley 1819 de 2016. El nuevo texto es el siguiente:&gt; Las personas y entidades obligadas a suministrar información </w:t>
      </w:r>
      <w:proofErr w:type="gramStart"/>
      <w:r w:rsidRPr="00CB1758">
        <w:rPr>
          <w:rFonts w:eastAsia="Times New Roman"/>
          <w:i/>
          <w:iCs/>
          <w:color w:val="auto"/>
          <w:lang w:val="es-CO"/>
        </w:rPr>
        <w:t>tributaria</w:t>
      </w:r>
      <w:proofErr w:type="gramEnd"/>
      <w:r w:rsidRPr="00CB1758">
        <w:rPr>
          <w:rFonts w:eastAsia="Times New Roman"/>
          <w:i/>
          <w:iCs/>
          <w:color w:val="auto"/>
          <w:lang w:val="es-CO"/>
        </w:rPr>
        <w:t xml:space="preserve">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75E86A47"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704222D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1. Una multa que no supere quince mil (15.000) UVT, la cual será fijada teniendo en cuenta los siguientes criterios:</w:t>
      </w:r>
    </w:p>
    <w:p w14:paraId="343FBED1"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0C8825A1"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a) El cinco por ciento (5%) de las sumas respecto de las cuales no se suministró la información exigida;</w:t>
      </w:r>
    </w:p>
    <w:p w14:paraId="5E1852D3" w14:textId="77777777" w:rsidR="007F15D5" w:rsidRDefault="007F15D5" w:rsidP="00703223">
      <w:pPr>
        <w:ind w:left="180"/>
        <w:rPr>
          <w:rFonts w:eastAsia="Times New Roman"/>
          <w:b/>
          <w:bCs/>
          <w:i/>
          <w:iCs/>
          <w:color w:val="auto"/>
          <w:lang w:val="es-CO"/>
        </w:rPr>
      </w:pPr>
    </w:p>
    <w:p w14:paraId="662E517A"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b) El cuatro por ciento (4%) de las sumas respecto de las cuales se suministró en forma errónea;</w:t>
      </w:r>
    </w:p>
    <w:p w14:paraId="19F89395" w14:textId="77777777" w:rsidR="007F15D5" w:rsidRDefault="007F15D5" w:rsidP="00703223">
      <w:pPr>
        <w:ind w:left="180"/>
        <w:rPr>
          <w:rFonts w:eastAsia="Times New Roman"/>
          <w:b/>
          <w:bCs/>
          <w:i/>
          <w:iCs/>
          <w:color w:val="auto"/>
          <w:lang w:val="es-CO"/>
        </w:rPr>
      </w:pPr>
    </w:p>
    <w:p w14:paraId="704281EF"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c) El tres por ciento (3%) de las sumas respecto de las cuales se suministró de forma extemporánea;</w:t>
      </w:r>
    </w:p>
    <w:p w14:paraId="427FA09D"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r w:rsidRPr="00CB1758">
        <w:rPr>
          <w:rFonts w:eastAsia="Times New Roman"/>
          <w:color w:val="auto"/>
          <w:lang w:val="es-CO"/>
        </w:rPr>
        <w:t>(negrilla fuera de texto).</w:t>
      </w:r>
    </w:p>
    <w:p w14:paraId="35418B5D" w14:textId="77777777" w:rsidR="00CB1758" w:rsidRPr="00CB1758" w:rsidRDefault="00CB1758" w:rsidP="00703223">
      <w:pPr>
        <w:rPr>
          <w:rFonts w:eastAsia="Times New Roman"/>
          <w:color w:val="auto"/>
          <w:lang w:val="es-CO"/>
        </w:rPr>
      </w:pPr>
      <w:r w:rsidRPr="00CB1758">
        <w:rPr>
          <w:rFonts w:eastAsia="Times New Roman"/>
          <w:i/>
          <w:iCs/>
          <w:color w:val="auto"/>
          <w:lang w:val="es-CO"/>
        </w:rPr>
        <w:t> </w:t>
      </w:r>
    </w:p>
    <w:p w14:paraId="2E8C50F1" w14:textId="77777777" w:rsidR="00CB1758" w:rsidRPr="00703223" w:rsidRDefault="00CB1758" w:rsidP="00703223">
      <w:pPr>
        <w:rPr>
          <w:rFonts w:eastAsia="Times New Roman"/>
          <w:color w:val="auto"/>
          <w:sz w:val="36"/>
          <w:szCs w:val="36"/>
          <w:lang w:val="es-CO"/>
        </w:rPr>
      </w:pPr>
      <w:r w:rsidRPr="00CB1758">
        <w:rPr>
          <w:rFonts w:eastAsia="Times New Roman"/>
          <w:color w:val="auto"/>
          <w:lang w:val="es-CO"/>
        </w:rPr>
        <w:lastRenderedPageBreak/>
        <w:t>De manera que, atendiendo el tenor literal de la norma transcrita, este Despacho comparte la posición planteada por la Dirección de Gestión de Ingresos, toda vez que los literales a), b) y c) del numeral 1 del </w:t>
      </w:r>
      <w:hyperlink r:id="rId7" w:tooltip="Estatuto Tributario CETA" w:history="1">
        <w:r w:rsidRPr="00CB1758">
          <w:rPr>
            <w:rFonts w:eastAsia="Times New Roman"/>
            <w:color w:val="auto"/>
            <w:u w:val="single"/>
            <w:lang w:val="es-CO"/>
          </w:rPr>
          <w:t>artículo 651</w:t>
        </w:r>
      </w:hyperlink>
      <w:r w:rsidRPr="00CB1758">
        <w:rPr>
          <w:rFonts w:eastAsia="Times New Roman"/>
          <w:color w:val="auto"/>
          <w:lang w:val="es-CO"/>
        </w:rPr>
        <w:t> </w:t>
      </w:r>
      <w:proofErr w:type="spellStart"/>
      <w:r w:rsidRPr="00CB1758">
        <w:rPr>
          <w:rFonts w:eastAsia="Times New Roman"/>
          <w:i/>
          <w:iCs/>
          <w:color w:val="auto"/>
          <w:lang w:val="es-CO"/>
        </w:rPr>
        <w:t>ibídem</w:t>
      </w:r>
      <w:proofErr w:type="spellEnd"/>
      <w:r w:rsidRPr="00CB1758">
        <w:rPr>
          <w:rFonts w:eastAsia="Times New Roman"/>
          <w:i/>
          <w:iCs/>
          <w:color w:val="auto"/>
          <w:lang w:val="es-CO"/>
        </w:rPr>
        <w:t> </w:t>
      </w:r>
      <w:r w:rsidRPr="00CB1758">
        <w:rPr>
          <w:rFonts w:eastAsia="Times New Roman"/>
          <w:color w:val="auto"/>
          <w:lang w:val="es-CO"/>
        </w:rPr>
        <w:t xml:space="preserve">únicamente hacen alusión a las sumas o montos respecto de los cuales no se suministró, se suministró en forma errónea o extemporánea la información exigida, </w:t>
      </w:r>
      <w:r w:rsidRPr="00703223">
        <w:rPr>
          <w:rFonts w:eastAsia="Times New Roman"/>
          <w:color w:val="auto"/>
          <w:sz w:val="36"/>
          <w:szCs w:val="36"/>
          <w:highlight w:val="green"/>
          <w:lang w:val="es-CO"/>
        </w:rPr>
        <w:t>sin mencionar de manera particular el número de veces o la forma en la que debe ser reportada la misma (detallada o desagregada), ya que en todo caso la información es una sola.</w:t>
      </w:r>
    </w:p>
    <w:p w14:paraId="580A0571" w14:textId="77777777" w:rsidR="00CB1758" w:rsidRPr="00703223" w:rsidRDefault="00CB1758" w:rsidP="00703223">
      <w:pPr>
        <w:rPr>
          <w:rFonts w:eastAsia="Times New Roman"/>
          <w:color w:val="auto"/>
          <w:sz w:val="36"/>
          <w:szCs w:val="36"/>
          <w:lang w:val="es-CO"/>
        </w:rPr>
      </w:pPr>
      <w:r w:rsidRPr="00703223">
        <w:rPr>
          <w:rFonts w:eastAsia="Times New Roman"/>
          <w:color w:val="auto"/>
          <w:sz w:val="36"/>
          <w:szCs w:val="36"/>
          <w:lang w:val="es-CO"/>
        </w:rPr>
        <w:t> </w:t>
      </w:r>
    </w:p>
    <w:p w14:paraId="137F9C5E"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highlight w:val="green"/>
          <w:lang w:val="es-CO"/>
        </w:rPr>
        <w:t>De manera que, es de tener presente que en la Sentencia C-870 de 2002 de la Corte Constitucional, M.P. Dr. MANUEL JOSÉ CEPEDA ESPINOSA se manifestó:</w:t>
      </w:r>
    </w:p>
    <w:p w14:paraId="219E6D3C"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55D15B4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la jurisprudencia constitucional ha extendido el principio non bis in ídem a un ámbito diferente al penal, puesto que ha estimado que </w:t>
      </w:r>
      <w:r w:rsidRPr="00CB1758">
        <w:rPr>
          <w:rFonts w:eastAsia="Times New Roman"/>
          <w:b/>
          <w:bCs/>
          <w:i/>
          <w:iCs/>
          <w:color w:val="auto"/>
          <w:lang w:val="es-CO"/>
        </w:rPr>
        <w:t>éste forma parte del debido proceso sancionador. </w:t>
      </w:r>
      <w:r w:rsidRPr="00CB1758">
        <w:rPr>
          <w:rFonts w:eastAsia="Times New Roman"/>
          <w:i/>
          <w:iCs/>
          <w:color w:val="auto"/>
          <w:lang w:val="es-CO"/>
        </w:rPr>
        <w:t>De tal manera que cuando la finalidad de un régimen es regular las condiciones en que un individuo puede ser sancionado personalmente en razón a su conducta contraria a derecho, este principio es aplicable.” </w:t>
      </w:r>
      <w:r w:rsidRPr="00CB1758">
        <w:rPr>
          <w:rFonts w:eastAsia="Times New Roman"/>
          <w:color w:val="auto"/>
          <w:lang w:val="es-CO"/>
        </w:rPr>
        <w:t>(negrilla fuera de texto).</w:t>
      </w:r>
    </w:p>
    <w:p w14:paraId="5BA7B3BE"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4BA77104" w14:textId="77777777" w:rsidR="00CB1758" w:rsidRPr="00703223" w:rsidRDefault="00CB1758" w:rsidP="00703223">
      <w:pPr>
        <w:rPr>
          <w:rFonts w:eastAsia="Times New Roman"/>
          <w:color w:val="auto"/>
          <w:sz w:val="32"/>
          <w:szCs w:val="32"/>
          <w:highlight w:val="green"/>
          <w:lang w:val="es-CO"/>
        </w:rPr>
      </w:pPr>
      <w:r w:rsidRPr="00703223">
        <w:rPr>
          <w:rFonts w:eastAsia="Times New Roman"/>
          <w:color w:val="auto"/>
          <w:sz w:val="32"/>
          <w:szCs w:val="32"/>
          <w:highlight w:val="green"/>
          <w:lang w:val="es-CO"/>
        </w:rPr>
        <w:t>Asimismo, en Sentencia C-244 de 1996, la misma Corporación, M.P. Dr. CARLOS GAVIRIA DÍAZ, indicó:</w:t>
      </w:r>
    </w:p>
    <w:p w14:paraId="71A77CFE" w14:textId="77777777" w:rsidR="00CB1758" w:rsidRPr="00703223" w:rsidRDefault="00CB1758" w:rsidP="00703223">
      <w:pPr>
        <w:ind w:left="180"/>
        <w:rPr>
          <w:rFonts w:eastAsia="Times New Roman"/>
          <w:color w:val="auto"/>
          <w:sz w:val="32"/>
          <w:szCs w:val="32"/>
          <w:highlight w:val="green"/>
          <w:lang w:val="es-CO"/>
        </w:rPr>
      </w:pPr>
      <w:r w:rsidRPr="00703223">
        <w:rPr>
          <w:rFonts w:eastAsia="Times New Roman"/>
          <w:i/>
          <w:iCs/>
          <w:color w:val="auto"/>
          <w:sz w:val="32"/>
          <w:szCs w:val="32"/>
          <w:highlight w:val="green"/>
          <w:lang w:val="es-CO"/>
        </w:rPr>
        <w:t> </w:t>
      </w:r>
    </w:p>
    <w:p w14:paraId="4173149C" w14:textId="77777777" w:rsidR="00CB1758" w:rsidRPr="00CB1758" w:rsidRDefault="00CB1758" w:rsidP="00703223">
      <w:pPr>
        <w:ind w:left="180"/>
        <w:rPr>
          <w:rFonts w:eastAsia="Times New Roman"/>
          <w:color w:val="auto"/>
          <w:lang w:val="es-CO"/>
        </w:rPr>
      </w:pPr>
      <w:r w:rsidRPr="00703223">
        <w:rPr>
          <w:rFonts w:eastAsia="Times New Roman"/>
          <w:i/>
          <w:iCs/>
          <w:color w:val="auto"/>
          <w:sz w:val="32"/>
          <w:szCs w:val="32"/>
          <w:highlight w:val="green"/>
          <w:lang w:val="es-CO"/>
        </w:rPr>
        <w:t xml:space="preserve">“Este principio que, de acuerdo con la jurisprudencia y la doctrina, tiene como </w:t>
      </w:r>
      <w:r w:rsidRPr="00703223">
        <w:rPr>
          <w:rFonts w:eastAsia="Times New Roman"/>
          <w:i/>
          <w:iCs/>
          <w:color w:val="auto"/>
          <w:sz w:val="32"/>
          <w:szCs w:val="32"/>
          <w:highlight w:val="green"/>
          <w:u w:val="single"/>
          <w:lang w:val="es-CO"/>
        </w:rPr>
        <w:t>objetivo primordial evitar la duplicidad de sanciones</w:t>
      </w:r>
      <w:r w:rsidRPr="00CB1758">
        <w:rPr>
          <w:rFonts w:eastAsia="Times New Roman"/>
          <w:i/>
          <w:iCs/>
          <w:color w:val="auto"/>
          <w:lang w:val="es-CO"/>
        </w:rPr>
        <w:t>, sólo tiene operancia en los casos en que exista </w:t>
      </w:r>
      <w:r w:rsidRPr="00CB1758">
        <w:rPr>
          <w:rFonts w:eastAsia="Times New Roman"/>
          <w:b/>
          <w:bCs/>
          <w:i/>
          <w:iCs/>
          <w:color w:val="auto"/>
          <w:lang w:val="es-CO"/>
        </w:rPr>
        <w:t>identidad de causa, identidad de objeto e identidad en la persona </w:t>
      </w:r>
      <w:r w:rsidRPr="00CB1758">
        <w:rPr>
          <w:rFonts w:eastAsia="Times New Roman"/>
          <w:i/>
          <w:iCs/>
          <w:color w:val="auto"/>
          <w:lang w:val="es-CO"/>
        </w:rPr>
        <w:t>a la cual se le hace la imputación.</w:t>
      </w:r>
    </w:p>
    <w:p w14:paraId="76EA73B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lastRenderedPageBreak/>
        <w:t> </w:t>
      </w:r>
    </w:p>
    <w:p w14:paraId="1B664BE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en la persona significa que el sujeto incriminado debe ser la </w:t>
      </w:r>
      <w:r w:rsidRPr="00CB1758">
        <w:rPr>
          <w:rFonts w:eastAsia="Times New Roman"/>
          <w:b/>
          <w:bCs/>
          <w:i/>
          <w:iCs/>
          <w:color w:val="auto"/>
          <w:lang w:val="es-CO"/>
        </w:rPr>
        <w:t>misma persona física </w:t>
      </w:r>
      <w:r w:rsidRPr="00CB1758">
        <w:rPr>
          <w:rFonts w:eastAsia="Times New Roman"/>
          <w:i/>
          <w:iCs/>
          <w:color w:val="auto"/>
          <w:lang w:val="es-CO"/>
        </w:rPr>
        <w:t>en dos procesos de la misma índole.</w:t>
      </w:r>
    </w:p>
    <w:p w14:paraId="3E7A08A0"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6AA9AEB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del objeto está construida por la del </w:t>
      </w:r>
      <w:r w:rsidRPr="00CB1758">
        <w:rPr>
          <w:rFonts w:eastAsia="Times New Roman"/>
          <w:b/>
          <w:bCs/>
          <w:i/>
          <w:iCs/>
          <w:color w:val="auto"/>
          <w:lang w:val="es-CO"/>
        </w:rPr>
        <w:t>hecho respecto del cual se solicita la aplicación del correctivo penal. </w:t>
      </w:r>
      <w:r w:rsidRPr="00CB1758">
        <w:rPr>
          <w:rFonts w:eastAsia="Times New Roman"/>
          <w:i/>
          <w:iCs/>
          <w:color w:val="auto"/>
          <w:lang w:val="es-CO"/>
        </w:rPr>
        <w:t>Se exige entonces la correspondencia en la especie fáctica de la conducta en dos procesos de igual naturaleza.</w:t>
      </w:r>
    </w:p>
    <w:p w14:paraId="0A9FFB4C"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36784629"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en la causa se refiere a que </w:t>
      </w:r>
      <w:r w:rsidRPr="00CB1758">
        <w:rPr>
          <w:rFonts w:eastAsia="Times New Roman"/>
          <w:b/>
          <w:bCs/>
          <w:i/>
          <w:iCs/>
          <w:color w:val="auto"/>
          <w:lang w:val="es-CO"/>
        </w:rPr>
        <w:t>el motivo de la iniciación del proceso sea el mismo en ambos casos.’” </w:t>
      </w:r>
      <w:r w:rsidRPr="00CB1758">
        <w:rPr>
          <w:rFonts w:eastAsia="Times New Roman"/>
          <w:color w:val="auto"/>
          <w:lang w:val="es-CO"/>
        </w:rPr>
        <w:t>(negrilla fuera de texto).</w:t>
      </w:r>
    </w:p>
    <w:p w14:paraId="3F286B89"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CB23C0B" w14:textId="77777777" w:rsidR="00CB1758" w:rsidRPr="00703223" w:rsidRDefault="00CB1758" w:rsidP="00703223">
      <w:pPr>
        <w:rPr>
          <w:rFonts w:eastAsia="Times New Roman"/>
          <w:color w:val="auto"/>
          <w:sz w:val="32"/>
          <w:szCs w:val="32"/>
          <w:lang w:val="es-CO"/>
        </w:rPr>
      </w:pPr>
      <w:r w:rsidRPr="001C5579">
        <w:rPr>
          <w:rFonts w:eastAsia="Times New Roman"/>
          <w:color w:val="auto"/>
          <w:sz w:val="32"/>
          <w:szCs w:val="32"/>
          <w:highlight w:val="cyan"/>
          <w:lang w:val="es-CO"/>
        </w:rPr>
        <w:t>En este sentido, constituiría</w:t>
      </w:r>
      <w:r w:rsidRPr="001C5579">
        <w:rPr>
          <w:rFonts w:eastAsia="Times New Roman"/>
          <w:b/>
          <w:bCs/>
          <w:i/>
          <w:iCs/>
          <w:color w:val="auto"/>
          <w:sz w:val="32"/>
          <w:szCs w:val="32"/>
          <w:highlight w:val="cyan"/>
          <w:lang w:val="es-CO"/>
        </w:rPr>
        <w:t> </w:t>
      </w:r>
      <w:r w:rsidRPr="001C5579">
        <w:rPr>
          <w:rFonts w:eastAsia="Times New Roman"/>
          <w:color w:val="auto"/>
          <w:sz w:val="32"/>
          <w:szCs w:val="32"/>
          <w:highlight w:val="cyan"/>
          <w:lang w:val="es-CO"/>
        </w:rPr>
        <w:t>una violación al principio </w:t>
      </w:r>
      <w:r w:rsidRPr="001C5579">
        <w:rPr>
          <w:rFonts w:eastAsia="Times New Roman"/>
          <w:i/>
          <w:iCs/>
          <w:color w:val="auto"/>
          <w:sz w:val="32"/>
          <w:szCs w:val="32"/>
          <w:highlight w:val="cyan"/>
          <w:lang w:val="es-CO"/>
        </w:rPr>
        <w:t>non bis in ídem </w:t>
      </w:r>
      <w:r w:rsidRPr="001C5579">
        <w:rPr>
          <w:rFonts w:eastAsia="Times New Roman"/>
          <w:color w:val="auto"/>
          <w:sz w:val="32"/>
          <w:szCs w:val="32"/>
          <w:highlight w:val="cyan"/>
          <w:lang w:val="es-CO"/>
        </w:rPr>
        <w:t>considerar que la sanción de que trata el </w:t>
      </w:r>
      <w:hyperlink r:id="rId8" w:tooltip="Estatuto Tributario CETA" w:history="1">
        <w:r w:rsidRPr="001C5579">
          <w:rPr>
            <w:rFonts w:eastAsia="Times New Roman"/>
            <w:color w:val="auto"/>
            <w:sz w:val="32"/>
            <w:szCs w:val="32"/>
            <w:highlight w:val="cyan"/>
            <w:u w:val="single"/>
            <w:lang w:val="es-CO"/>
          </w:rPr>
          <w:t>artículo 651</w:t>
        </w:r>
      </w:hyperlink>
      <w:r w:rsidRPr="001C5579">
        <w:rPr>
          <w:rFonts w:eastAsia="Times New Roman"/>
          <w:color w:val="auto"/>
          <w:sz w:val="32"/>
          <w:szCs w:val="32"/>
          <w:highlight w:val="cyan"/>
          <w:lang w:val="es-CO"/>
        </w:rPr>
        <w:t> </w:t>
      </w:r>
      <w:proofErr w:type="spellStart"/>
      <w:r w:rsidRPr="001C5579">
        <w:rPr>
          <w:rFonts w:eastAsia="Times New Roman"/>
          <w:i/>
          <w:iCs/>
          <w:color w:val="auto"/>
          <w:sz w:val="32"/>
          <w:szCs w:val="32"/>
          <w:highlight w:val="cyan"/>
          <w:lang w:val="es-CO"/>
        </w:rPr>
        <w:t>ibídem</w:t>
      </w:r>
      <w:proofErr w:type="spellEnd"/>
      <w:r w:rsidRPr="001C5579">
        <w:rPr>
          <w:rFonts w:eastAsia="Times New Roman"/>
          <w:i/>
          <w:iCs/>
          <w:color w:val="auto"/>
          <w:sz w:val="32"/>
          <w:szCs w:val="32"/>
          <w:highlight w:val="cyan"/>
          <w:lang w:val="es-CO"/>
        </w:rPr>
        <w:t> </w:t>
      </w:r>
      <w:r w:rsidRPr="001C5579">
        <w:rPr>
          <w:rFonts w:eastAsia="Times New Roman"/>
          <w:color w:val="auto"/>
          <w:sz w:val="32"/>
          <w:szCs w:val="32"/>
          <w:highlight w:val="cyan"/>
          <w:lang w:val="es-CO"/>
        </w:rPr>
        <w:t>deba tasarse sobre la base del número de veces y formas en que es exigida la misma información.</w:t>
      </w:r>
    </w:p>
    <w:p w14:paraId="2CB61A3C"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lang w:val="es-CO"/>
        </w:rPr>
        <w:t> </w:t>
      </w:r>
    </w:p>
    <w:p w14:paraId="61193807"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highlight w:val="green"/>
          <w:lang w:val="es-CO"/>
        </w:rPr>
        <w:t>Por tanto, para mayor claridad en cuanto a la base para liquidar la sanción objeto de consulta, esta Dirección se permite presentar los siguientes ejemplos, los cuales pueden aplicar para cualquiera de los literales del </w:t>
      </w:r>
      <w:hyperlink r:id="rId9" w:tooltip="Estatuto Tributario CETA" w:history="1">
        <w:r w:rsidRPr="00703223">
          <w:rPr>
            <w:rFonts w:eastAsia="Times New Roman"/>
            <w:color w:val="auto"/>
            <w:sz w:val="32"/>
            <w:szCs w:val="32"/>
            <w:highlight w:val="green"/>
            <w:u w:val="single"/>
            <w:lang w:val="es-CO"/>
          </w:rPr>
          <w:t>artículo 651</w:t>
        </w:r>
      </w:hyperlink>
      <w:r w:rsidRPr="00703223">
        <w:rPr>
          <w:rFonts w:eastAsia="Times New Roman"/>
          <w:color w:val="auto"/>
          <w:sz w:val="32"/>
          <w:szCs w:val="32"/>
          <w:highlight w:val="green"/>
          <w:lang w:val="es-CO"/>
        </w:rPr>
        <w:t> del Estatuto Tributario según corresponda:</w:t>
      </w:r>
    </w:p>
    <w:p w14:paraId="1F874248"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2306808D" w14:textId="77777777" w:rsidR="00CB1758" w:rsidRPr="00703223" w:rsidRDefault="00CB1758" w:rsidP="00703223">
      <w:pPr>
        <w:ind w:left="450" w:hanging="270"/>
        <w:rPr>
          <w:rFonts w:eastAsia="Times New Roman"/>
          <w:color w:val="auto"/>
          <w:sz w:val="32"/>
          <w:szCs w:val="32"/>
          <w:lang w:val="es-CO"/>
        </w:rPr>
      </w:pPr>
      <w:r w:rsidRPr="00703223">
        <w:rPr>
          <w:rFonts w:eastAsia="Times New Roman"/>
          <w:color w:val="auto"/>
          <w:sz w:val="32"/>
          <w:szCs w:val="32"/>
          <w:highlight w:val="green"/>
          <w:lang w:val="es-CO"/>
        </w:rPr>
        <w:t xml:space="preserve">·      Una persona (natural o jurídica) obligada a reportar la información contenida en el formato 1001 (pagos, abonos en cuenta y retenciones practicadas) y en el formato 1003 (retenciones que le practicaron) no informó, o informó de manera extemporánea o de manera errónea tan sólo lo relativo al pago por </w:t>
      </w:r>
      <w:r w:rsidRPr="00703223">
        <w:rPr>
          <w:rFonts w:eastAsia="Times New Roman"/>
          <w:color w:val="auto"/>
          <w:sz w:val="32"/>
          <w:szCs w:val="32"/>
          <w:highlight w:val="green"/>
          <w:lang w:val="es-CO"/>
        </w:rPr>
        <w:lastRenderedPageBreak/>
        <w:t>honorarios (casilla 36 – código de la variable 2002) y a las retenciones que le practicaron por salarios y demás pagos laborales (casilla 33 – código de la variable 2114); en este caso, es claro que la sanción de que trata el </w:t>
      </w:r>
      <w:hyperlink r:id="rId10" w:tooltip="Estatuto Tributario CETA" w:history="1">
        <w:r w:rsidRPr="00703223">
          <w:rPr>
            <w:rFonts w:eastAsia="Times New Roman"/>
            <w:color w:val="auto"/>
            <w:sz w:val="32"/>
            <w:szCs w:val="32"/>
            <w:highlight w:val="green"/>
            <w:u w:val="single"/>
            <w:lang w:val="es-CO"/>
          </w:rPr>
          <w:t>artículo 651</w:t>
        </w:r>
      </w:hyperlink>
      <w:r w:rsidRPr="00703223">
        <w:rPr>
          <w:rFonts w:eastAsia="Times New Roman"/>
          <w:color w:val="auto"/>
          <w:sz w:val="32"/>
          <w:szCs w:val="32"/>
          <w:highlight w:val="green"/>
          <w:lang w:val="es-CO"/>
        </w:rPr>
        <w:t> </w:t>
      </w:r>
      <w:proofErr w:type="spellStart"/>
      <w:r w:rsidRPr="00703223">
        <w:rPr>
          <w:rFonts w:eastAsia="Times New Roman"/>
          <w:i/>
          <w:iCs/>
          <w:color w:val="auto"/>
          <w:sz w:val="32"/>
          <w:szCs w:val="32"/>
          <w:highlight w:val="green"/>
          <w:lang w:val="es-CO"/>
        </w:rPr>
        <w:t>ibídem</w:t>
      </w:r>
      <w:proofErr w:type="spellEnd"/>
      <w:r w:rsidRPr="00703223">
        <w:rPr>
          <w:rFonts w:eastAsia="Times New Roman"/>
          <w:color w:val="auto"/>
          <w:sz w:val="32"/>
          <w:szCs w:val="32"/>
          <w:highlight w:val="green"/>
          <w:lang w:val="es-CO"/>
        </w:rPr>
        <w:t> únicamente se liquida teniendo en cuenta dichos conceptos.</w:t>
      </w:r>
    </w:p>
    <w:p w14:paraId="4B7E6422"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lang w:val="es-CO"/>
        </w:rPr>
        <w:t> </w:t>
      </w:r>
    </w:p>
    <w:p w14:paraId="4AD44E0F" w14:textId="77777777" w:rsidR="00CB1758" w:rsidRPr="00703223" w:rsidRDefault="00CB1758" w:rsidP="00703223">
      <w:pPr>
        <w:ind w:left="450"/>
        <w:rPr>
          <w:rFonts w:eastAsia="Times New Roman"/>
          <w:color w:val="auto"/>
          <w:sz w:val="32"/>
          <w:szCs w:val="32"/>
          <w:highlight w:val="green"/>
          <w:lang w:val="es-CO"/>
        </w:rPr>
      </w:pPr>
      <w:r w:rsidRPr="00703223">
        <w:rPr>
          <w:rFonts w:eastAsia="Times New Roman"/>
          <w:i/>
          <w:iCs/>
          <w:color w:val="auto"/>
          <w:sz w:val="32"/>
          <w:szCs w:val="32"/>
          <w:highlight w:val="green"/>
          <w:lang w:val="es-CO"/>
        </w:rPr>
        <w:t>El sujeto A realizó pagos por concepto de honorarios cuya suma asciende a $200.000.000 en el año, a su vez, le practicaron retenciones sobre el salario devengado equivalentes a $3.500.000; sin embargo, no informó a la DIAN sobre el particular. Habiendo subsanado la infracción con posterioridad a la notificación del pliego de cargos, la sanción que debe liquidarse será equivalente a $6.105.000, de acuerdo al literal c) del numeral 1 del </w:t>
      </w:r>
      <w:hyperlink r:id="rId11" w:tooltip="Estatuto Tributario CETA" w:history="1">
        <w:r w:rsidRPr="00703223">
          <w:rPr>
            <w:rFonts w:eastAsia="Times New Roman"/>
            <w:i/>
            <w:iCs/>
            <w:color w:val="auto"/>
            <w:sz w:val="32"/>
            <w:szCs w:val="32"/>
            <w:highlight w:val="green"/>
            <w:u w:val="single"/>
            <w:lang w:val="es-CO"/>
          </w:rPr>
          <w:t>artículo 651</w:t>
        </w:r>
      </w:hyperlink>
      <w:r w:rsidRPr="00703223">
        <w:rPr>
          <w:rFonts w:eastAsia="Times New Roman"/>
          <w:i/>
          <w:iCs/>
          <w:color w:val="auto"/>
          <w:sz w:val="32"/>
          <w:szCs w:val="32"/>
          <w:highlight w:val="green"/>
          <w:lang w:val="es-CO"/>
        </w:rPr>
        <w:t> del Estatuto Tributario (3% de $200.000.000 y 3% de 3.500.000).</w:t>
      </w:r>
    </w:p>
    <w:p w14:paraId="4DC369E5" w14:textId="77777777" w:rsidR="00CB1758" w:rsidRPr="00703223" w:rsidRDefault="00CB1758" w:rsidP="00703223">
      <w:pPr>
        <w:ind w:left="450"/>
        <w:rPr>
          <w:rFonts w:eastAsia="Times New Roman"/>
          <w:color w:val="auto"/>
          <w:sz w:val="32"/>
          <w:szCs w:val="32"/>
          <w:highlight w:val="green"/>
          <w:lang w:val="es-CO"/>
        </w:rPr>
      </w:pPr>
      <w:r w:rsidRPr="00703223">
        <w:rPr>
          <w:rFonts w:eastAsia="Times New Roman"/>
          <w:i/>
          <w:iCs/>
          <w:color w:val="auto"/>
          <w:sz w:val="32"/>
          <w:szCs w:val="32"/>
          <w:highlight w:val="green"/>
          <w:lang w:val="es-CO"/>
        </w:rPr>
        <w:t> </w:t>
      </w:r>
    </w:p>
    <w:p w14:paraId="5CC244DD" w14:textId="77777777" w:rsidR="00CB1758" w:rsidRPr="00703223" w:rsidRDefault="00CB1758" w:rsidP="00703223">
      <w:pPr>
        <w:ind w:left="450" w:hanging="270"/>
        <w:rPr>
          <w:rFonts w:eastAsia="Times New Roman"/>
          <w:color w:val="auto"/>
          <w:sz w:val="32"/>
          <w:szCs w:val="32"/>
          <w:lang w:val="es-CO"/>
        </w:rPr>
      </w:pPr>
      <w:r w:rsidRPr="00703223">
        <w:rPr>
          <w:rFonts w:eastAsia="Times New Roman"/>
          <w:color w:val="auto"/>
          <w:sz w:val="32"/>
          <w:szCs w:val="32"/>
          <w:highlight w:val="green"/>
          <w:lang w:val="es-CO"/>
        </w:rPr>
        <w:t xml:space="preserve">·      Una persona (natural o jurídica) obligada a reportar la información contenida en el formato 1001 no informó, o informó de manera extemporánea o de manera errónea lo relativo al pago por honorarios (casilla 36 – código de la variable 2002), al pago por honorarios que no fueron solicitados fiscalmente como costo o deducción (casilla 38 – código de la variable 2474) y al pago por </w:t>
      </w:r>
      <w:r w:rsidRPr="00703223">
        <w:rPr>
          <w:rFonts w:eastAsia="Times New Roman"/>
          <w:color w:val="auto"/>
          <w:sz w:val="32"/>
          <w:szCs w:val="32"/>
          <w:highlight w:val="green"/>
          <w:lang w:val="es-CO"/>
        </w:rPr>
        <w:lastRenderedPageBreak/>
        <w:t>honorarios como inversiones en medio ambiente (casilla 37 – código de la variable 2280).</w:t>
      </w:r>
    </w:p>
    <w:p w14:paraId="23D8C7DA"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E77A972"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highlight w:val="green"/>
          <w:lang w:val="es-CO"/>
        </w:rPr>
        <w:t>En este caso, ya que la información correspondiente al pago por honorarios engloba la relacionada con aquellos que no fueron solicitados fiscalmente como costo o deducción y aquellos que constituyen inversiones en medio ambiente, será sobre la base de la primera suma que se liquidará la sanción.</w:t>
      </w:r>
    </w:p>
    <w:p w14:paraId="5FAC5D8B"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lang w:val="es-CO"/>
        </w:rPr>
        <w:t> </w:t>
      </w:r>
    </w:p>
    <w:p w14:paraId="728D833F" w14:textId="77777777" w:rsidR="00CB1758" w:rsidRPr="00E04E8F" w:rsidRDefault="00CB1758" w:rsidP="00703223">
      <w:pPr>
        <w:ind w:left="450"/>
        <w:rPr>
          <w:rFonts w:eastAsia="Times New Roman"/>
          <w:color w:val="auto"/>
          <w:sz w:val="28"/>
          <w:szCs w:val="28"/>
          <w:highlight w:val="green"/>
          <w:lang w:val="es-CO"/>
        </w:rPr>
      </w:pPr>
      <w:r w:rsidRPr="00E04E8F">
        <w:rPr>
          <w:rFonts w:eastAsia="Times New Roman"/>
          <w:i/>
          <w:iCs/>
          <w:color w:val="auto"/>
          <w:sz w:val="28"/>
          <w:szCs w:val="28"/>
          <w:highlight w:val="green"/>
          <w:lang w:val="es-CO"/>
        </w:rPr>
        <w:t xml:space="preserve">El sujeto A realizó pagos por concepto de honorarios cuya suma asciende a $200.000.000 en el año, de los cuales, $25.000.000 no fueron solicitados fiscalmente como costo o deducción y $47.500.000 corresponden a inversiones en medio ambiente; sin embargo, no informó a la DIAN sobre el particular. Habiendo subsanado la infracción con posterioridad a la notificación del pliego de cargos, la sanción que debe liquidarse será equivalente a $6.000.000, </w:t>
      </w:r>
      <w:proofErr w:type="gramStart"/>
      <w:r w:rsidRPr="00E04E8F">
        <w:rPr>
          <w:rFonts w:eastAsia="Times New Roman"/>
          <w:i/>
          <w:iCs/>
          <w:color w:val="auto"/>
          <w:sz w:val="28"/>
          <w:szCs w:val="28"/>
          <w:highlight w:val="green"/>
          <w:lang w:val="es-CO"/>
        </w:rPr>
        <w:t>de acuerdo al</w:t>
      </w:r>
      <w:proofErr w:type="gramEnd"/>
      <w:r w:rsidRPr="00E04E8F">
        <w:rPr>
          <w:rFonts w:eastAsia="Times New Roman"/>
          <w:i/>
          <w:iCs/>
          <w:color w:val="auto"/>
          <w:sz w:val="28"/>
          <w:szCs w:val="28"/>
          <w:highlight w:val="green"/>
          <w:lang w:val="es-CO"/>
        </w:rPr>
        <w:t xml:space="preserve"> literal a) del numeral 1 del </w:t>
      </w:r>
      <w:hyperlink r:id="rId12" w:tooltip="Estatuto Tributario CETA" w:history="1">
        <w:r w:rsidRPr="00E04E8F">
          <w:rPr>
            <w:rFonts w:eastAsia="Times New Roman"/>
            <w:i/>
            <w:iCs/>
            <w:color w:val="auto"/>
            <w:sz w:val="28"/>
            <w:szCs w:val="28"/>
            <w:highlight w:val="green"/>
            <w:u w:val="single"/>
            <w:lang w:val="es-CO"/>
          </w:rPr>
          <w:t>artículo 651</w:t>
        </w:r>
      </w:hyperlink>
      <w:r w:rsidRPr="00E04E8F">
        <w:rPr>
          <w:rFonts w:eastAsia="Times New Roman"/>
          <w:i/>
          <w:iCs/>
          <w:color w:val="auto"/>
          <w:sz w:val="28"/>
          <w:szCs w:val="28"/>
          <w:highlight w:val="green"/>
          <w:lang w:val="es-CO"/>
        </w:rPr>
        <w:t> del Estatuto Tributario (3% de $200.000.000).</w:t>
      </w:r>
    </w:p>
    <w:p w14:paraId="39F0FB5A" w14:textId="77777777" w:rsidR="00CB1758" w:rsidRPr="00E04E8F" w:rsidRDefault="00CB1758" w:rsidP="00703223">
      <w:pPr>
        <w:ind w:left="450"/>
        <w:rPr>
          <w:rFonts w:eastAsia="Times New Roman"/>
          <w:color w:val="auto"/>
          <w:sz w:val="28"/>
          <w:szCs w:val="28"/>
          <w:highlight w:val="green"/>
          <w:lang w:val="es-CO"/>
        </w:rPr>
      </w:pPr>
      <w:r w:rsidRPr="00E04E8F">
        <w:rPr>
          <w:rFonts w:eastAsia="Times New Roman"/>
          <w:i/>
          <w:iCs/>
          <w:color w:val="auto"/>
          <w:sz w:val="28"/>
          <w:szCs w:val="28"/>
          <w:highlight w:val="green"/>
          <w:lang w:val="es-CO"/>
        </w:rPr>
        <w:t> </w:t>
      </w:r>
    </w:p>
    <w:p w14:paraId="6CE78216" w14:textId="77777777" w:rsidR="00CB1758" w:rsidRPr="00E04E8F" w:rsidRDefault="00CB1758" w:rsidP="00703223">
      <w:pPr>
        <w:ind w:left="450" w:hanging="270"/>
        <w:rPr>
          <w:rFonts w:eastAsia="Times New Roman"/>
          <w:color w:val="auto"/>
          <w:sz w:val="28"/>
          <w:szCs w:val="28"/>
          <w:lang w:val="es-CO"/>
        </w:rPr>
      </w:pPr>
      <w:r w:rsidRPr="001C5579">
        <w:rPr>
          <w:rFonts w:eastAsia="Times New Roman"/>
          <w:color w:val="auto"/>
          <w:sz w:val="28"/>
          <w:szCs w:val="28"/>
          <w:highlight w:val="cyan"/>
          <w:lang w:val="es-CO"/>
        </w:rPr>
        <w:t xml:space="preserve">·      Una persona (natural o jurídica) obligada a reportar la información contenida en el formato 1007 (ingresos y devoluciones) y en el formato 1017 (ingresos y devoluciones a través de contratos de mandato o de administración delegada) no informó, o informó de manera extemporánea o de manera errónea lo correspondiente a los ingresos brutos operacionales (casilla 33 – código de la variable 2137) y no operacionales (casilla 33 – código de la variable 2138) e ingresos brutos obtenidos a través de contratos </w:t>
      </w:r>
      <w:r w:rsidRPr="001C5579">
        <w:rPr>
          <w:rFonts w:eastAsia="Times New Roman"/>
          <w:color w:val="auto"/>
          <w:sz w:val="28"/>
          <w:szCs w:val="28"/>
          <w:highlight w:val="cyan"/>
          <w:lang w:val="es-CO"/>
        </w:rPr>
        <w:lastRenderedPageBreak/>
        <w:t>de mandato o de administración delegada (casilla 33 – código de la variable 2140).</w:t>
      </w:r>
    </w:p>
    <w:p w14:paraId="08767065"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2C28378" w14:textId="77777777" w:rsidR="00CB1758" w:rsidRPr="00E04E8F" w:rsidRDefault="00CB1758" w:rsidP="00703223">
      <w:pPr>
        <w:ind w:left="450"/>
        <w:rPr>
          <w:rFonts w:eastAsia="Times New Roman"/>
          <w:color w:val="auto"/>
          <w:sz w:val="28"/>
          <w:szCs w:val="28"/>
          <w:lang w:val="es-CO"/>
        </w:rPr>
      </w:pPr>
      <w:r w:rsidRPr="001C5579">
        <w:rPr>
          <w:rFonts w:eastAsia="Times New Roman"/>
          <w:color w:val="auto"/>
          <w:sz w:val="28"/>
          <w:szCs w:val="28"/>
          <w:highlight w:val="cyan"/>
          <w:lang w:val="es-CO"/>
        </w:rPr>
        <w:t>En este caso, la sanción debe liquidarse sobre la suma relativa a ingresos brutos operacionales y no operacionales que, en uno u otro caso, pueden cobijar los ingresos brutos obtenidos a través de contratos de mandato o de administración delegada.</w:t>
      </w:r>
    </w:p>
    <w:p w14:paraId="3B3A75F3"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CCBBF92" w14:textId="77777777" w:rsidR="00CB1758" w:rsidRPr="00E04E8F" w:rsidRDefault="00CB1758" w:rsidP="00703223">
      <w:pPr>
        <w:ind w:left="450"/>
        <w:rPr>
          <w:rFonts w:eastAsia="Times New Roman"/>
          <w:color w:val="auto"/>
          <w:sz w:val="28"/>
          <w:szCs w:val="28"/>
          <w:lang w:val="es-CO"/>
        </w:rPr>
      </w:pPr>
      <w:r w:rsidRPr="00E04E8F">
        <w:rPr>
          <w:rFonts w:eastAsia="Times New Roman"/>
          <w:i/>
          <w:iCs/>
          <w:color w:val="auto"/>
          <w:sz w:val="28"/>
          <w:szCs w:val="28"/>
          <w:highlight w:val="green"/>
          <w:lang w:val="es-CO"/>
        </w:rPr>
        <w:t xml:space="preserve">El sujeto A obtuvo ingresos brutos operacionales en el año equivalentes a $24.500.000 e ingresos brutos no operacionales equivalentes a $38.000.000, de los cuales, $12.500.000 corresponden a ingresos brutos obtenidos a través de contratos de mandato o de administración delegada; sin embargo, no informó a la DIAN sobre el particular. Habiendo subsanado la infracción con posterioridad a la notificación del pliego de cargos, la sanción que debe liquidarse será equivalente a $1.875.000, </w:t>
      </w:r>
      <w:proofErr w:type="gramStart"/>
      <w:r w:rsidRPr="00E04E8F">
        <w:rPr>
          <w:rFonts w:eastAsia="Times New Roman"/>
          <w:i/>
          <w:iCs/>
          <w:color w:val="auto"/>
          <w:sz w:val="28"/>
          <w:szCs w:val="28"/>
          <w:highlight w:val="green"/>
          <w:lang w:val="es-CO"/>
        </w:rPr>
        <w:t>de acuerdo al</w:t>
      </w:r>
      <w:proofErr w:type="gramEnd"/>
      <w:r w:rsidRPr="00E04E8F">
        <w:rPr>
          <w:rFonts w:eastAsia="Times New Roman"/>
          <w:i/>
          <w:iCs/>
          <w:color w:val="auto"/>
          <w:sz w:val="28"/>
          <w:szCs w:val="28"/>
          <w:highlight w:val="green"/>
          <w:lang w:val="es-CO"/>
        </w:rPr>
        <w:t xml:space="preserve"> literal a) del numeral 1 del </w:t>
      </w:r>
      <w:hyperlink r:id="rId13" w:tooltip="Estatuto Tributario CETA" w:history="1">
        <w:r w:rsidRPr="00E04E8F">
          <w:rPr>
            <w:rFonts w:eastAsia="Times New Roman"/>
            <w:i/>
            <w:iCs/>
            <w:color w:val="auto"/>
            <w:sz w:val="28"/>
            <w:szCs w:val="28"/>
            <w:highlight w:val="green"/>
            <w:u w:val="single"/>
            <w:lang w:val="es-CO"/>
          </w:rPr>
          <w:t>artículo 651</w:t>
        </w:r>
      </w:hyperlink>
      <w:r w:rsidRPr="00E04E8F">
        <w:rPr>
          <w:rFonts w:eastAsia="Times New Roman"/>
          <w:i/>
          <w:iCs/>
          <w:color w:val="auto"/>
          <w:sz w:val="28"/>
          <w:szCs w:val="28"/>
          <w:highlight w:val="green"/>
          <w:lang w:val="es-CO"/>
        </w:rPr>
        <w:t> del Estatuto Tributario (3% de $62.500.000).</w:t>
      </w:r>
    </w:p>
    <w:p w14:paraId="3F812B24"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5960DB85" w14:textId="77777777" w:rsidR="00CB1758" w:rsidRPr="00CB1758" w:rsidRDefault="00CB1758" w:rsidP="00703223">
      <w:pPr>
        <w:rPr>
          <w:rFonts w:eastAsia="Times New Roman"/>
          <w:color w:val="auto"/>
          <w:lang w:val="es-CO"/>
        </w:rPr>
      </w:pPr>
      <w:r w:rsidRPr="00CB1758">
        <w:rPr>
          <w:rFonts w:eastAsia="Times New Roman"/>
          <w:color w:val="auto"/>
          <w:lang w:val="es-CO"/>
        </w:rPr>
        <w:t>Lo antepuesto lleva a concluir que:</w:t>
      </w:r>
    </w:p>
    <w:p w14:paraId="73D2562E"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7410CE2" w14:textId="38BA0AC9" w:rsidR="00CB1758" w:rsidRPr="00E04E8F" w:rsidRDefault="00CB1758" w:rsidP="00703223">
      <w:pPr>
        <w:ind w:left="450" w:hanging="270"/>
        <w:rPr>
          <w:rFonts w:eastAsia="Times New Roman"/>
          <w:i/>
          <w:iCs/>
          <w:color w:val="auto"/>
          <w:sz w:val="28"/>
          <w:szCs w:val="28"/>
          <w:lang w:val="es-CO"/>
        </w:rPr>
      </w:pPr>
      <w:r w:rsidRPr="00E04E8F">
        <w:rPr>
          <w:rFonts w:eastAsia="Times New Roman"/>
          <w:color w:val="auto"/>
          <w:sz w:val="28"/>
          <w:szCs w:val="28"/>
          <w:lang w:val="es-CO"/>
        </w:rPr>
        <w:t xml:space="preserve">·      Si no se informó o se informó de manera extemporánea o errónea diferentes datos </w:t>
      </w:r>
      <w:r w:rsidRPr="00E04E8F">
        <w:rPr>
          <w:rFonts w:eastAsia="Times New Roman"/>
          <w:color w:val="auto"/>
          <w:sz w:val="28"/>
          <w:szCs w:val="28"/>
          <w:highlight w:val="green"/>
          <w:lang w:val="es-CO"/>
        </w:rPr>
        <w:t>desagregados disímiles</w:t>
      </w:r>
      <w:r w:rsidRPr="00E04E8F">
        <w:rPr>
          <w:rFonts w:eastAsia="Times New Roman"/>
          <w:color w:val="auto"/>
          <w:sz w:val="28"/>
          <w:szCs w:val="28"/>
          <w:lang w:val="es-CO"/>
        </w:rPr>
        <w:t xml:space="preserve"> entre sí, sobre la suma de cada uno se deberá liquidar la sanción de que trata el </w:t>
      </w:r>
      <w:hyperlink r:id="rId14" w:tooltip="Estatuto Tributario CETA" w:history="1">
        <w:r w:rsidRPr="00E04E8F">
          <w:rPr>
            <w:rFonts w:eastAsia="Times New Roman"/>
            <w:color w:val="auto"/>
            <w:sz w:val="28"/>
            <w:szCs w:val="28"/>
            <w:u w:val="single"/>
            <w:lang w:val="es-CO"/>
          </w:rPr>
          <w:t>artículo 651</w:t>
        </w:r>
      </w:hyperlink>
      <w:r w:rsidRPr="00E04E8F">
        <w:rPr>
          <w:rFonts w:eastAsia="Times New Roman"/>
          <w:color w:val="auto"/>
          <w:sz w:val="28"/>
          <w:szCs w:val="28"/>
          <w:lang w:val="es-CO"/>
        </w:rPr>
        <w:t> </w:t>
      </w:r>
      <w:proofErr w:type="spellStart"/>
      <w:r w:rsidRPr="00E04E8F">
        <w:rPr>
          <w:rFonts w:eastAsia="Times New Roman"/>
          <w:i/>
          <w:iCs/>
          <w:color w:val="auto"/>
          <w:sz w:val="28"/>
          <w:szCs w:val="28"/>
          <w:lang w:val="es-CO"/>
        </w:rPr>
        <w:t>ibídem</w:t>
      </w:r>
      <w:proofErr w:type="spellEnd"/>
      <w:r w:rsidRPr="00E04E8F">
        <w:rPr>
          <w:rFonts w:eastAsia="Times New Roman"/>
          <w:i/>
          <w:iCs/>
          <w:color w:val="auto"/>
          <w:sz w:val="28"/>
          <w:szCs w:val="28"/>
          <w:lang w:val="es-CO"/>
        </w:rPr>
        <w:t>.</w:t>
      </w:r>
    </w:p>
    <w:p w14:paraId="4F3358F6" w14:textId="77777777" w:rsidR="00703223" w:rsidRPr="00CB1758" w:rsidRDefault="00703223" w:rsidP="00703223">
      <w:pPr>
        <w:ind w:left="450" w:hanging="270"/>
        <w:rPr>
          <w:rFonts w:eastAsia="Times New Roman"/>
          <w:color w:val="auto"/>
          <w:lang w:val="es-CO"/>
        </w:rPr>
      </w:pPr>
    </w:p>
    <w:p w14:paraId="787AFC9D" w14:textId="20E248E3" w:rsidR="00CB1758" w:rsidRPr="001C5579" w:rsidRDefault="00CB1758" w:rsidP="00651D69">
      <w:pPr>
        <w:ind w:left="450" w:hanging="270"/>
        <w:rPr>
          <w:rFonts w:eastAsia="Times New Roman"/>
          <w:b/>
          <w:color w:val="auto"/>
          <w:sz w:val="32"/>
          <w:szCs w:val="32"/>
          <w:u w:val="single"/>
          <w:lang w:val="es-CO"/>
        </w:rPr>
      </w:pPr>
      <w:r w:rsidRPr="001C5579">
        <w:rPr>
          <w:rFonts w:eastAsia="Times New Roman"/>
          <w:color w:val="auto"/>
          <w:sz w:val="32"/>
          <w:szCs w:val="32"/>
          <w:highlight w:val="cyan"/>
          <w:lang w:val="es-CO"/>
        </w:rPr>
        <w:t>·      Si no se informó o se informó de manera extemporánea o errónea diferentes datos</w:t>
      </w:r>
      <w:r w:rsidRPr="001C5579">
        <w:rPr>
          <w:rFonts w:eastAsia="Times New Roman"/>
          <w:color w:val="auto"/>
          <w:sz w:val="32"/>
          <w:szCs w:val="32"/>
          <w:highlight w:val="cyan"/>
          <w:u w:val="single"/>
          <w:lang w:val="es-CO"/>
        </w:rPr>
        <w:t xml:space="preserve">, </w:t>
      </w:r>
      <w:r w:rsidRPr="001C5579">
        <w:rPr>
          <w:rFonts w:eastAsia="Times New Roman"/>
          <w:b/>
          <w:color w:val="auto"/>
          <w:sz w:val="32"/>
          <w:szCs w:val="32"/>
          <w:highlight w:val="cyan"/>
          <w:u w:val="single"/>
          <w:lang w:val="es-CO"/>
        </w:rPr>
        <w:t>de los cuales alguno comprende a los otros,</w:t>
      </w:r>
      <w:r w:rsidRPr="001C5579">
        <w:rPr>
          <w:rFonts w:eastAsia="Times New Roman"/>
          <w:b/>
          <w:color w:val="auto"/>
          <w:sz w:val="32"/>
          <w:szCs w:val="32"/>
          <w:highlight w:val="cyan"/>
          <w:lang w:val="es-CO"/>
        </w:rPr>
        <w:t xml:space="preserve"> se deberá liquidar la sanción de que trata el </w:t>
      </w:r>
      <w:hyperlink r:id="rId15" w:tooltip="Estatuto Tributario CETA" w:history="1">
        <w:r w:rsidRPr="001C5579">
          <w:rPr>
            <w:rFonts w:eastAsia="Times New Roman"/>
            <w:b/>
            <w:color w:val="auto"/>
            <w:sz w:val="32"/>
            <w:szCs w:val="32"/>
            <w:highlight w:val="cyan"/>
            <w:u w:val="single"/>
            <w:lang w:val="es-CO"/>
          </w:rPr>
          <w:t xml:space="preserve">artículo </w:t>
        </w:r>
        <w:r w:rsidRPr="001C5579">
          <w:rPr>
            <w:rFonts w:eastAsia="Times New Roman"/>
            <w:b/>
            <w:color w:val="auto"/>
            <w:sz w:val="32"/>
            <w:szCs w:val="32"/>
            <w:highlight w:val="cyan"/>
            <w:u w:val="single"/>
            <w:lang w:val="es-CO"/>
          </w:rPr>
          <w:lastRenderedPageBreak/>
          <w:t>651</w:t>
        </w:r>
      </w:hyperlink>
      <w:r w:rsidRPr="001C5579">
        <w:rPr>
          <w:rFonts w:eastAsia="Times New Roman"/>
          <w:b/>
          <w:color w:val="auto"/>
          <w:sz w:val="32"/>
          <w:szCs w:val="32"/>
          <w:highlight w:val="cyan"/>
          <w:lang w:val="es-CO"/>
        </w:rPr>
        <w:t> </w:t>
      </w:r>
      <w:proofErr w:type="spellStart"/>
      <w:r w:rsidRPr="001C5579">
        <w:rPr>
          <w:rFonts w:eastAsia="Times New Roman"/>
          <w:b/>
          <w:i/>
          <w:iCs/>
          <w:color w:val="auto"/>
          <w:sz w:val="32"/>
          <w:szCs w:val="32"/>
          <w:highlight w:val="cyan"/>
          <w:lang w:val="es-CO"/>
        </w:rPr>
        <w:t>ibídem</w:t>
      </w:r>
      <w:proofErr w:type="spellEnd"/>
      <w:r w:rsidRPr="001C5579">
        <w:rPr>
          <w:rFonts w:eastAsia="Times New Roman"/>
          <w:b/>
          <w:i/>
          <w:iCs/>
          <w:color w:val="auto"/>
          <w:sz w:val="32"/>
          <w:szCs w:val="32"/>
          <w:highlight w:val="cyan"/>
          <w:lang w:val="es-CO"/>
        </w:rPr>
        <w:t> </w:t>
      </w:r>
      <w:r w:rsidRPr="001C5579">
        <w:rPr>
          <w:rFonts w:eastAsia="Times New Roman"/>
          <w:b/>
          <w:color w:val="auto"/>
          <w:sz w:val="32"/>
          <w:szCs w:val="32"/>
          <w:highlight w:val="cyan"/>
          <w:u w:val="single"/>
          <w:lang w:val="es-CO"/>
        </w:rPr>
        <w:t>únicamente sobre la suma que contenga a las demás</w:t>
      </w:r>
      <w:r w:rsidR="00651D69" w:rsidRPr="001C5579">
        <w:rPr>
          <w:rFonts w:eastAsia="Times New Roman"/>
          <w:b/>
          <w:color w:val="auto"/>
          <w:sz w:val="32"/>
          <w:szCs w:val="32"/>
          <w:highlight w:val="cyan"/>
          <w:u w:val="single"/>
          <w:lang w:val="es-CO"/>
        </w:rPr>
        <w:t>.</w:t>
      </w:r>
    </w:p>
    <w:p w14:paraId="213A0873" w14:textId="2412F8F8" w:rsidR="00CB1758" w:rsidRPr="007F15D5" w:rsidRDefault="00CB1758" w:rsidP="00703223">
      <w:pPr>
        <w:rPr>
          <w:rFonts w:eastAsia="Times New Roman"/>
          <w:color w:val="auto"/>
          <w:sz w:val="32"/>
          <w:szCs w:val="32"/>
          <w:u w:val="single"/>
          <w:lang w:val="es-CO"/>
        </w:rPr>
      </w:pPr>
    </w:p>
    <w:p w14:paraId="4A62EF88" w14:textId="77777777" w:rsidR="00CB1758" w:rsidRPr="00CB1758" w:rsidRDefault="00CB1758" w:rsidP="00703223">
      <w:pPr>
        <w:rPr>
          <w:rFonts w:eastAsia="Times New Roman"/>
          <w:color w:val="auto"/>
          <w:lang w:val="es-CO"/>
        </w:rPr>
      </w:pPr>
      <w:r w:rsidRPr="00CB1758">
        <w:rPr>
          <w:rFonts w:eastAsia="Times New Roman"/>
          <w:color w:val="auto"/>
          <w:lang w:val="es-CO"/>
        </w:rPr>
        <w:t>Atentamente,</w:t>
      </w:r>
    </w:p>
    <w:p w14:paraId="25F7907C" w14:textId="41A87594" w:rsidR="00CB1758" w:rsidRPr="00CB1758" w:rsidRDefault="00CB1758" w:rsidP="00703223">
      <w:pPr>
        <w:rPr>
          <w:rFonts w:eastAsia="Times New Roman"/>
          <w:color w:val="auto"/>
          <w:lang w:val="es-CO"/>
        </w:rPr>
      </w:pPr>
      <w:r w:rsidRPr="00CB1758">
        <w:rPr>
          <w:rFonts w:eastAsia="Times New Roman"/>
          <w:color w:val="auto"/>
          <w:lang w:val="es-CO"/>
        </w:rPr>
        <w:t> </w:t>
      </w:r>
    </w:p>
    <w:p w14:paraId="256EB991" w14:textId="77777777" w:rsidR="00CB1758" w:rsidRPr="00CB1758" w:rsidRDefault="00CB1758" w:rsidP="00703223">
      <w:pPr>
        <w:rPr>
          <w:rFonts w:eastAsia="Times New Roman"/>
          <w:color w:val="auto"/>
          <w:lang w:val="es-CO"/>
        </w:rPr>
      </w:pPr>
      <w:r w:rsidRPr="00CB1758">
        <w:rPr>
          <w:rFonts w:eastAsia="Times New Roman"/>
          <w:b/>
          <w:bCs/>
          <w:color w:val="auto"/>
          <w:lang w:val="es-CO"/>
        </w:rPr>
        <w:t>LILIANA ANDREA FORERO GÓMEZ</w:t>
      </w:r>
    </w:p>
    <w:p w14:paraId="23D1C552" w14:textId="77777777" w:rsidR="00CB1758" w:rsidRDefault="00CB1758" w:rsidP="00703223">
      <w:pPr>
        <w:rPr>
          <w:rFonts w:eastAsia="Times New Roman"/>
          <w:color w:val="auto"/>
          <w:lang w:val="es-CO"/>
        </w:rPr>
      </w:pPr>
      <w:r w:rsidRPr="00CB1758">
        <w:rPr>
          <w:rFonts w:eastAsia="Times New Roman"/>
          <w:color w:val="auto"/>
          <w:lang w:val="es-CO"/>
        </w:rPr>
        <w:t>Directora de Gestión Jurídica</w:t>
      </w:r>
    </w:p>
    <w:p w14:paraId="418BA5DE" w14:textId="77777777" w:rsidR="007F15D5" w:rsidRPr="00CB1758" w:rsidRDefault="007F15D5" w:rsidP="00703223">
      <w:pPr>
        <w:rPr>
          <w:rFonts w:eastAsia="Times New Roman"/>
          <w:color w:val="auto"/>
          <w:lang w:val="es-CO"/>
        </w:rPr>
      </w:pPr>
      <w:r>
        <w:rPr>
          <w:rFonts w:eastAsia="Times New Roman"/>
          <w:color w:val="auto"/>
          <w:lang w:val="es-CO"/>
        </w:rPr>
        <w:t>________________________________________________________________________</w:t>
      </w:r>
    </w:p>
    <w:p w14:paraId="25670FA4" w14:textId="77777777" w:rsidR="00147980" w:rsidRPr="00CB1758" w:rsidRDefault="00147980" w:rsidP="00703223">
      <w:pPr>
        <w:rPr>
          <w:color w:val="auto"/>
          <w:lang w:val="es-CO"/>
        </w:rPr>
      </w:pPr>
    </w:p>
    <w:sectPr w:rsidR="00147980" w:rsidRPr="00CB17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58"/>
    <w:rsid w:val="00034E89"/>
    <w:rsid w:val="00147980"/>
    <w:rsid w:val="001C5579"/>
    <w:rsid w:val="003021FF"/>
    <w:rsid w:val="00651D69"/>
    <w:rsid w:val="00703223"/>
    <w:rsid w:val="007E0F04"/>
    <w:rsid w:val="007F15D5"/>
    <w:rsid w:val="00CB1758"/>
    <w:rsid w:val="00D62D0A"/>
    <w:rsid w:val="00E0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D2CD"/>
  <w15:chartTrackingRefBased/>
  <w15:docId w15:val="{C6F6975E-DA4C-4F31-B8E2-1E3E23D0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8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8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4" Type="http://schemas.openxmlformats.org/officeDocument/2006/relationships/hyperlink" Target="mailto:ebravod@dian.gov.co"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1862</Words>
  <Characters>10242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2022-05-18T17:25:00Z</dcterms:created>
  <dcterms:modified xsi:type="dcterms:W3CDTF">2022-05-18T17:25:00Z</dcterms:modified>
</cp:coreProperties>
</file>