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E098" w14:textId="77777777" w:rsidR="00D92EDB" w:rsidRDefault="00D92EDB" w:rsidP="00D92EDB">
      <w:pPr>
        <w:spacing w:after="0" w:line="360" w:lineRule="auto"/>
        <w:jc w:val="both"/>
        <w:rPr>
          <w:rFonts w:ascii="Segoe UI" w:eastAsia="Times New Roman" w:hAnsi="Segoe UI" w:cs="Segoe UI"/>
          <w:color w:val="000000"/>
          <w:sz w:val="21"/>
          <w:szCs w:val="21"/>
          <w:lang w:eastAsia="es-CO"/>
        </w:rPr>
      </w:pPr>
    </w:p>
    <w:p w14:paraId="5D61F69A" w14:textId="77777777" w:rsidR="00D92EDB" w:rsidRDefault="00D92EDB" w:rsidP="00D92EDB">
      <w:pPr>
        <w:pStyle w:val="NormalWeb"/>
        <w:spacing w:before="0" w:beforeAutospacing="0" w:after="0" w:afterAutospacing="0" w:line="360" w:lineRule="auto"/>
        <w:jc w:val="both"/>
        <w:rPr>
          <w:rFonts w:ascii="Segoe UI" w:hAnsi="Segoe UI" w:cs="Segoe UI"/>
          <w:color w:val="000000"/>
          <w:sz w:val="21"/>
          <w:szCs w:val="21"/>
        </w:rPr>
      </w:pPr>
    </w:p>
    <w:p w14:paraId="7AFF6EEA" w14:textId="77777777" w:rsidR="00D92EDB" w:rsidRDefault="00D92EDB" w:rsidP="00D92EDB">
      <w:pPr>
        <w:pStyle w:val="NormalWeb"/>
        <w:spacing w:before="0" w:beforeAutospacing="0" w:after="0" w:afterAutospacing="0" w:line="360" w:lineRule="auto"/>
        <w:jc w:val="both"/>
        <w:rPr>
          <w:rFonts w:ascii="Segoe UI" w:hAnsi="Segoe UI" w:cs="Segoe UI"/>
          <w:color w:val="000000"/>
          <w:sz w:val="21"/>
          <w:szCs w:val="21"/>
        </w:rPr>
      </w:pPr>
    </w:p>
    <w:p w14:paraId="5533ABC2" w14:textId="77777777" w:rsidR="00D92EDB" w:rsidRPr="00D92EDB" w:rsidRDefault="00D92EDB" w:rsidP="00D92EDB">
      <w:pPr>
        <w:spacing w:after="0" w:line="360" w:lineRule="auto"/>
        <w:jc w:val="center"/>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 xml:space="preserve">Concepto </w:t>
      </w:r>
      <w:proofErr w:type="spellStart"/>
      <w:r w:rsidRPr="00D92EDB">
        <w:rPr>
          <w:rFonts w:ascii="Segoe UI" w:eastAsia="Times New Roman" w:hAnsi="Segoe UI" w:cs="Segoe UI"/>
          <w:b/>
          <w:bCs/>
          <w:color w:val="000000"/>
          <w:sz w:val="21"/>
          <w:szCs w:val="21"/>
          <w:lang w:eastAsia="es-CO"/>
        </w:rPr>
        <w:t>Nº</w:t>
      </w:r>
      <w:proofErr w:type="spellEnd"/>
      <w:r w:rsidRPr="00D92EDB">
        <w:rPr>
          <w:rFonts w:ascii="Segoe UI" w:eastAsia="Times New Roman" w:hAnsi="Segoe UI" w:cs="Segoe UI"/>
          <w:b/>
          <w:bCs/>
          <w:color w:val="000000"/>
          <w:sz w:val="21"/>
          <w:szCs w:val="21"/>
          <w:lang w:eastAsia="es-CO"/>
        </w:rPr>
        <w:t xml:space="preserve"> 0419</w:t>
      </w:r>
    </w:p>
    <w:p w14:paraId="3A5115A8" w14:textId="77777777" w:rsidR="00D92EDB" w:rsidRPr="00D92EDB" w:rsidRDefault="00D92EDB" w:rsidP="00D92EDB">
      <w:pPr>
        <w:spacing w:after="0" w:line="360" w:lineRule="auto"/>
        <w:jc w:val="center"/>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03-10-2022</w:t>
      </w:r>
    </w:p>
    <w:p w14:paraId="53B8A240" w14:textId="77777777" w:rsidR="00D92EDB" w:rsidRPr="00D92EDB" w:rsidRDefault="00D92EDB" w:rsidP="00D92EDB">
      <w:pPr>
        <w:spacing w:after="0" w:line="360" w:lineRule="auto"/>
        <w:jc w:val="center"/>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Consejo Técnico de la Contaduría Pública</w:t>
      </w:r>
    </w:p>
    <w:p w14:paraId="6D355161"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17FF82A"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15603BE7"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Bogotá, D.C.,</w:t>
      </w:r>
    </w:p>
    <w:p w14:paraId="27E6BBD3"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651"/>
        <w:gridCol w:w="4519"/>
      </w:tblGrid>
      <w:tr w:rsidR="00D92EDB" w:rsidRPr="00D92EDB" w14:paraId="6A0DC934" w14:textId="77777777" w:rsidTr="00D92EDB">
        <w:tc>
          <w:tcPr>
            <w:tcW w:w="2651" w:type="dxa"/>
            <w:tcBorders>
              <w:top w:val="nil"/>
              <w:left w:val="nil"/>
              <w:bottom w:val="nil"/>
              <w:right w:val="nil"/>
            </w:tcBorders>
            <w:shd w:val="clear" w:color="auto" w:fill="BFBFBF"/>
            <w:tcMar>
              <w:top w:w="0" w:type="dxa"/>
              <w:left w:w="105" w:type="dxa"/>
              <w:bottom w:w="0" w:type="dxa"/>
              <w:right w:w="105" w:type="dxa"/>
            </w:tcMar>
            <w:hideMark/>
          </w:tcPr>
          <w:p w14:paraId="59C05C40"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b/>
                <w:bCs/>
                <w:sz w:val="21"/>
                <w:szCs w:val="21"/>
                <w:lang w:eastAsia="es-CO"/>
              </w:rPr>
              <w:t>REFERENCIA:</w:t>
            </w:r>
          </w:p>
        </w:tc>
        <w:tc>
          <w:tcPr>
            <w:tcW w:w="4519" w:type="dxa"/>
            <w:tcBorders>
              <w:top w:val="nil"/>
              <w:left w:val="nil"/>
              <w:bottom w:val="nil"/>
              <w:right w:val="nil"/>
            </w:tcBorders>
            <w:shd w:val="clear" w:color="auto" w:fill="BFBFBF"/>
            <w:tcMar>
              <w:top w:w="0" w:type="dxa"/>
              <w:left w:w="105" w:type="dxa"/>
              <w:bottom w:w="0" w:type="dxa"/>
              <w:right w:w="105" w:type="dxa"/>
            </w:tcMar>
            <w:hideMark/>
          </w:tcPr>
          <w:p w14:paraId="439FF1D8"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 </w:t>
            </w:r>
          </w:p>
        </w:tc>
      </w:tr>
      <w:tr w:rsidR="00D92EDB" w:rsidRPr="00D92EDB" w14:paraId="2A3518B0" w14:textId="77777777" w:rsidTr="00D92EDB">
        <w:tc>
          <w:tcPr>
            <w:tcW w:w="2651" w:type="dxa"/>
            <w:tcBorders>
              <w:top w:val="nil"/>
              <w:left w:val="nil"/>
              <w:bottom w:val="nil"/>
              <w:right w:val="nil"/>
            </w:tcBorders>
            <w:tcMar>
              <w:top w:w="0" w:type="dxa"/>
              <w:left w:w="105" w:type="dxa"/>
              <w:bottom w:w="0" w:type="dxa"/>
              <w:right w:w="105" w:type="dxa"/>
            </w:tcMar>
            <w:hideMark/>
          </w:tcPr>
          <w:p w14:paraId="2DECB2A6"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No. del Radicado</w:t>
            </w:r>
          </w:p>
        </w:tc>
        <w:tc>
          <w:tcPr>
            <w:tcW w:w="4519" w:type="dxa"/>
            <w:tcBorders>
              <w:top w:val="nil"/>
              <w:left w:val="nil"/>
              <w:bottom w:val="nil"/>
              <w:right w:val="nil"/>
            </w:tcBorders>
            <w:tcMar>
              <w:top w:w="0" w:type="dxa"/>
              <w:left w:w="105" w:type="dxa"/>
              <w:bottom w:w="0" w:type="dxa"/>
              <w:right w:w="105" w:type="dxa"/>
            </w:tcMar>
            <w:hideMark/>
          </w:tcPr>
          <w:p w14:paraId="6C8E4D37"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1-2022-023499</w:t>
            </w:r>
          </w:p>
        </w:tc>
      </w:tr>
      <w:tr w:rsidR="00D92EDB" w:rsidRPr="00D92EDB" w14:paraId="2DBD84FE" w14:textId="77777777" w:rsidTr="00D92EDB">
        <w:tc>
          <w:tcPr>
            <w:tcW w:w="2651" w:type="dxa"/>
            <w:tcBorders>
              <w:top w:val="nil"/>
              <w:left w:val="nil"/>
              <w:bottom w:val="nil"/>
              <w:right w:val="nil"/>
            </w:tcBorders>
            <w:tcMar>
              <w:top w:w="0" w:type="dxa"/>
              <w:left w:w="105" w:type="dxa"/>
              <w:bottom w:w="0" w:type="dxa"/>
              <w:right w:w="105" w:type="dxa"/>
            </w:tcMar>
            <w:hideMark/>
          </w:tcPr>
          <w:p w14:paraId="5200EC62"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Fecha de Radicado</w:t>
            </w:r>
          </w:p>
        </w:tc>
        <w:tc>
          <w:tcPr>
            <w:tcW w:w="4519" w:type="dxa"/>
            <w:tcBorders>
              <w:top w:val="nil"/>
              <w:left w:val="nil"/>
              <w:bottom w:val="nil"/>
              <w:right w:val="nil"/>
            </w:tcBorders>
            <w:tcMar>
              <w:top w:w="0" w:type="dxa"/>
              <w:left w:w="105" w:type="dxa"/>
              <w:bottom w:w="0" w:type="dxa"/>
              <w:right w:w="105" w:type="dxa"/>
            </w:tcMar>
            <w:hideMark/>
          </w:tcPr>
          <w:p w14:paraId="08793A48"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12 de agosto de 2022</w:t>
            </w:r>
          </w:p>
        </w:tc>
      </w:tr>
      <w:tr w:rsidR="00D92EDB" w:rsidRPr="00D92EDB" w14:paraId="79491CF8" w14:textId="77777777" w:rsidTr="00D92EDB">
        <w:tc>
          <w:tcPr>
            <w:tcW w:w="2651" w:type="dxa"/>
            <w:tcBorders>
              <w:top w:val="nil"/>
              <w:left w:val="nil"/>
              <w:bottom w:val="nil"/>
              <w:right w:val="nil"/>
            </w:tcBorders>
            <w:tcMar>
              <w:top w:w="0" w:type="dxa"/>
              <w:left w:w="105" w:type="dxa"/>
              <w:bottom w:w="0" w:type="dxa"/>
              <w:right w:w="105" w:type="dxa"/>
            </w:tcMar>
            <w:hideMark/>
          </w:tcPr>
          <w:p w14:paraId="5AA3DDE3"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proofErr w:type="spellStart"/>
            <w:r w:rsidRPr="00D92EDB">
              <w:rPr>
                <w:rFonts w:ascii="Segoe UI" w:eastAsia="Times New Roman" w:hAnsi="Segoe UI" w:cs="Segoe UI"/>
                <w:sz w:val="21"/>
                <w:szCs w:val="21"/>
                <w:lang w:eastAsia="es-CO"/>
              </w:rPr>
              <w:t>N°</w:t>
            </w:r>
            <w:proofErr w:type="spellEnd"/>
            <w:r w:rsidRPr="00D92EDB">
              <w:rPr>
                <w:rFonts w:ascii="Segoe UI" w:eastAsia="Times New Roman" w:hAnsi="Segoe UI" w:cs="Segoe UI"/>
                <w:sz w:val="21"/>
                <w:szCs w:val="21"/>
                <w:lang w:eastAsia="es-CO"/>
              </w:rPr>
              <w:t xml:space="preserve"> de Radicación CTCP</w:t>
            </w:r>
          </w:p>
        </w:tc>
        <w:tc>
          <w:tcPr>
            <w:tcW w:w="4519" w:type="dxa"/>
            <w:tcBorders>
              <w:top w:val="nil"/>
              <w:left w:val="nil"/>
              <w:bottom w:val="nil"/>
              <w:right w:val="nil"/>
            </w:tcBorders>
            <w:tcMar>
              <w:top w:w="0" w:type="dxa"/>
              <w:left w:w="105" w:type="dxa"/>
              <w:bottom w:w="0" w:type="dxa"/>
              <w:right w:w="105" w:type="dxa"/>
            </w:tcMar>
            <w:hideMark/>
          </w:tcPr>
          <w:p w14:paraId="5B843098"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2022-0419</w:t>
            </w:r>
          </w:p>
        </w:tc>
      </w:tr>
      <w:tr w:rsidR="00D92EDB" w:rsidRPr="00D92EDB" w14:paraId="19B3F902" w14:textId="77777777" w:rsidTr="00D92EDB">
        <w:tc>
          <w:tcPr>
            <w:tcW w:w="2651" w:type="dxa"/>
            <w:tcBorders>
              <w:top w:val="nil"/>
              <w:left w:val="nil"/>
              <w:bottom w:val="nil"/>
              <w:right w:val="nil"/>
            </w:tcBorders>
            <w:tcMar>
              <w:top w:w="0" w:type="dxa"/>
              <w:left w:w="105" w:type="dxa"/>
              <w:bottom w:w="0" w:type="dxa"/>
              <w:right w:w="105" w:type="dxa"/>
            </w:tcMar>
            <w:hideMark/>
          </w:tcPr>
          <w:p w14:paraId="04E94990"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Tema</w:t>
            </w:r>
          </w:p>
        </w:tc>
        <w:tc>
          <w:tcPr>
            <w:tcW w:w="4519" w:type="dxa"/>
            <w:tcBorders>
              <w:top w:val="nil"/>
              <w:left w:val="nil"/>
              <w:bottom w:val="nil"/>
              <w:right w:val="nil"/>
            </w:tcBorders>
            <w:tcMar>
              <w:top w:w="0" w:type="dxa"/>
              <w:left w:w="105" w:type="dxa"/>
              <w:bottom w:w="0" w:type="dxa"/>
              <w:right w:w="105" w:type="dxa"/>
            </w:tcMar>
            <w:hideMark/>
          </w:tcPr>
          <w:p w14:paraId="04B7C958" w14:textId="77777777" w:rsidR="00D92EDB" w:rsidRPr="00D92EDB" w:rsidRDefault="00D92EDB" w:rsidP="00D92EDB">
            <w:pPr>
              <w:spacing w:after="0" w:line="360" w:lineRule="auto"/>
              <w:jc w:val="both"/>
              <w:rPr>
                <w:rFonts w:ascii="Segoe UI" w:eastAsia="Times New Roman" w:hAnsi="Segoe UI" w:cs="Segoe UI"/>
                <w:sz w:val="21"/>
                <w:szCs w:val="21"/>
                <w:lang w:eastAsia="es-CO"/>
              </w:rPr>
            </w:pPr>
            <w:r w:rsidRPr="00D92EDB">
              <w:rPr>
                <w:rFonts w:ascii="Segoe UI" w:eastAsia="Times New Roman" w:hAnsi="Segoe UI" w:cs="Segoe UI"/>
                <w:sz w:val="21"/>
                <w:szCs w:val="21"/>
                <w:lang w:eastAsia="es-CO"/>
              </w:rPr>
              <w:t>Estados financieros semestrales - decretar dividendos</w:t>
            </w:r>
          </w:p>
        </w:tc>
      </w:tr>
    </w:tbl>
    <w:p w14:paraId="28647282"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089A238"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2B2112A4"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CONSULTA (TEXTUAL)</w:t>
      </w:r>
    </w:p>
    <w:p w14:paraId="2ED4DE51"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761A0DE"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“¿En mi empresa, puedo cerrar anticipadamente la contabilidad del primer semestre 2022 y posteriormente decretar dividendo?”</w:t>
      </w:r>
    </w:p>
    <w:p w14:paraId="37653D84"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41F5B4C3"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CONSIDERACIONES Y CONCEPTO</w:t>
      </w:r>
    </w:p>
    <w:p w14:paraId="0A248571"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6200968"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0615ADF5"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08BF34F2"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xml:space="preserve">Acerca de la pregunta planteada por el peticionario, el CTCP se ha pronunciado en diferentes ocasiones entorno a los dividendos, como se puede observar, entre otros, en los conceptos Nos. 2020-0521, 2019-0176, y 2017-0491, a los que podrá acceder en el </w:t>
      </w:r>
      <w:proofErr w:type="gramStart"/>
      <w:r w:rsidRPr="00D92EDB">
        <w:rPr>
          <w:rFonts w:ascii="Segoe UI" w:eastAsia="Times New Roman" w:hAnsi="Segoe UI" w:cs="Segoe UI"/>
          <w:color w:val="000000"/>
          <w:sz w:val="21"/>
          <w:szCs w:val="21"/>
          <w:lang w:eastAsia="es-CO"/>
        </w:rPr>
        <w:t>link</w:t>
      </w:r>
      <w:proofErr w:type="gramEnd"/>
      <w:r w:rsidRPr="00D92EDB">
        <w:rPr>
          <w:rFonts w:ascii="Segoe UI" w:eastAsia="Times New Roman" w:hAnsi="Segoe UI" w:cs="Segoe UI"/>
          <w:color w:val="000000"/>
          <w:sz w:val="21"/>
          <w:szCs w:val="21"/>
          <w:lang w:eastAsia="es-CO"/>
        </w:rPr>
        <w:t> </w:t>
      </w:r>
      <w:hyperlink r:id="rId5" w:tgtFrame="_blank" w:history="1">
        <w:r w:rsidRPr="00D92EDB">
          <w:rPr>
            <w:rFonts w:ascii="Segoe UI" w:eastAsia="Times New Roman" w:hAnsi="Segoe UI" w:cs="Segoe UI"/>
            <w:color w:val="0645AD"/>
            <w:sz w:val="21"/>
            <w:szCs w:val="21"/>
            <w:u w:val="single"/>
            <w:lang w:eastAsia="es-CO"/>
          </w:rPr>
          <w:t>www.ctcp.gov.co</w:t>
        </w:r>
      </w:hyperlink>
      <w:r w:rsidRPr="00D92EDB">
        <w:rPr>
          <w:rFonts w:ascii="Segoe UI" w:eastAsia="Times New Roman" w:hAnsi="Segoe UI" w:cs="Segoe UI"/>
          <w:color w:val="000000"/>
          <w:sz w:val="21"/>
          <w:szCs w:val="21"/>
          <w:lang w:eastAsia="es-CO"/>
        </w:rPr>
        <w:t>, enlace conceptos</w:t>
      </w:r>
    </w:p>
    <w:p w14:paraId="2A5EF072"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173B18AA"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xml:space="preserve">La distribución de utilidades, es una disposición de índole estatutaria de acuerdo con las determinaciones de la Ley 1258 de 2008; el término "dividendo" hace relación al resultado positivo obtenido por el ente económico como consecuencia de las operaciones realizadas durante el ejercicio, </w:t>
      </w:r>
      <w:r w:rsidRPr="00D92EDB">
        <w:rPr>
          <w:rFonts w:ascii="Segoe UI" w:eastAsia="Times New Roman" w:hAnsi="Segoe UI" w:cs="Segoe UI"/>
          <w:color w:val="000000"/>
          <w:sz w:val="21"/>
          <w:szCs w:val="21"/>
          <w:lang w:eastAsia="es-CO"/>
        </w:rPr>
        <w:lastRenderedPageBreak/>
        <w:t>expresión que según el diccionario de términos contables en Colombia, significa "</w:t>
      </w:r>
      <w:r w:rsidRPr="00D92EDB">
        <w:rPr>
          <w:rFonts w:ascii="Segoe UI" w:eastAsia="Times New Roman" w:hAnsi="Segoe UI" w:cs="Segoe UI"/>
          <w:i/>
          <w:iCs/>
          <w:color w:val="000000"/>
          <w:sz w:val="21"/>
          <w:szCs w:val="21"/>
          <w:lang w:eastAsia="es-CO"/>
        </w:rPr>
        <w:t>utilidad del período</w:t>
      </w:r>
      <w:r w:rsidRPr="00D92EDB">
        <w:rPr>
          <w:rFonts w:ascii="Segoe UI" w:eastAsia="Times New Roman" w:hAnsi="Segoe UI" w:cs="Segoe UI"/>
          <w:color w:val="000000"/>
          <w:sz w:val="21"/>
          <w:szCs w:val="21"/>
          <w:lang w:eastAsia="es-CO"/>
        </w:rPr>
        <w:t>" o el "</w:t>
      </w:r>
      <w:r w:rsidRPr="00D92EDB">
        <w:rPr>
          <w:rFonts w:ascii="Segoe UI" w:eastAsia="Times New Roman" w:hAnsi="Segoe UI" w:cs="Segoe UI"/>
          <w:i/>
          <w:iCs/>
          <w:color w:val="000000"/>
          <w:sz w:val="21"/>
          <w:szCs w:val="21"/>
          <w:lang w:eastAsia="es-CO"/>
        </w:rPr>
        <w:t>resultado económico del ejercicio obtenido, al deducir los egresos totales de los ingresos totales del ente contable</w:t>
      </w:r>
      <w:r w:rsidRPr="00D92EDB">
        <w:rPr>
          <w:rFonts w:ascii="Segoe UI" w:eastAsia="Times New Roman" w:hAnsi="Segoe UI" w:cs="Segoe UI"/>
          <w:color w:val="000000"/>
          <w:sz w:val="21"/>
          <w:szCs w:val="21"/>
          <w:lang w:eastAsia="es-CO"/>
        </w:rPr>
        <w:t>.”</w:t>
      </w:r>
    </w:p>
    <w:p w14:paraId="512DDDAA"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679DAD87"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Mediante concepto CTCP No. 2019-0678 se mencionó:</w:t>
      </w:r>
    </w:p>
    <w:p w14:paraId="27170E07"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A81F14B"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“Conforme la solicitud del peticionario, y de acuerdo con las normas legales vigentes, una entidad podrá establecer dentro de sus políticas contables cierres contables por períodos inferiores a un año; para ello, se ajustará a las normas legales y reglamentarias que sean pertinentes.</w:t>
      </w:r>
    </w:p>
    <w:p w14:paraId="2612A06A"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33A0D801"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xml:space="preserve">En este caso cada informe financiero preparado por un período inferior a un </w:t>
      </w:r>
      <w:proofErr w:type="gramStart"/>
      <w:r w:rsidRPr="00D92EDB">
        <w:rPr>
          <w:rFonts w:ascii="Segoe UI" w:eastAsia="Times New Roman" w:hAnsi="Segoe UI" w:cs="Segoe UI"/>
          <w:i/>
          <w:iCs/>
          <w:color w:val="000000"/>
          <w:sz w:val="21"/>
          <w:szCs w:val="21"/>
          <w:lang w:eastAsia="es-CO"/>
        </w:rPr>
        <w:t>año,</w:t>
      </w:r>
      <w:proofErr w:type="gramEnd"/>
      <w:r w:rsidRPr="00D92EDB">
        <w:rPr>
          <w:rFonts w:ascii="Segoe UI" w:eastAsia="Times New Roman" w:hAnsi="Segoe UI" w:cs="Segoe UI"/>
          <w:i/>
          <w:iCs/>
          <w:color w:val="000000"/>
          <w:sz w:val="21"/>
          <w:szCs w:val="21"/>
          <w:lang w:eastAsia="es-CO"/>
        </w:rPr>
        <w:t xml:space="preserve"> se entendería que representa un cierre distinto, esto es un estado financiero de propósito general, el cual debería ser elaborado conforme a los requerimientos del marco técnico; sin perjuicio de que también se cumplan los requerimientos legales que exigen elaborar al final de cada año calendario, un inventario y un balance general de conformidad con lo dispuesto en el artículo 152 del Código de Comercio.</w:t>
      </w:r>
    </w:p>
    <w:p w14:paraId="3C8B5B81"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49424618"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Respecto del pago de dividendos, con fundamento en estados financieros de propósito general semestrales, le recomendamos revisar el contenido del oficio No. 220-36397 del 30 - 06 - 96, emitido por la Superintendencia de sociedades, en la cual se dan directrices sobre el tema</w:t>
      </w:r>
      <w:hyperlink r:id="rId6" w:anchor="cite_note-1" w:history="1">
        <w:r w:rsidRPr="00D92EDB">
          <w:rPr>
            <w:rFonts w:ascii="Segoe UI" w:eastAsia="Times New Roman" w:hAnsi="Segoe UI" w:cs="Segoe UI"/>
            <w:color w:val="0645AD"/>
            <w:sz w:val="21"/>
            <w:szCs w:val="21"/>
            <w:u w:val="single"/>
            <w:vertAlign w:val="superscript"/>
            <w:lang w:eastAsia="es-CO"/>
          </w:rPr>
          <w:t>1</w:t>
        </w:r>
      </w:hyperlink>
    </w:p>
    <w:p w14:paraId="0E87E595"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0E7F36F6"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Un extracto del concepto referido anteriormente es el siguiente:</w:t>
      </w:r>
    </w:p>
    <w:p w14:paraId="416C26D3"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6D1A53FA"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De esta manera una sociedad, cualquiera sea su naturaleza, puede pactar en sus estatutos cortes de ejercicios contables que sean diferentes al período anual del 31 de diciembre, siempre que se haga, a fin de cada año calendario, un inventario y un balance general de conformidad con lo dispuesto en el artículo 152 del Código de Comercio.</w:t>
      </w:r>
    </w:p>
    <w:p w14:paraId="26148A2B"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7D056045"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De esta manera una sociedad, cualquiera sea su naturaleza, puede pactar en sus estatutos cortes de ejercicios contables que sean diferentes al período anual del 31 de diciembre, siempre que se haga, a fin de cada año calendario, un inventario y un balance general de conformidad con lo dispuesto en el artículo 152 del Código de Comercio.</w:t>
      </w:r>
    </w:p>
    <w:p w14:paraId="524B304D"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2988CFEB"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Ahora bien, respecto de si puede dividirse el período anual en varios períodos con el fin de hacer más frecuentes los repartos de dividendos durante un mismo año calendario, es del caso precisar que:</w:t>
      </w:r>
    </w:p>
    <w:p w14:paraId="009D2AF7"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2885E8E0"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xml:space="preserve">Compete al máximo órgano social, decidir, entre otros asuntos, acerca de los dividendos sociales, como quiera que, a más de numerosas razones, es un elemento de la esencia del contrato social, (artículo 98 C. de Co.), postulado normado por el artículo 187 del Código de Comercio, según el cual, la junta de socios o asamblea, según se trate, ejercerá sin perjuicio de las funciones especiales propias </w:t>
      </w:r>
      <w:r w:rsidRPr="00D92EDB">
        <w:rPr>
          <w:rFonts w:ascii="Segoe UI" w:eastAsia="Times New Roman" w:hAnsi="Segoe UI" w:cs="Segoe UI"/>
          <w:i/>
          <w:iCs/>
          <w:color w:val="000000"/>
          <w:sz w:val="21"/>
          <w:szCs w:val="21"/>
          <w:lang w:eastAsia="es-CO"/>
        </w:rPr>
        <w:lastRenderedPageBreak/>
        <w:t>de cada tipo social, las funciones generales en él relacionadas, como es, particularmente, "disponer de las utilidades sociales conforme al contrato social y a las leyes".</w:t>
      </w:r>
    </w:p>
    <w:p w14:paraId="3443941F"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1F9637D4"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Sobre el particular, ha considerado el Consejo de Estado:</w:t>
      </w:r>
    </w:p>
    <w:p w14:paraId="60E87194"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05A2DBE"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"Por otra parte, es orden meridiana del artículo 151 del estatuto mercantil que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de los ejercicios siguientes, mientras no se absorba o reponga lo distribuido en dicha forma.</w:t>
      </w:r>
    </w:p>
    <w:p w14:paraId="2E99B4A1"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9B35FD3"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Tampoco podrán distribuirse utilidades mientras no se hayan enjugado las pérdidas de ejercicios anteriores que afecten el capital".</w:t>
      </w:r>
    </w:p>
    <w:p w14:paraId="51700B9A"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279E6A4"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xml:space="preserve">Por su parte, el artículo 155 </w:t>
      </w:r>
      <w:proofErr w:type="spellStart"/>
      <w:r w:rsidRPr="00D92EDB">
        <w:rPr>
          <w:rFonts w:ascii="Segoe UI" w:eastAsia="Times New Roman" w:hAnsi="Segoe UI" w:cs="Segoe UI"/>
          <w:i/>
          <w:iCs/>
          <w:color w:val="000000"/>
          <w:sz w:val="21"/>
          <w:szCs w:val="21"/>
          <w:lang w:eastAsia="es-CO"/>
        </w:rPr>
        <w:t>ibídem</w:t>
      </w:r>
      <w:proofErr w:type="spellEnd"/>
      <w:r w:rsidRPr="00D92EDB">
        <w:rPr>
          <w:rFonts w:ascii="Segoe UI" w:eastAsia="Times New Roman" w:hAnsi="Segoe UI" w:cs="Segoe UI"/>
          <w:i/>
          <w:iCs/>
          <w:color w:val="000000"/>
          <w:sz w:val="21"/>
          <w:szCs w:val="21"/>
          <w:lang w:eastAsia="es-CO"/>
        </w:rPr>
        <w:t xml:space="preserve"> señala que "salvo determinación en contrario, aprobada por el setenta por ciento de las acciones, cuotas o partes de interés representadas en la asamblea o en la junta de socios, las sociedades repartirán, a título de dividendos o participación, no menos del cincuenta por ciento de las utilidades líquidas obtenidas en cada ejercicio o del saldo de </w:t>
      </w:r>
      <w:proofErr w:type="gramStart"/>
      <w:r w:rsidRPr="00D92EDB">
        <w:rPr>
          <w:rFonts w:ascii="Segoe UI" w:eastAsia="Times New Roman" w:hAnsi="Segoe UI" w:cs="Segoe UI"/>
          <w:i/>
          <w:iCs/>
          <w:color w:val="000000"/>
          <w:sz w:val="21"/>
          <w:szCs w:val="21"/>
          <w:lang w:eastAsia="es-CO"/>
        </w:rPr>
        <w:t>las mismas</w:t>
      </w:r>
      <w:proofErr w:type="gramEnd"/>
      <w:r w:rsidRPr="00D92EDB">
        <w:rPr>
          <w:rFonts w:ascii="Segoe UI" w:eastAsia="Times New Roman" w:hAnsi="Segoe UI" w:cs="Segoe UI"/>
          <w:i/>
          <w:iCs/>
          <w:color w:val="000000"/>
          <w:sz w:val="21"/>
          <w:szCs w:val="21"/>
          <w:lang w:eastAsia="es-CO"/>
        </w:rPr>
        <w:t>, si tuviere que enjugar pérdidas de ejercicios anteriores".</w:t>
      </w:r>
    </w:p>
    <w:p w14:paraId="2991F74C"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FC8F0A7"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Se debe tener en cuenta, asimismo, que dichas utilidades habrán de pagarse dentro del año siguiente a la fecha en que se decreten, al tenor del inciso 2°. del artículo 156 de la obra mercantil y formarán parte del pasivo externo las sumas debidas a los asociados por concepto de utilidades. (Inciso 1°. ídem)</w:t>
      </w:r>
    </w:p>
    <w:p w14:paraId="3AC532E6"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Es corolario de lo anterior, que:</w:t>
      </w:r>
    </w:p>
    <w:p w14:paraId="3A3E818A"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0AFC58C3"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Es a los socios reunidos en el máximo órgano social, llamado junta de socios o asamblea general de accionistas, a quienes compete, exclusivamente, determinar y disponer de las utilidades sociales de acuerdo con lo estipulado en los estatutos y en las leyes.</w:t>
      </w:r>
    </w:p>
    <w:p w14:paraId="0DE5EB36"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487D3D33"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(Art 151 del C de Co.)</w:t>
      </w:r>
    </w:p>
    <w:p w14:paraId="07A1AB6B"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6039CBD6"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En contravención a lo anterior, esto es, repartiéndose dichas sumas sin que se hallen justificadas en balances reales y fidedignos, no podrán repetirse aquellas contra los asociados de buena fe, debiéndose no reparar utilidades de siguientes ejercicios hasta tanto no se absorba o reponga lo distribuido en dicha forma.</w:t>
      </w:r>
    </w:p>
    <w:p w14:paraId="244DB1C7"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3A9DB62" w14:textId="77777777" w:rsidR="00D92EDB" w:rsidRPr="00D92EDB" w:rsidRDefault="00D92EDB" w:rsidP="00D92EDB">
      <w:pPr>
        <w:spacing w:after="0" w:line="360" w:lineRule="auto"/>
        <w:ind w:left="284"/>
        <w:jc w:val="both"/>
        <w:rPr>
          <w:rFonts w:ascii="Segoe UI" w:eastAsia="Times New Roman" w:hAnsi="Segoe UI" w:cs="Segoe UI"/>
          <w:color w:val="000000"/>
          <w:sz w:val="21"/>
          <w:szCs w:val="21"/>
          <w:lang w:eastAsia="es-CO"/>
        </w:rPr>
      </w:pPr>
      <w:r w:rsidRPr="00D92EDB">
        <w:rPr>
          <w:rFonts w:ascii="Segoe UI" w:eastAsia="Times New Roman" w:hAnsi="Segoe UI" w:cs="Segoe UI"/>
          <w:i/>
          <w:iCs/>
          <w:color w:val="000000"/>
          <w:sz w:val="21"/>
          <w:szCs w:val="21"/>
          <w:lang w:eastAsia="es-CO"/>
        </w:rPr>
        <w:t xml:space="preserve">De esta manera, sobre el entendido de la premisa acotada en el primer punto, es factible que se pueda dividir, por pacto estatutario, en varios períodos con el fin de hacer más frecuentes los repartos de dividendos durante el mismo año calendario, función y derecho, se reitera, que compete a la asamblea </w:t>
      </w:r>
      <w:r w:rsidRPr="00D92EDB">
        <w:rPr>
          <w:rFonts w:ascii="Segoe UI" w:eastAsia="Times New Roman" w:hAnsi="Segoe UI" w:cs="Segoe UI"/>
          <w:i/>
          <w:iCs/>
          <w:color w:val="000000"/>
          <w:sz w:val="21"/>
          <w:szCs w:val="21"/>
          <w:lang w:eastAsia="es-CO"/>
        </w:rPr>
        <w:lastRenderedPageBreak/>
        <w:t>o a la junta de socios, únicamente, con plena observancia de lo estipulado en el contrato social y en las leyes. (...)”</w:t>
      </w:r>
    </w:p>
    <w:p w14:paraId="3652325E"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0A630BFB"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En conclusión: </w:t>
      </w:r>
      <w:r w:rsidRPr="00D92EDB">
        <w:rPr>
          <w:rFonts w:ascii="Segoe UI" w:eastAsia="Times New Roman" w:hAnsi="Segoe UI" w:cs="Segoe UI"/>
          <w:color w:val="000000"/>
          <w:sz w:val="21"/>
          <w:szCs w:val="21"/>
          <w:lang w:eastAsia="es-CO"/>
        </w:rPr>
        <w:t>es potestad del máximo órgano social el decretar dividendos, </w:t>
      </w:r>
      <w:r w:rsidRPr="00D92EDB">
        <w:rPr>
          <w:rFonts w:ascii="Segoe UI" w:eastAsia="Times New Roman" w:hAnsi="Segoe UI" w:cs="Segoe UI"/>
          <w:i/>
          <w:iCs/>
          <w:color w:val="000000"/>
          <w:sz w:val="21"/>
          <w:szCs w:val="21"/>
          <w:lang w:eastAsia="es-CO"/>
        </w:rPr>
        <w:t>“en el evento que el reparto de los dividendos se haga con cargo a reservas, sí es posible decretarlos en una época que no corresponda a la del corte de cuentas de fin de ejercicio, puesto que de conformidad con lo establecido por el artículo 451 del Código de Comercio, en concordancia con lo regulado por el artículo 151 ídem, solo se podrán repartir entre los accionistas las utilidades aprobadas por la asamblea, justificadas por balances fidedignos, y después de hechas las reservas legal, estatutarias y ocasionales, así como las apropiaciones para el pago de impuestos, y ello solo es posible realizarlo respecto de los balances de fin de ejercicio, en donde se cortan cuentas y se establece el valor de las utilidades arrojadas</w:t>
      </w:r>
      <w:r w:rsidRPr="00D92EDB">
        <w:rPr>
          <w:rFonts w:ascii="Segoe UI" w:eastAsia="Times New Roman" w:hAnsi="Segoe UI" w:cs="Segoe UI"/>
          <w:color w:val="000000"/>
          <w:sz w:val="21"/>
          <w:szCs w:val="21"/>
          <w:lang w:eastAsia="es-CO"/>
        </w:rPr>
        <w:t>.”</w:t>
      </w:r>
      <w:hyperlink r:id="rId7" w:anchor="cite_note-2" w:history="1">
        <w:r w:rsidRPr="00D92EDB">
          <w:rPr>
            <w:rFonts w:ascii="Segoe UI" w:eastAsia="Times New Roman" w:hAnsi="Segoe UI" w:cs="Segoe UI"/>
            <w:color w:val="0645AD"/>
            <w:sz w:val="21"/>
            <w:szCs w:val="21"/>
            <w:u w:val="single"/>
            <w:vertAlign w:val="superscript"/>
            <w:lang w:eastAsia="es-CO"/>
          </w:rPr>
          <w:t>2</w:t>
        </w:r>
      </w:hyperlink>
    </w:p>
    <w:p w14:paraId="530E9FD1" w14:textId="77777777" w:rsidR="00D92EDB" w:rsidRDefault="00D92EDB" w:rsidP="00D92EDB">
      <w:pPr>
        <w:pStyle w:val="NormalWeb"/>
        <w:spacing w:before="0" w:beforeAutospacing="0" w:after="0" w:afterAutospacing="0" w:line="360" w:lineRule="auto"/>
        <w:jc w:val="both"/>
        <w:rPr>
          <w:rFonts w:ascii="Segoe UI" w:hAnsi="Segoe UI" w:cs="Segoe UI"/>
          <w:color w:val="000000"/>
          <w:sz w:val="21"/>
          <w:szCs w:val="21"/>
        </w:rPr>
      </w:pPr>
    </w:p>
    <w:p w14:paraId="0008DED3" w14:textId="02B19015" w:rsidR="00D92EDB" w:rsidRDefault="00D92EDB" w:rsidP="00D92ED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los términos anteriores se absuelve la consulta, indicando que, para hacerlo, este organismo se ciñó a la información presentada por el consultante y los efectos de este concepto son los previstos por el</w:t>
      </w:r>
    </w:p>
    <w:p w14:paraId="6F5902EA" w14:textId="77777777" w:rsidR="00D92EDB" w:rsidRDefault="00D92EDB" w:rsidP="00D92ED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artículo 28 de la Ley 1437 de 2011, modificado por el artículo 1 de la Ley 1755 de 2015.</w:t>
      </w:r>
    </w:p>
    <w:p w14:paraId="5390E65C" w14:textId="77777777" w:rsidR="00D92EDB" w:rsidRDefault="00D92EDB" w:rsidP="00D92EDB">
      <w:pPr>
        <w:spacing w:after="0" w:line="360" w:lineRule="auto"/>
        <w:jc w:val="both"/>
        <w:rPr>
          <w:rFonts w:ascii="Segoe UI" w:eastAsia="Times New Roman" w:hAnsi="Segoe UI" w:cs="Segoe UI"/>
          <w:color w:val="000000"/>
          <w:sz w:val="21"/>
          <w:szCs w:val="21"/>
          <w:lang w:eastAsia="es-CO"/>
        </w:rPr>
      </w:pPr>
    </w:p>
    <w:p w14:paraId="1BA7C510" w14:textId="77777777" w:rsidR="00D92EDB" w:rsidRDefault="00D92EDB" w:rsidP="00D92EDB">
      <w:pPr>
        <w:spacing w:after="0" w:line="360" w:lineRule="auto"/>
        <w:jc w:val="both"/>
        <w:rPr>
          <w:rFonts w:ascii="Segoe UI" w:eastAsia="Times New Roman" w:hAnsi="Segoe UI" w:cs="Segoe UI"/>
          <w:color w:val="000000"/>
          <w:sz w:val="21"/>
          <w:szCs w:val="21"/>
          <w:lang w:eastAsia="es-CO"/>
        </w:rPr>
      </w:pPr>
    </w:p>
    <w:p w14:paraId="3382AE56" w14:textId="78E24616"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Cordialmente,</w:t>
      </w:r>
    </w:p>
    <w:p w14:paraId="3766EF09"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02ED054A"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 </w:t>
      </w:r>
    </w:p>
    <w:p w14:paraId="59F09344"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b/>
          <w:bCs/>
          <w:color w:val="000000"/>
          <w:sz w:val="21"/>
          <w:szCs w:val="21"/>
          <w:lang w:eastAsia="es-CO"/>
        </w:rPr>
        <w:t>CARLOS AUGUSTO MOLANO RODRIGUEZ</w:t>
      </w:r>
    </w:p>
    <w:p w14:paraId="7D4E780F" w14:textId="77777777" w:rsidR="00D92EDB" w:rsidRPr="00D92EDB" w:rsidRDefault="00D92EDB" w:rsidP="00D92EDB">
      <w:pPr>
        <w:spacing w:after="0" w:line="360" w:lineRule="auto"/>
        <w:jc w:val="both"/>
        <w:rPr>
          <w:rFonts w:ascii="Segoe UI" w:eastAsia="Times New Roman" w:hAnsi="Segoe UI" w:cs="Segoe UI"/>
          <w:color w:val="000000"/>
          <w:sz w:val="21"/>
          <w:szCs w:val="21"/>
          <w:lang w:eastAsia="es-CO"/>
        </w:rPr>
      </w:pPr>
      <w:r w:rsidRPr="00D92EDB">
        <w:rPr>
          <w:rFonts w:ascii="Segoe UI" w:eastAsia="Times New Roman" w:hAnsi="Segoe UI" w:cs="Segoe UI"/>
          <w:color w:val="000000"/>
          <w:sz w:val="21"/>
          <w:szCs w:val="21"/>
          <w:lang w:eastAsia="es-CO"/>
        </w:rPr>
        <w:t>Consejero CTCP</w:t>
      </w:r>
    </w:p>
    <w:p w14:paraId="33634A80" w14:textId="402CF7C3" w:rsidR="00D92EDB" w:rsidRPr="00D92EDB" w:rsidRDefault="00D92EDB" w:rsidP="00D92EDB">
      <w:pPr>
        <w:spacing w:after="285" w:line="360" w:lineRule="auto"/>
        <w:jc w:val="both"/>
        <w:outlineLvl w:val="2"/>
        <w:rPr>
          <w:rFonts w:ascii="Segoe UI" w:eastAsia="Times New Roman" w:hAnsi="Segoe UI" w:cs="Segoe UI"/>
          <w:b/>
          <w:bCs/>
          <w:color w:val="000000"/>
          <w:sz w:val="21"/>
          <w:szCs w:val="21"/>
          <w:lang w:eastAsia="es-CO"/>
        </w:rPr>
      </w:pPr>
      <w:r w:rsidRPr="00D92EDB">
        <w:rPr>
          <w:rFonts w:ascii="Segoe UI" w:eastAsia="Times New Roman" w:hAnsi="Segoe UI" w:cs="Segoe UI"/>
          <w:b/>
          <w:bCs/>
          <w:color w:val="000000"/>
          <w:sz w:val="21"/>
          <w:szCs w:val="21"/>
          <w:lang w:eastAsia="es-CO"/>
        </w:rPr>
        <w:t>Notas al pie</w:t>
      </w:r>
    </w:p>
    <w:p w14:paraId="6B203AC0" w14:textId="253020CC" w:rsidR="00D92EDB" w:rsidRDefault="00D92EDB" w:rsidP="00D92EDB">
      <w:pPr>
        <w:spacing w:line="360" w:lineRule="auto"/>
      </w:pPr>
      <w:r>
        <w:t>_____________________________________________________________________________</w:t>
      </w:r>
    </w:p>
    <w:p w14:paraId="37F5AFD7" w14:textId="77777777" w:rsidR="00D92EDB" w:rsidRDefault="00D92EDB" w:rsidP="00D92EDB">
      <w:pPr>
        <w:spacing w:line="360" w:lineRule="auto"/>
      </w:pPr>
      <w:r>
        <w:t>↑ Ver: https://supersociedades.gov.co/nuestra_entidad/normatividad/normatividad_conceptos_contables/17380.pdf;</w:t>
      </w:r>
    </w:p>
    <w:p w14:paraId="6767A11F" w14:textId="77777777" w:rsidR="00D92EDB" w:rsidRDefault="00D92EDB" w:rsidP="00D92EDB">
      <w:pPr>
        <w:spacing w:line="360" w:lineRule="auto"/>
      </w:pPr>
      <w:r>
        <w:t>↑ Ver https://www.supersociedades.gov.co/nuestra_entidad/normatividad/normatividad_conceptos_juridicos/12278.pdf</w:t>
      </w:r>
    </w:p>
    <w:p w14:paraId="574BB986" w14:textId="0D9D102F" w:rsidR="00D92EDB" w:rsidRDefault="00D92EDB" w:rsidP="00D92EDB">
      <w:pPr>
        <w:spacing w:line="360" w:lineRule="auto"/>
      </w:pPr>
      <w:r>
        <w:tab/>
      </w:r>
    </w:p>
    <w:p w14:paraId="5642EB25" w14:textId="6043DA3C" w:rsidR="00D92EDB" w:rsidRDefault="00D92EDB" w:rsidP="00D92EDB">
      <w:pPr>
        <w:spacing w:line="360" w:lineRule="auto"/>
      </w:pPr>
    </w:p>
    <w:p w14:paraId="261809F0" w14:textId="03420360" w:rsidR="00D92EDB" w:rsidRDefault="00D92EDB" w:rsidP="00D92EDB">
      <w:pPr>
        <w:spacing w:line="360" w:lineRule="auto"/>
      </w:pPr>
    </w:p>
    <w:sectPr w:rsidR="00D92ED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1B3"/>
    <w:multiLevelType w:val="multilevel"/>
    <w:tmpl w:val="68144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857C78"/>
    <w:multiLevelType w:val="multilevel"/>
    <w:tmpl w:val="9D62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C2E27"/>
    <w:multiLevelType w:val="multilevel"/>
    <w:tmpl w:val="8506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3145B"/>
    <w:multiLevelType w:val="multilevel"/>
    <w:tmpl w:val="579A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692545">
    <w:abstractNumId w:val="0"/>
  </w:num>
  <w:num w:numId="2" w16cid:durableId="2062248083">
    <w:abstractNumId w:val="3"/>
  </w:num>
  <w:num w:numId="3" w16cid:durableId="602107091">
    <w:abstractNumId w:val="2"/>
  </w:num>
  <w:num w:numId="4" w16cid:durableId="196904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DB"/>
    <w:rsid w:val="000F3837"/>
    <w:rsid w:val="001E311E"/>
    <w:rsid w:val="00434AE6"/>
    <w:rsid w:val="007F5CC8"/>
    <w:rsid w:val="008779BE"/>
    <w:rsid w:val="00D02CB8"/>
    <w:rsid w:val="00D92ED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D71A"/>
  <w15:chartTrackingRefBased/>
  <w15:docId w15:val="{E891B96C-7613-46B3-9EE6-DE353A4F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2EDB"/>
    <w:rPr>
      <w:color w:val="0000FF"/>
      <w:u w:val="single"/>
    </w:rPr>
  </w:style>
  <w:style w:type="character" w:customStyle="1" w:styleId="reference-text">
    <w:name w:val="reference-text"/>
    <w:basedOn w:val="Fuentedeprrafopredeter"/>
    <w:rsid w:val="00D92EDB"/>
  </w:style>
  <w:style w:type="paragraph" w:styleId="NormalWeb">
    <w:name w:val="Normal (Web)"/>
    <w:basedOn w:val="Normal"/>
    <w:uiPriority w:val="99"/>
    <w:semiHidden/>
    <w:unhideWhenUsed/>
    <w:rsid w:val="00D92EDB"/>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8340">
      <w:bodyDiv w:val="1"/>
      <w:marLeft w:val="0"/>
      <w:marRight w:val="0"/>
      <w:marTop w:val="0"/>
      <w:marBottom w:val="0"/>
      <w:divBdr>
        <w:top w:val="none" w:sz="0" w:space="0" w:color="auto"/>
        <w:left w:val="none" w:sz="0" w:space="0" w:color="auto"/>
        <w:bottom w:val="none" w:sz="0" w:space="0" w:color="auto"/>
        <w:right w:val="none" w:sz="0" w:space="0" w:color="auto"/>
      </w:divBdr>
    </w:div>
    <w:div w:id="376199335">
      <w:bodyDiv w:val="1"/>
      <w:marLeft w:val="0"/>
      <w:marRight w:val="0"/>
      <w:marTop w:val="0"/>
      <w:marBottom w:val="0"/>
      <w:divBdr>
        <w:top w:val="none" w:sz="0" w:space="0" w:color="auto"/>
        <w:left w:val="none" w:sz="0" w:space="0" w:color="auto"/>
        <w:bottom w:val="none" w:sz="0" w:space="0" w:color="auto"/>
        <w:right w:val="none" w:sz="0" w:space="0" w:color="auto"/>
      </w:divBdr>
    </w:div>
    <w:div w:id="391774344">
      <w:bodyDiv w:val="1"/>
      <w:marLeft w:val="0"/>
      <w:marRight w:val="0"/>
      <w:marTop w:val="0"/>
      <w:marBottom w:val="0"/>
      <w:divBdr>
        <w:top w:val="none" w:sz="0" w:space="0" w:color="auto"/>
        <w:left w:val="none" w:sz="0" w:space="0" w:color="auto"/>
        <w:bottom w:val="none" w:sz="0" w:space="0" w:color="auto"/>
        <w:right w:val="none" w:sz="0" w:space="0" w:color="auto"/>
      </w:divBdr>
    </w:div>
    <w:div w:id="625545073">
      <w:bodyDiv w:val="1"/>
      <w:marLeft w:val="0"/>
      <w:marRight w:val="0"/>
      <w:marTop w:val="0"/>
      <w:marBottom w:val="0"/>
      <w:divBdr>
        <w:top w:val="none" w:sz="0" w:space="0" w:color="auto"/>
        <w:left w:val="none" w:sz="0" w:space="0" w:color="auto"/>
        <w:bottom w:val="none" w:sz="0" w:space="0" w:color="auto"/>
        <w:right w:val="none" w:sz="0" w:space="0" w:color="auto"/>
      </w:divBdr>
    </w:div>
    <w:div w:id="1190217942">
      <w:bodyDiv w:val="1"/>
      <w:marLeft w:val="0"/>
      <w:marRight w:val="0"/>
      <w:marTop w:val="0"/>
      <w:marBottom w:val="0"/>
      <w:divBdr>
        <w:top w:val="none" w:sz="0" w:space="0" w:color="auto"/>
        <w:left w:val="none" w:sz="0" w:space="0" w:color="auto"/>
        <w:bottom w:val="none" w:sz="0" w:space="0" w:color="auto"/>
        <w:right w:val="none" w:sz="0" w:space="0" w:color="auto"/>
      </w:divBdr>
    </w:div>
    <w:div w:id="1319117047">
      <w:bodyDiv w:val="1"/>
      <w:marLeft w:val="0"/>
      <w:marRight w:val="0"/>
      <w:marTop w:val="0"/>
      <w:marBottom w:val="0"/>
      <w:divBdr>
        <w:top w:val="none" w:sz="0" w:space="0" w:color="auto"/>
        <w:left w:val="none" w:sz="0" w:space="0" w:color="auto"/>
        <w:bottom w:val="none" w:sz="0" w:space="0" w:color="auto"/>
        <w:right w:val="none" w:sz="0" w:space="0" w:color="auto"/>
      </w:divBdr>
    </w:div>
    <w:div w:id="1595824592">
      <w:bodyDiv w:val="1"/>
      <w:marLeft w:val="0"/>
      <w:marRight w:val="0"/>
      <w:marTop w:val="0"/>
      <w:marBottom w:val="0"/>
      <w:divBdr>
        <w:top w:val="none" w:sz="0" w:space="0" w:color="auto"/>
        <w:left w:val="none" w:sz="0" w:space="0" w:color="auto"/>
        <w:bottom w:val="none" w:sz="0" w:space="0" w:color="auto"/>
        <w:right w:val="none" w:sz="0" w:space="0" w:color="auto"/>
      </w:divBdr>
    </w:div>
    <w:div w:id="1701514350">
      <w:bodyDiv w:val="1"/>
      <w:marLeft w:val="0"/>
      <w:marRight w:val="0"/>
      <w:marTop w:val="0"/>
      <w:marBottom w:val="0"/>
      <w:divBdr>
        <w:top w:val="none" w:sz="0" w:space="0" w:color="auto"/>
        <w:left w:val="none" w:sz="0" w:space="0" w:color="auto"/>
        <w:bottom w:val="none" w:sz="0" w:space="0" w:color="auto"/>
        <w:right w:val="none" w:sz="0" w:space="0" w:color="auto"/>
      </w:divBdr>
    </w:div>
    <w:div w:id="18284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44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4955" TargetMode="External"/><Relationship Id="rId5" Type="http://schemas.openxmlformats.org/officeDocument/2006/relationships/hyperlink" Target="http://www.ctcp.gov.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2022-10-27T19:46:00Z</dcterms:created>
  <dcterms:modified xsi:type="dcterms:W3CDTF">2022-10-27T20:00:00Z</dcterms:modified>
</cp:coreProperties>
</file>