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34834D" w14:textId="77777777" w:rsidR="00CD63EB" w:rsidRPr="00CD63EB" w:rsidRDefault="00CD63EB" w:rsidP="00276A2E">
      <w:pPr>
        <w:jc w:val="center"/>
        <w:rPr>
          <w:rFonts w:ascii="Segoe UI" w:eastAsia="Times New Roman" w:hAnsi="Segoe UI" w:cs="Segoe UI"/>
          <w:b/>
          <w:bCs/>
          <w:color w:val="0000FF"/>
          <w:sz w:val="28"/>
          <w:lang w:val="es-CO" w:eastAsia="es-ES"/>
        </w:rPr>
      </w:pPr>
      <w:r w:rsidRPr="00CD63EB">
        <w:rPr>
          <w:rFonts w:ascii="Segoe UI" w:eastAsia="Times New Roman" w:hAnsi="Segoe UI" w:cs="Segoe UI"/>
          <w:b/>
          <w:bCs/>
          <w:color w:val="0000FF"/>
          <w:sz w:val="28"/>
          <w:lang w:val="es-CO" w:eastAsia="es-ES"/>
        </w:rPr>
        <w:t>CONSEJO DE ESTADO</w:t>
      </w:r>
    </w:p>
    <w:p w14:paraId="659E1170" w14:textId="77777777" w:rsidR="00CD63EB" w:rsidRPr="00CD63EB" w:rsidRDefault="00CD63EB" w:rsidP="00276A2E">
      <w:pPr>
        <w:jc w:val="center"/>
        <w:rPr>
          <w:rFonts w:ascii="Segoe UI" w:eastAsia="Times New Roman" w:hAnsi="Segoe UI" w:cs="Segoe UI"/>
          <w:b/>
          <w:bCs/>
          <w:color w:val="0000FF"/>
          <w:sz w:val="28"/>
          <w:lang w:val="es-CO" w:eastAsia="es-ES"/>
        </w:rPr>
      </w:pPr>
      <w:r w:rsidRPr="00CD63EB">
        <w:rPr>
          <w:rFonts w:ascii="Segoe UI" w:eastAsia="Times New Roman" w:hAnsi="Segoe UI" w:cs="Segoe UI"/>
          <w:b/>
          <w:bCs/>
          <w:color w:val="0000FF"/>
          <w:sz w:val="28"/>
          <w:lang w:val="es-CO" w:eastAsia="es-ES"/>
        </w:rPr>
        <w:t>SALA DE LO CONTENCIOSO ADMINISTRATIVO</w:t>
      </w:r>
    </w:p>
    <w:p w14:paraId="7C0FE82D" w14:textId="77777777" w:rsidR="00CD63EB" w:rsidRPr="00CD63EB" w:rsidRDefault="00CD63EB" w:rsidP="00276A2E">
      <w:pPr>
        <w:jc w:val="center"/>
        <w:rPr>
          <w:rFonts w:ascii="Segoe UI" w:eastAsia="Times New Roman" w:hAnsi="Segoe UI" w:cs="Segoe UI"/>
          <w:b/>
          <w:color w:val="0000FF"/>
          <w:sz w:val="28"/>
          <w:lang w:val="es-CO" w:eastAsia="es-ES"/>
        </w:rPr>
      </w:pPr>
      <w:r w:rsidRPr="00CD63EB">
        <w:rPr>
          <w:rFonts w:ascii="Segoe UI" w:eastAsia="Times New Roman" w:hAnsi="Segoe UI" w:cs="Segoe UI"/>
          <w:b/>
          <w:color w:val="0000FF"/>
          <w:sz w:val="28"/>
          <w:lang w:val="es-CO" w:eastAsia="es-ES"/>
        </w:rPr>
        <w:t>SECCIÓN CUARTA</w:t>
      </w:r>
    </w:p>
    <w:p w14:paraId="094AF52C" w14:textId="77777777" w:rsidR="00CD63EB" w:rsidRPr="00CD63EB" w:rsidRDefault="00CD63EB" w:rsidP="00276A2E">
      <w:pPr>
        <w:jc w:val="center"/>
        <w:rPr>
          <w:rFonts w:ascii="Segoe UI" w:eastAsia="Times New Roman" w:hAnsi="Segoe UI" w:cs="Segoe UI"/>
          <w:b/>
          <w:color w:val="0000FF"/>
          <w:sz w:val="28"/>
          <w:lang w:val="es-CO" w:eastAsia="es-ES"/>
        </w:rPr>
      </w:pPr>
    </w:p>
    <w:p w14:paraId="1BAC3EFA" w14:textId="77777777" w:rsidR="00CD63EB" w:rsidRPr="00CD63EB" w:rsidRDefault="00CD63EB" w:rsidP="00276A2E">
      <w:pPr>
        <w:widowControl w:val="0"/>
        <w:jc w:val="center"/>
        <w:rPr>
          <w:rFonts w:ascii="Segoe UI" w:eastAsia="Times New Roman" w:hAnsi="Segoe UI" w:cs="Segoe UI"/>
          <w:b/>
          <w:bCs/>
          <w:color w:val="0000FF"/>
          <w:sz w:val="28"/>
          <w:lang w:val="es-CO" w:eastAsia="es-ES"/>
        </w:rPr>
      </w:pPr>
      <w:r w:rsidRPr="00CD63EB">
        <w:rPr>
          <w:rFonts w:ascii="Segoe UI" w:eastAsia="Times New Roman" w:hAnsi="Segoe UI" w:cs="Segoe UI"/>
          <w:b/>
          <w:color w:val="0000FF"/>
          <w:sz w:val="28"/>
          <w:lang w:val="es-CO" w:eastAsia="es-ES"/>
        </w:rPr>
        <w:t>Consejero ponente: JULIO ROBERTO PIZA RODRÍGUEZ</w:t>
      </w:r>
    </w:p>
    <w:p w14:paraId="39F8B3D2" w14:textId="77777777" w:rsidR="00CD63EB" w:rsidRPr="00CD63EB" w:rsidRDefault="00CD63EB" w:rsidP="00276A2E">
      <w:pPr>
        <w:widowControl w:val="0"/>
        <w:jc w:val="center"/>
        <w:rPr>
          <w:rFonts w:ascii="Segoe UI" w:eastAsia="Times New Roman" w:hAnsi="Segoe UI" w:cs="Segoe UI"/>
          <w:b/>
          <w:color w:val="0000FF"/>
          <w:sz w:val="28"/>
          <w:lang w:val="es-CO" w:eastAsia="es-ES"/>
        </w:rPr>
      </w:pPr>
      <w:r w:rsidRPr="00CD63EB">
        <w:rPr>
          <w:rFonts w:ascii="Segoe UI" w:eastAsia="Times New Roman" w:hAnsi="Segoe UI" w:cs="Segoe UI"/>
          <w:b/>
          <w:color w:val="0000FF"/>
          <w:sz w:val="28"/>
          <w:lang w:val="es-CO" w:eastAsia="es-ES"/>
        </w:rPr>
        <w:t>Bogotá, D.C., veinte (20) de septiembre de dos mil dieciocho (2018)</w:t>
      </w:r>
    </w:p>
    <w:p w14:paraId="15173F35" w14:textId="77777777" w:rsidR="00CD63EB" w:rsidRPr="00CD63EB" w:rsidRDefault="00CD63EB" w:rsidP="00276A2E">
      <w:pPr>
        <w:widowControl w:val="0"/>
        <w:jc w:val="center"/>
        <w:rPr>
          <w:rFonts w:ascii="Segoe UI" w:eastAsia="Times New Roman" w:hAnsi="Segoe UI" w:cs="Segoe UI"/>
          <w:b/>
          <w:color w:val="0000FF"/>
          <w:sz w:val="28"/>
          <w:lang w:val="es-CO" w:eastAsia="es-ES"/>
        </w:rPr>
      </w:pPr>
      <w:r w:rsidRPr="00CD63EB">
        <w:rPr>
          <w:rFonts w:ascii="Segoe UI" w:eastAsia="Times New Roman" w:hAnsi="Segoe UI" w:cs="Segoe UI"/>
          <w:b/>
          <w:bCs/>
          <w:color w:val="0000FF"/>
          <w:sz w:val="28"/>
          <w:lang w:val="es-CO" w:eastAsia="es-ES"/>
        </w:rPr>
        <w:t xml:space="preserve">Radicación número: </w:t>
      </w:r>
      <w:r w:rsidRPr="00CD63EB">
        <w:rPr>
          <w:rFonts w:ascii="Segoe UI" w:eastAsia="Times New Roman" w:hAnsi="Segoe UI" w:cs="Segoe UI"/>
          <w:b/>
          <w:color w:val="0000FF"/>
          <w:sz w:val="28"/>
          <w:lang w:val="es-CO" w:eastAsia="es-ES"/>
        </w:rPr>
        <w:t>25000-23-37-000-2014-01213-01 (22489)</w:t>
      </w:r>
    </w:p>
    <w:p w14:paraId="37E08568" w14:textId="77777777" w:rsidR="00CD63EB" w:rsidRPr="00CD63EB" w:rsidRDefault="00CD63EB" w:rsidP="00276A2E">
      <w:pPr>
        <w:widowControl w:val="0"/>
        <w:jc w:val="center"/>
        <w:rPr>
          <w:rFonts w:ascii="Segoe UI" w:eastAsia="Times New Roman" w:hAnsi="Segoe UI" w:cs="Segoe UI"/>
          <w:b/>
          <w:color w:val="0000FF"/>
          <w:sz w:val="28"/>
          <w:lang w:val="es-CO" w:eastAsia="es-ES"/>
        </w:rPr>
      </w:pPr>
      <w:r w:rsidRPr="00CD63EB">
        <w:rPr>
          <w:rFonts w:ascii="Segoe UI" w:eastAsia="Times New Roman" w:hAnsi="Segoe UI" w:cs="Segoe UI"/>
          <w:b/>
          <w:color w:val="0000FF"/>
          <w:sz w:val="28"/>
          <w:lang w:val="es-CO" w:eastAsia="es-ES"/>
        </w:rPr>
        <w:t>Actor: IDT ELECTRIC LTDA.</w:t>
      </w:r>
    </w:p>
    <w:p w14:paraId="3B6AC69D" w14:textId="77777777" w:rsidR="00CD63EB" w:rsidRPr="00CD63EB" w:rsidRDefault="00CD63EB" w:rsidP="00276A2E">
      <w:pPr>
        <w:widowControl w:val="0"/>
        <w:jc w:val="center"/>
        <w:rPr>
          <w:rFonts w:ascii="Segoe UI" w:eastAsia="Times New Roman" w:hAnsi="Segoe UI" w:cs="Segoe UI"/>
          <w:b/>
          <w:color w:val="0000FF"/>
          <w:sz w:val="28"/>
          <w:lang w:val="es-CO" w:eastAsia="es-ES"/>
        </w:rPr>
      </w:pPr>
      <w:r w:rsidRPr="00CD63EB">
        <w:rPr>
          <w:rFonts w:ascii="Segoe UI" w:eastAsia="Times New Roman" w:hAnsi="Segoe UI" w:cs="Segoe UI"/>
          <w:b/>
          <w:color w:val="0000FF"/>
          <w:sz w:val="28"/>
          <w:lang w:val="es-CO" w:eastAsia="es-ES"/>
        </w:rPr>
        <w:t>Demandado: DIRECCIÓN DE IMPUESTOS Y ADUANAS NACIONALES-DIAN</w:t>
      </w:r>
    </w:p>
    <w:p w14:paraId="0A525B17" w14:textId="77777777" w:rsidR="00CD63EB" w:rsidRPr="00CD63EB" w:rsidRDefault="00CD63EB" w:rsidP="00276A2E">
      <w:pPr>
        <w:widowControl w:val="0"/>
        <w:jc w:val="center"/>
        <w:rPr>
          <w:rFonts w:ascii="Segoe UI" w:eastAsia="Times New Roman" w:hAnsi="Segoe UI" w:cs="Segoe UI"/>
          <w:b/>
          <w:color w:val="0000FF"/>
          <w:sz w:val="28"/>
          <w:lang w:val="es-CO" w:eastAsia="es-ES"/>
        </w:rPr>
      </w:pPr>
    </w:p>
    <w:p w14:paraId="147D43F8" w14:textId="77777777" w:rsidR="00CD63EB" w:rsidRPr="00CD63EB" w:rsidRDefault="00CD63EB" w:rsidP="00276A2E">
      <w:pPr>
        <w:widowControl w:val="0"/>
        <w:jc w:val="center"/>
        <w:rPr>
          <w:rFonts w:ascii="Segoe UI" w:eastAsia="Times New Roman" w:hAnsi="Segoe UI" w:cs="Segoe UI"/>
          <w:b/>
          <w:color w:val="0000FF"/>
          <w:sz w:val="28"/>
          <w:lang w:val="es-CO" w:eastAsia="es-ES"/>
        </w:rPr>
      </w:pPr>
      <w:r w:rsidRPr="00CD63EB">
        <w:rPr>
          <w:rFonts w:ascii="Segoe UI" w:eastAsia="Times New Roman" w:hAnsi="Segoe UI" w:cs="Segoe UI"/>
          <w:b/>
          <w:color w:val="0000FF"/>
          <w:sz w:val="28"/>
          <w:lang w:val="es-CO" w:eastAsia="es-ES"/>
        </w:rPr>
        <w:t>FALLO</w:t>
      </w:r>
    </w:p>
    <w:p w14:paraId="24A546EE" w14:textId="77777777" w:rsidR="00CD63EB" w:rsidRPr="00CD63EB" w:rsidRDefault="00CD63EB" w:rsidP="00276A2E">
      <w:pPr>
        <w:widowControl w:val="0"/>
        <w:rPr>
          <w:rFonts w:ascii="Segoe UI" w:eastAsia="Times New Roman" w:hAnsi="Segoe UI" w:cs="Segoe UI"/>
          <w:b/>
          <w:color w:val="0000FF"/>
          <w:szCs w:val="24"/>
          <w:lang w:val="es-CO" w:eastAsia="es-ES"/>
        </w:rPr>
      </w:pPr>
    </w:p>
    <w:p w14:paraId="739ED706" w14:textId="77777777" w:rsidR="00CD63EB" w:rsidRPr="00CD63EB" w:rsidRDefault="00CD63EB" w:rsidP="00276A2E">
      <w:pPr>
        <w:widowControl w:val="0"/>
        <w:rPr>
          <w:rFonts w:ascii="Segoe UI" w:eastAsia="Times New Roman" w:hAnsi="Segoe UI" w:cs="Segoe UI"/>
          <w:b/>
          <w:color w:val="0000FF"/>
          <w:szCs w:val="24"/>
          <w:lang w:val="es-CO" w:eastAsia="es-ES"/>
        </w:rPr>
      </w:pPr>
    </w:p>
    <w:p w14:paraId="2FABF4B8" w14:textId="77777777" w:rsidR="00CD63EB" w:rsidRPr="00CD63EB" w:rsidRDefault="00CD63EB" w:rsidP="00276A2E">
      <w:pPr>
        <w:widowControl w:val="0"/>
        <w:rPr>
          <w:rFonts w:ascii="Segoe UI" w:eastAsia="Times New Roman" w:hAnsi="Segoe UI" w:cs="Segoe UI"/>
          <w:szCs w:val="24"/>
          <w:lang w:val="es-CO" w:eastAsia="es-ES"/>
        </w:rPr>
      </w:pPr>
      <w:r w:rsidRPr="00CD63EB">
        <w:rPr>
          <w:rFonts w:ascii="Segoe UI" w:eastAsia="Times New Roman" w:hAnsi="Segoe UI" w:cs="Segoe UI"/>
          <w:szCs w:val="24"/>
          <w:lang w:val="es-CO" w:eastAsia="es-ES"/>
        </w:rPr>
        <w:t>La Sala decide el recurso de apelación interpuesto por las partes contra la sentencia del 11 de febrero de 2016, proferida por el Tribunal Administrativo de Cundinamarca, Sección Cuarta, Subsección B, que decidió (f. 145):</w:t>
      </w:r>
    </w:p>
    <w:p w14:paraId="72D81447" w14:textId="77777777" w:rsidR="00CD63EB" w:rsidRPr="00CD63EB" w:rsidRDefault="00CD63EB" w:rsidP="00276A2E">
      <w:pPr>
        <w:widowControl w:val="0"/>
        <w:ind w:left="420"/>
        <w:rPr>
          <w:rFonts w:ascii="Segoe UI" w:eastAsia="Times New Roman" w:hAnsi="Segoe UI" w:cs="Segoe UI"/>
          <w:szCs w:val="24"/>
          <w:lang w:val="es-CO" w:eastAsia="es-ES"/>
        </w:rPr>
      </w:pPr>
    </w:p>
    <w:p w14:paraId="668ED509" w14:textId="77777777" w:rsidR="00CD63EB" w:rsidRPr="00CD63EB" w:rsidRDefault="00CD63EB" w:rsidP="00276A2E">
      <w:pPr>
        <w:widowControl w:val="0"/>
        <w:ind w:left="420"/>
        <w:rPr>
          <w:rFonts w:ascii="Segoe UI" w:eastAsia="Times New Roman" w:hAnsi="Segoe UI" w:cs="Segoe UI"/>
          <w:szCs w:val="24"/>
          <w:lang w:val="es-CO" w:eastAsia="es-ES"/>
        </w:rPr>
      </w:pPr>
      <w:r w:rsidRPr="00CD63EB">
        <w:rPr>
          <w:rFonts w:ascii="Segoe UI" w:eastAsia="Times New Roman" w:hAnsi="Segoe UI" w:cs="Segoe UI"/>
          <w:b/>
          <w:szCs w:val="24"/>
          <w:lang w:val="es-CO" w:eastAsia="es-ES"/>
        </w:rPr>
        <w:t xml:space="preserve">PRIMERO. </w:t>
      </w:r>
      <w:r w:rsidRPr="00CD63EB">
        <w:rPr>
          <w:rFonts w:ascii="Segoe UI" w:eastAsia="Times New Roman" w:hAnsi="Segoe UI" w:cs="Segoe UI"/>
          <w:szCs w:val="24"/>
          <w:lang w:val="es-CO" w:eastAsia="es-ES"/>
        </w:rPr>
        <w:t>Declarar la nulidad parcial de los actos administrativos contenidos en las Resoluciones Nos. 322412013000330 del 8 de mayo de 2013 y 900.132 del 26 de mayo de 2014, proferidas por la Dirección de Impuestos y Aduanas Nacionales, mediante las cuales se impuso una sanción por no enviar información del período 2009, a cargo de la sociedad IDT Electric Ltda., de conformidad con los argumentos expuestos en la parte motiva de esta providencia.</w:t>
      </w:r>
    </w:p>
    <w:p w14:paraId="108FB42E" w14:textId="77777777" w:rsidR="00CD63EB" w:rsidRPr="00CD63EB" w:rsidRDefault="00CD63EB" w:rsidP="00276A2E">
      <w:pPr>
        <w:widowControl w:val="0"/>
        <w:ind w:left="420"/>
        <w:rPr>
          <w:rFonts w:ascii="Segoe UI" w:eastAsia="Times New Roman" w:hAnsi="Segoe UI" w:cs="Segoe UI"/>
          <w:szCs w:val="24"/>
          <w:lang w:val="es-CO" w:eastAsia="es-ES"/>
        </w:rPr>
      </w:pPr>
    </w:p>
    <w:p w14:paraId="7400107D" w14:textId="77777777" w:rsidR="00CD63EB" w:rsidRPr="00CD63EB" w:rsidRDefault="00CD63EB" w:rsidP="00276A2E">
      <w:pPr>
        <w:widowControl w:val="0"/>
        <w:ind w:left="420"/>
        <w:rPr>
          <w:rFonts w:ascii="Segoe UI" w:eastAsia="Times New Roman" w:hAnsi="Segoe UI" w:cs="Segoe UI"/>
          <w:szCs w:val="24"/>
          <w:lang w:val="es-CO" w:eastAsia="es-ES"/>
        </w:rPr>
      </w:pPr>
      <w:r w:rsidRPr="00CD63EB">
        <w:rPr>
          <w:rFonts w:ascii="Segoe UI" w:eastAsia="Times New Roman" w:hAnsi="Segoe UI" w:cs="Segoe UI"/>
          <w:b/>
          <w:szCs w:val="24"/>
          <w:lang w:val="es-CO" w:eastAsia="es-ES"/>
        </w:rPr>
        <w:t xml:space="preserve">SEGUNDO. </w:t>
      </w:r>
      <w:r w:rsidRPr="00CD63EB">
        <w:rPr>
          <w:rFonts w:ascii="Segoe UI" w:eastAsia="Times New Roman" w:hAnsi="Segoe UI" w:cs="Segoe UI"/>
          <w:szCs w:val="24"/>
          <w:lang w:val="es-CO" w:eastAsia="es-ES"/>
        </w:rPr>
        <w:t>En consecuencia, a título de restablecimiento del derecho se ordena a la sociedad IDT Electric Ltda. pagar el saldo establecido en la liquidación realizada por esta Corporación en la parte motiva de la presente providencia, por concepto de sanción por no enviar información correspondiente al período 2009, fijado en la suma de ciento veintisiete millones ochocientos setenta y ocho mil pesos ($127.878.000).</w:t>
      </w:r>
    </w:p>
    <w:p w14:paraId="41858C10" w14:textId="77777777" w:rsidR="00CD63EB" w:rsidRPr="00CD63EB" w:rsidRDefault="00CD63EB" w:rsidP="00276A2E">
      <w:pPr>
        <w:widowControl w:val="0"/>
        <w:ind w:left="420"/>
        <w:rPr>
          <w:rFonts w:ascii="Segoe UI" w:eastAsia="Times New Roman" w:hAnsi="Segoe UI" w:cs="Segoe UI"/>
          <w:szCs w:val="24"/>
          <w:lang w:val="es-CO" w:eastAsia="es-ES"/>
        </w:rPr>
      </w:pPr>
    </w:p>
    <w:p w14:paraId="3B5B1702" w14:textId="77777777" w:rsidR="00CD63EB" w:rsidRPr="00CD63EB" w:rsidRDefault="00CD63EB" w:rsidP="00276A2E">
      <w:pPr>
        <w:widowControl w:val="0"/>
        <w:ind w:left="420"/>
        <w:rPr>
          <w:rFonts w:ascii="Segoe UI" w:eastAsia="Times New Roman" w:hAnsi="Segoe UI" w:cs="Segoe UI"/>
          <w:szCs w:val="24"/>
          <w:lang w:val="es-CO" w:eastAsia="es-ES"/>
        </w:rPr>
      </w:pPr>
      <w:r w:rsidRPr="00CD63EB">
        <w:rPr>
          <w:rFonts w:ascii="Segoe UI" w:eastAsia="Times New Roman" w:hAnsi="Segoe UI" w:cs="Segoe UI"/>
          <w:b/>
          <w:szCs w:val="24"/>
          <w:lang w:val="es-CO" w:eastAsia="es-ES"/>
        </w:rPr>
        <w:t xml:space="preserve">TERCERO. </w:t>
      </w:r>
      <w:r w:rsidRPr="00CD63EB">
        <w:rPr>
          <w:rFonts w:ascii="Segoe UI" w:eastAsia="Times New Roman" w:hAnsi="Segoe UI" w:cs="Segoe UI"/>
          <w:szCs w:val="24"/>
          <w:lang w:val="es-CO" w:eastAsia="es-ES"/>
        </w:rPr>
        <w:t>Negar las demás pretensiones de la demanda.</w:t>
      </w:r>
    </w:p>
    <w:p w14:paraId="308E6F5C" w14:textId="77777777" w:rsidR="00CD63EB" w:rsidRPr="00CD63EB" w:rsidRDefault="00CD63EB" w:rsidP="00276A2E">
      <w:pPr>
        <w:widowControl w:val="0"/>
        <w:jc w:val="center"/>
        <w:rPr>
          <w:rFonts w:ascii="Segoe UI" w:eastAsia="Times New Roman" w:hAnsi="Segoe UI" w:cs="Segoe UI"/>
          <w:szCs w:val="24"/>
          <w:lang w:val="es-CO" w:eastAsia="es-ES"/>
        </w:rPr>
      </w:pPr>
    </w:p>
    <w:p w14:paraId="6352E8C6" w14:textId="77777777" w:rsidR="00CD63EB" w:rsidRPr="00CD63EB" w:rsidRDefault="00CD63EB" w:rsidP="00276A2E">
      <w:pPr>
        <w:widowControl w:val="0"/>
        <w:overflowPunct w:val="0"/>
        <w:adjustRightInd w:val="0"/>
        <w:jc w:val="center"/>
        <w:textAlignment w:val="baseline"/>
        <w:rPr>
          <w:rFonts w:ascii="Segoe UI" w:eastAsia="Times New Roman" w:hAnsi="Segoe UI" w:cs="Segoe UI"/>
          <w:b/>
          <w:szCs w:val="24"/>
          <w:lang w:val="es-CO" w:eastAsia="es-ES"/>
        </w:rPr>
      </w:pPr>
      <w:r w:rsidRPr="00CD63EB">
        <w:rPr>
          <w:rFonts w:ascii="Segoe UI" w:eastAsia="Times New Roman" w:hAnsi="Segoe UI" w:cs="Segoe UI"/>
          <w:b/>
          <w:szCs w:val="24"/>
          <w:lang w:val="es-CO" w:eastAsia="es-ES"/>
        </w:rPr>
        <w:t>ANTECEDENTES DE LA ACTUACIÓN ADMINISTRATIVA</w:t>
      </w:r>
    </w:p>
    <w:p w14:paraId="7EB8D149" w14:textId="77777777" w:rsidR="00CD63EB" w:rsidRPr="00CD63EB" w:rsidRDefault="00CD63EB" w:rsidP="00276A2E">
      <w:pPr>
        <w:widowControl w:val="0"/>
        <w:rPr>
          <w:rFonts w:ascii="Segoe UI" w:eastAsia="Times New Roman" w:hAnsi="Segoe UI" w:cs="Segoe UI"/>
          <w:szCs w:val="24"/>
          <w:lang w:val="es-CO" w:eastAsia="es-ES"/>
        </w:rPr>
      </w:pPr>
    </w:p>
    <w:p w14:paraId="1341EA2A" w14:textId="77777777" w:rsidR="00CD63EB" w:rsidRPr="00CD63EB" w:rsidRDefault="00CD63EB" w:rsidP="00276A2E">
      <w:pPr>
        <w:widowControl w:val="0"/>
        <w:overflowPunct w:val="0"/>
        <w:adjustRightInd w:val="0"/>
        <w:textAlignment w:val="baseline"/>
        <w:rPr>
          <w:rFonts w:ascii="Segoe UI" w:eastAsia="Times New Roman" w:hAnsi="Segoe UI" w:cs="Segoe UI"/>
          <w:szCs w:val="24"/>
          <w:lang w:val="es-CO" w:eastAsia="es-ES"/>
        </w:rPr>
      </w:pPr>
      <w:r w:rsidRPr="00CD63EB">
        <w:rPr>
          <w:rFonts w:ascii="Segoe UI" w:eastAsia="Times New Roman" w:hAnsi="Segoe UI" w:cs="Segoe UI"/>
          <w:szCs w:val="24"/>
          <w:lang w:val="es-CO" w:eastAsia="es-ES"/>
        </w:rPr>
        <w:t>Mediante el Pliego de Cargos nro. 322402012000375, del 26 de septiembre de 2012, la DIAN propuso sancionar a la demandante por no presentar la información exógena correspondiente al año 2009. Con fundamento en la letra a) del artículo 651 del ET, la sanción impuesta fue de $356.445.000, correspondiente al 5 % del valor de las sumas de la información no suministrada.</w:t>
      </w:r>
    </w:p>
    <w:p w14:paraId="62C0FE7C" w14:textId="77777777" w:rsidR="00CD63EB" w:rsidRPr="00CD63EB" w:rsidRDefault="00CD63EB" w:rsidP="00276A2E">
      <w:pPr>
        <w:widowControl w:val="0"/>
        <w:overflowPunct w:val="0"/>
        <w:adjustRightInd w:val="0"/>
        <w:textAlignment w:val="baseline"/>
        <w:rPr>
          <w:rFonts w:ascii="Segoe UI" w:eastAsia="Times New Roman" w:hAnsi="Segoe UI" w:cs="Segoe UI"/>
          <w:szCs w:val="24"/>
          <w:lang w:val="es-CO" w:eastAsia="es-ES"/>
        </w:rPr>
      </w:pPr>
    </w:p>
    <w:p w14:paraId="20EFC1DA" w14:textId="77777777" w:rsidR="00CD63EB" w:rsidRPr="00CD63EB" w:rsidRDefault="00CD63EB" w:rsidP="00276A2E">
      <w:pPr>
        <w:widowControl w:val="0"/>
        <w:overflowPunct w:val="0"/>
        <w:adjustRightInd w:val="0"/>
        <w:textAlignment w:val="baseline"/>
        <w:rPr>
          <w:rFonts w:ascii="Segoe UI" w:eastAsia="Times New Roman" w:hAnsi="Segoe UI" w:cs="Segoe UI"/>
          <w:szCs w:val="24"/>
          <w:lang w:val="es-CO" w:eastAsia="es-ES"/>
        </w:rPr>
      </w:pPr>
      <w:r w:rsidRPr="00CD63EB">
        <w:rPr>
          <w:rFonts w:ascii="Segoe UI" w:eastAsia="Times New Roman" w:hAnsi="Segoe UI" w:cs="Segoe UI"/>
          <w:szCs w:val="24"/>
          <w:lang w:val="es-CO" w:eastAsia="es-ES"/>
        </w:rPr>
        <w:t>A través de la Resolución 322412013000330, del 8 de mayo de 2013, la DIAN impuso la sanción propuesta en el pliego de cargos.</w:t>
      </w:r>
    </w:p>
    <w:p w14:paraId="28EC83C4" w14:textId="77777777" w:rsidR="00CD63EB" w:rsidRPr="00CD63EB" w:rsidRDefault="00CD63EB" w:rsidP="00276A2E">
      <w:pPr>
        <w:widowControl w:val="0"/>
        <w:overflowPunct w:val="0"/>
        <w:adjustRightInd w:val="0"/>
        <w:textAlignment w:val="baseline"/>
        <w:rPr>
          <w:rFonts w:ascii="Segoe UI" w:eastAsia="Times New Roman" w:hAnsi="Segoe UI" w:cs="Segoe UI"/>
          <w:szCs w:val="24"/>
          <w:lang w:val="es-CO" w:eastAsia="es-ES"/>
        </w:rPr>
      </w:pPr>
    </w:p>
    <w:p w14:paraId="1487B931" w14:textId="77777777" w:rsidR="00CD63EB" w:rsidRPr="00CD63EB" w:rsidRDefault="00CD63EB" w:rsidP="00276A2E">
      <w:pPr>
        <w:widowControl w:val="0"/>
        <w:overflowPunct w:val="0"/>
        <w:adjustRightInd w:val="0"/>
        <w:textAlignment w:val="baseline"/>
        <w:rPr>
          <w:rFonts w:ascii="Segoe UI" w:eastAsia="Times New Roman" w:hAnsi="Segoe UI" w:cs="Segoe UI"/>
          <w:szCs w:val="24"/>
          <w:lang w:val="es-CO" w:eastAsia="es-ES"/>
        </w:rPr>
      </w:pPr>
      <w:r w:rsidRPr="00CD63EB">
        <w:rPr>
          <w:rFonts w:ascii="Segoe UI" w:eastAsia="Times New Roman" w:hAnsi="Segoe UI" w:cs="Segoe UI"/>
          <w:szCs w:val="24"/>
          <w:lang w:val="es-CO" w:eastAsia="es-ES"/>
        </w:rPr>
        <w:t>Por medio de la Resolución 900.132, del 26 de mayo de 2014, la sanción señalada fue confirmada.</w:t>
      </w:r>
    </w:p>
    <w:p w14:paraId="35D84F1D" w14:textId="77777777" w:rsidR="00CD63EB" w:rsidRPr="00CD63EB" w:rsidRDefault="00CD63EB" w:rsidP="00276A2E">
      <w:pPr>
        <w:widowControl w:val="0"/>
        <w:overflowPunct w:val="0"/>
        <w:adjustRightInd w:val="0"/>
        <w:textAlignment w:val="baseline"/>
        <w:rPr>
          <w:rFonts w:ascii="Segoe UI" w:eastAsia="Times New Roman" w:hAnsi="Segoe UI" w:cs="Segoe UI"/>
          <w:szCs w:val="24"/>
          <w:lang w:val="es-CO" w:eastAsia="es-ES"/>
        </w:rPr>
      </w:pPr>
    </w:p>
    <w:p w14:paraId="465FDBDC" w14:textId="77777777" w:rsidR="00CD63EB" w:rsidRPr="00CD63EB" w:rsidRDefault="00CD63EB" w:rsidP="00276A2E">
      <w:pPr>
        <w:widowControl w:val="0"/>
        <w:overflowPunct w:val="0"/>
        <w:adjustRightInd w:val="0"/>
        <w:textAlignment w:val="baseline"/>
        <w:rPr>
          <w:rFonts w:ascii="Segoe UI" w:eastAsia="Times New Roman" w:hAnsi="Segoe UI" w:cs="Segoe UI"/>
          <w:szCs w:val="24"/>
          <w:lang w:val="es-CO" w:eastAsia="es-ES"/>
        </w:rPr>
      </w:pPr>
      <w:r w:rsidRPr="00CD63EB">
        <w:rPr>
          <w:rFonts w:ascii="Segoe UI" w:eastAsia="Times New Roman" w:hAnsi="Segoe UI" w:cs="Segoe UI"/>
          <w:szCs w:val="24"/>
          <w:lang w:val="es-CO" w:eastAsia="es-ES"/>
        </w:rPr>
        <w:t>Finalmente, el 1.º de septiembre de 2014, la demandante presentó la información exógena correspondiente al año gravable 2009.</w:t>
      </w:r>
    </w:p>
    <w:p w14:paraId="668255F8" w14:textId="77777777" w:rsidR="00CD63EB" w:rsidRPr="00CD63EB" w:rsidRDefault="00CD63EB" w:rsidP="00276A2E">
      <w:pPr>
        <w:widowControl w:val="0"/>
        <w:overflowPunct w:val="0"/>
        <w:adjustRightInd w:val="0"/>
        <w:jc w:val="center"/>
        <w:textAlignment w:val="baseline"/>
        <w:rPr>
          <w:rFonts w:ascii="Segoe UI" w:eastAsia="Times New Roman" w:hAnsi="Segoe UI" w:cs="Segoe UI"/>
          <w:szCs w:val="24"/>
          <w:lang w:val="es-CO" w:eastAsia="es-ES"/>
        </w:rPr>
      </w:pPr>
    </w:p>
    <w:p w14:paraId="3128FD23" w14:textId="77777777" w:rsidR="00CD63EB" w:rsidRPr="00CD63EB" w:rsidRDefault="00CD63EB" w:rsidP="00276A2E">
      <w:pPr>
        <w:widowControl w:val="0"/>
        <w:overflowPunct w:val="0"/>
        <w:adjustRightInd w:val="0"/>
        <w:jc w:val="center"/>
        <w:textAlignment w:val="baseline"/>
        <w:rPr>
          <w:rFonts w:ascii="Segoe UI" w:eastAsia="Times New Roman" w:hAnsi="Segoe UI" w:cs="Segoe UI"/>
          <w:b/>
          <w:szCs w:val="24"/>
          <w:lang w:val="es-CO" w:eastAsia="es-ES"/>
        </w:rPr>
      </w:pPr>
      <w:r w:rsidRPr="00CD63EB">
        <w:rPr>
          <w:rFonts w:ascii="Segoe UI" w:eastAsia="Times New Roman" w:hAnsi="Segoe UI" w:cs="Segoe UI"/>
          <w:b/>
          <w:szCs w:val="24"/>
          <w:lang w:val="es-CO" w:eastAsia="es-ES"/>
        </w:rPr>
        <w:t>ANTECEDENTES PROCESALES</w:t>
      </w:r>
    </w:p>
    <w:p w14:paraId="0C83ECBA" w14:textId="77777777" w:rsidR="00CD63EB" w:rsidRPr="00CD63EB" w:rsidRDefault="00CD63EB" w:rsidP="00276A2E">
      <w:pPr>
        <w:widowControl w:val="0"/>
        <w:rPr>
          <w:rFonts w:ascii="Segoe UI" w:eastAsia="Times New Roman" w:hAnsi="Segoe UI" w:cs="Segoe UI"/>
          <w:szCs w:val="24"/>
          <w:lang w:val="es-CO" w:eastAsia="es-ES"/>
        </w:rPr>
      </w:pPr>
    </w:p>
    <w:p w14:paraId="3C1D5A36" w14:textId="77777777" w:rsidR="00CD63EB" w:rsidRPr="00CD63EB" w:rsidRDefault="00CD63EB" w:rsidP="00276A2E">
      <w:pPr>
        <w:widowControl w:val="0"/>
        <w:rPr>
          <w:rFonts w:ascii="Segoe UI" w:eastAsia="Times New Roman" w:hAnsi="Segoe UI" w:cs="Segoe UI"/>
          <w:b/>
          <w:szCs w:val="24"/>
          <w:lang w:val="es-CO" w:eastAsia="es-ES"/>
        </w:rPr>
      </w:pPr>
      <w:r w:rsidRPr="00CD63EB">
        <w:rPr>
          <w:rFonts w:ascii="Segoe UI" w:eastAsia="Times New Roman" w:hAnsi="Segoe UI" w:cs="Segoe UI"/>
          <w:b/>
          <w:szCs w:val="24"/>
          <w:lang w:val="es-CO" w:eastAsia="es-ES"/>
        </w:rPr>
        <w:t>Demanda</w:t>
      </w:r>
    </w:p>
    <w:p w14:paraId="4D1A9DC3" w14:textId="77777777" w:rsidR="00CD63EB" w:rsidRPr="00CD63EB" w:rsidRDefault="00CD63EB" w:rsidP="00276A2E">
      <w:pPr>
        <w:widowControl w:val="0"/>
        <w:rPr>
          <w:rFonts w:ascii="Segoe UI" w:eastAsia="Times New Roman" w:hAnsi="Segoe UI" w:cs="Segoe UI"/>
          <w:szCs w:val="24"/>
          <w:lang w:val="es-CO" w:eastAsia="es-ES"/>
        </w:rPr>
      </w:pPr>
    </w:p>
    <w:p w14:paraId="11231B02" w14:textId="77777777" w:rsidR="00CD63EB" w:rsidRPr="00CD63EB" w:rsidRDefault="00CD63EB" w:rsidP="00276A2E">
      <w:pPr>
        <w:widowControl w:val="0"/>
        <w:rPr>
          <w:rFonts w:ascii="Segoe UI" w:eastAsia="Times New Roman" w:hAnsi="Segoe UI" w:cs="Segoe UI"/>
          <w:szCs w:val="24"/>
          <w:lang w:val="es-CO" w:eastAsia="es-ES"/>
        </w:rPr>
      </w:pPr>
      <w:r w:rsidRPr="00CD63EB">
        <w:rPr>
          <w:rFonts w:ascii="Segoe UI" w:eastAsia="Times New Roman" w:hAnsi="Segoe UI" w:cs="Segoe UI"/>
          <w:szCs w:val="24"/>
          <w:lang w:val="es-CO" w:eastAsia="es-ES"/>
        </w:rPr>
        <w:t>En ejercicio del medio de control de nulidad y restablecimiento del derecho, IDT ELECTRIC LTDA. formuló las siguientes pretensiones (f. 3):</w:t>
      </w:r>
    </w:p>
    <w:p w14:paraId="0ACFD50D" w14:textId="77777777" w:rsidR="00CD63EB" w:rsidRPr="00CD63EB" w:rsidRDefault="00CD63EB" w:rsidP="00276A2E">
      <w:pPr>
        <w:widowControl w:val="0"/>
        <w:ind w:left="420"/>
        <w:rPr>
          <w:rFonts w:ascii="Segoe UI" w:eastAsia="Times New Roman" w:hAnsi="Segoe UI" w:cs="Segoe UI"/>
          <w:szCs w:val="24"/>
          <w:lang w:val="es-CO" w:eastAsia="es-ES"/>
        </w:rPr>
      </w:pPr>
    </w:p>
    <w:p w14:paraId="622D0579" w14:textId="77777777" w:rsidR="00CD63EB" w:rsidRPr="00CD63EB" w:rsidRDefault="00CD63EB" w:rsidP="00276A2E">
      <w:pPr>
        <w:widowControl w:val="0"/>
        <w:ind w:left="420"/>
        <w:rPr>
          <w:rFonts w:ascii="Segoe UI" w:eastAsia="Times New Roman" w:hAnsi="Segoe UI" w:cs="Segoe UI"/>
          <w:szCs w:val="24"/>
          <w:lang w:val="es-CO" w:eastAsia="es-ES"/>
        </w:rPr>
      </w:pPr>
      <w:r w:rsidRPr="00CD63EB">
        <w:rPr>
          <w:rFonts w:ascii="Segoe UI" w:eastAsia="Times New Roman" w:hAnsi="Segoe UI" w:cs="Segoe UI"/>
          <w:b/>
          <w:szCs w:val="24"/>
          <w:lang w:val="es-CO" w:eastAsia="es-ES"/>
        </w:rPr>
        <w:t>Primera:</w:t>
      </w:r>
      <w:r w:rsidRPr="00CD63EB">
        <w:rPr>
          <w:rFonts w:ascii="Segoe UI" w:eastAsia="Times New Roman" w:hAnsi="Segoe UI" w:cs="Segoe UI"/>
          <w:szCs w:val="24"/>
          <w:lang w:val="es-CO" w:eastAsia="es-ES"/>
        </w:rPr>
        <w:t xml:space="preserve"> se declare la nulidad de la Resolución Sanción No. 322412013000330 del 8 de mayo de 2013, mediante la cual se impuso sanción a mi poderdante por no enviar información por el monto de $356.445.000 de conformidad con el artículo 651 del Estatuto Tributario.</w:t>
      </w:r>
    </w:p>
    <w:p w14:paraId="7437E42C" w14:textId="77777777" w:rsidR="00CD63EB" w:rsidRPr="00CD63EB" w:rsidRDefault="00CD63EB" w:rsidP="00276A2E">
      <w:pPr>
        <w:widowControl w:val="0"/>
        <w:ind w:left="420"/>
        <w:rPr>
          <w:rFonts w:ascii="Segoe UI" w:eastAsia="Times New Roman" w:hAnsi="Segoe UI" w:cs="Segoe UI"/>
          <w:szCs w:val="24"/>
          <w:lang w:val="es-CO" w:eastAsia="es-ES"/>
        </w:rPr>
      </w:pPr>
    </w:p>
    <w:p w14:paraId="1F39576F" w14:textId="77777777" w:rsidR="00CD63EB" w:rsidRPr="00CD63EB" w:rsidRDefault="00CD63EB" w:rsidP="00276A2E">
      <w:pPr>
        <w:widowControl w:val="0"/>
        <w:ind w:left="420"/>
        <w:rPr>
          <w:rFonts w:ascii="Segoe UI" w:eastAsia="Times New Roman" w:hAnsi="Segoe UI" w:cs="Segoe UI"/>
          <w:szCs w:val="24"/>
          <w:lang w:val="es-CO" w:eastAsia="es-ES"/>
        </w:rPr>
      </w:pPr>
      <w:r w:rsidRPr="00CD63EB">
        <w:rPr>
          <w:rFonts w:ascii="Segoe UI" w:eastAsia="Times New Roman" w:hAnsi="Segoe UI" w:cs="Segoe UI"/>
          <w:b/>
          <w:szCs w:val="24"/>
          <w:lang w:val="es-CO" w:eastAsia="es-ES"/>
        </w:rPr>
        <w:t xml:space="preserve">Segunda: </w:t>
      </w:r>
      <w:r w:rsidRPr="00CD63EB">
        <w:rPr>
          <w:rFonts w:ascii="Segoe UI" w:eastAsia="Times New Roman" w:hAnsi="Segoe UI" w:cs="Segoe UI"/>
          <w:szCs w:val="24"/>
          <w:lang w:val="es-CO" w:eastAsia="es-ES"/>
        </w:rPr>
        <w:t>se declare la nulidad de la Resolución No. 900.132 del 26 de mayo de 2014, que resolvió el Recurso de Reconsideración interpuesto contra la Resolución Sanción No. 322412013000330 del 8 de mayo de 2014 (sic).</w:t>
      </w:r>
    </w:p>
    <w:p w14:paraId="75DC0314" w14:textId="77777777" w:rsidR="00CD63EB" w:rsidRPr="00CD63EB" w:rsidRDefault="00CD63EB" w:rsidP="00276A2E">
      <w:pPr>
        <w:widowControl w:val="0"/>
        <w:ind w:left="420"/>
        <w:rPr>
          <w:rFonts w:ascii="Segoe UI" w:eastAsia="Times New Roman" w:hAnsi="Segoe UI" w:cs="Segoe UI"/>
          <w:szCs w:val="24"/>
          <w:lang w:val="es-CO" w:eastAsia="es-ES"/>
        </w:rPr>
      </w:pPr>
    </w:p>
    <w:p w14:paraId="146F1A98" w14:textId="77777777" w:rsidR="00CD63EB" w:rsidRPr="00CD63EB" w:rsidRDefault="00CD63EB" w:rsidP="00276A2E">
      <w:pPr>
        <w:widowControl w:val="0"/>
        <w:ind w:left="420"/>
        <w:rPr>
          <w:rFonts w:ascii="Segoe UI" w:eastAsia="Times New Roman" w:hAnsi="Segoe UI" w:cs="Segoe UI"/>
          <w:szCs w:val="24"/>
          <w:lang w:val="es-CO" w:eastAsia="es-ES"/>
        </w:rPr>
      </w:pPr>
      <w:r w:rsidRPr="00CD63EB">
        <w:rPr>
          <w:rFonts w:ascii="Segoe UI" w:eastAsia="Times New Roman" w:hAnsi="Segoe UI" w:cs="Segoe UI"/>
          <w:b/>
          <w:szCs w:val="24"/>
          <w:lang w:val="es-CO" w:eastAsia="es-ES"/>
        </w:rPr>
        <w:lastRenderedPageBreak/>
        <w:t>Tercera:</w:t>
      </w:r>
      <w:r w:rsidRPr="00CD63EB">
        <w:rPr>
          <w:rFonts w:ascii="Segoe UI" w:eastAsia="Times New Roman" w:hAnsi="Segoe UI" w:cs="Segoe UI"/>
          <w:szCs w:val="24"/>
          <w:lang w:val="es-CO" w:eastAsia="es-ES"/>
        </w:rPr>
        <w:t xml:space="preserve"> como consecuencia de las nulidades anteriores y a título de restablecimiento del derecho, a favor del demandante se declare que no tiene obligación de pagar sanción alguna por no enviar información por el año gravable 2009.</w:t>
      </w:r>
    </w:p>
    <w:p w14:paraId="055BE44E" w14:textId="77777777" w:rsidR="00CD63EB" w:rsidRPr="00CD63EB" w:rsidRDefault="00CD63EB" w:rsidP="00276A2E">
      <w:pPr>
        <w:widowControl w:val="0"/>
        <w:ind w:left="420"/>
        <w:rPr>
          <w:rFonts w:ascii="Segoe UI" w:eastAsia="Times New Roman" w:hAnsi="Segoe UI" w:cs="Segoe UI"/>
          <w:szCs w:val="24"/>
          <w:lang w:val="es-CO" w:eastAsia="es-ES"/>
        </w:rPr>
      </w:pPr>
    </w:p>
    <w:p w14:paraId="315248D2" w14:textId="77777777" w:rsidR="00CD63EB" w:rsidRPr="00CD63EB" w:rsidRDefault="00CD63EB" w:rsidP="00276A2E">
      <w:pPr>
        <w:widowControl w:val="0"/>
        <w:ind w:left="420"/>
        <w:rPr>
          <w:rFonts w:ascii="Segoe UI" w:eastAsia="Times New Roman" w:hAnsi="Segoe UI" w:cs="Segoe UI"/>
          <w:szCs w:val="24"/>
          <w:lang w:val="es-CO" w:eastAsia="es-ES"/>
        </w:rPr>
      </w:pPr>
      <w:r w:rsidRPr="00CD63EB">
        <w:rPr>
          <w:rFonts w:ascii="Segoe UI" w:eastAsia="Times New Roman" w:hAnsi="Segoe UI" w:cs="Segoe UI"/>
          <w:b/>
          <w:szCs w:val="24"/>
          <w:lang w:val="es-CO" w:eastAsia="es-ES"/>
        </w:rPr>
        <w:t>Cuarta:</w:t>
      </w:r>
      <w:r w:rsidRPr="00CD63EB">
        <w:rPr>
          <w:rFonts w:ascii="Segoe UI" w:eastAsia="Times New Roman" w:hAnsi="Segoe UI" w:cs="Segoe UI"/>
          <w:szCs w:val="24"/>
          <w:lang w:val="es-CO" w:eastAsia="es-ES"/>
        </w:rPr>
        <w:t xml:space="preserve"> Que se condene en costas y agencias en derecho a la parte demandada.</w:t>
      </w:r>
    </w:p>
    <w:p w14:paraId="3CC07AE1" w14:textId="77777777" w:rsidR="00CD63EB" w:rsidRPr="00CD63EB" w:rsidRDefault="00CD63EB" w:rsidP="00276A2E">
      <w:pPr>
        <w:widowControl w:val="0"/>
        <w:rPr>
          <w:rFonts w:ascii="Segoe UI" w:eastAsia="Times New Roman" w:hAnsi="Segoe UI" w:cs="Segoe UI"/>
          <w:szCs w:val="24"/>
          <w:lang w:val="es-CO" w:eastAsia="es-ES"/>
        </w:rPr>
      </w:pPr>
    </w:p>
    <w:p w14:paraId="3F36D45E" w14:textId="77777777" w:rsidR="00CD63EB" w:rsidRPr="00CD63EB" w:rsidRDefault="00CD63EB" w:rsidP="00276A2E">
      <w:pPr>
        <w:widowControl w:val="0"/>
        <w:overflowPunct w:val="0"/>
        <w:adjustRightInd w:val="0"/>
        <w:textAlignment w:val="baseline"/>
        <w:rPr>
          <w:rFonts w:ascii="Segoe UI" w:eastAsia="Times New Roman" w:hAnsi="Segoe UI" w:cs="Segoe UI"/>
          <w:szCs w:val="24"/>
          <w:lang w:val="es-CO" w:eastAsia="es-ES"/>
        </w:rPr>
      </w:pPr>
      <w:r w:rsidRPr="00CD63EB">
        <w:rPr>
          <w:rFonts w:ascii="Segoe UI" w:eastAsia="Times New Roman" w:hAnsi="Segoe UI" w:cs="Segoe UI"/>
          <w:szCs w:val="24"/>
          <w:lang w:val="es-CO" w:eastAsia="es-ES"/>
        </w:rPr>
        <w:t>A los anteriores efectos, invocó como violados los artículos 2.º, 29, 95.6 y 363 de la Constitución; 87, 89, 138, 152, 156, 162 a 139 del CPACA; y 638, 651 y 683 del ET.</w:t>
      </w:r>
    </w:p>
    <w:p w14:paraId="357DF0B1" w14:textId="77777777" w:rsidR="00CD63EB" w:rsidRPr="00CD63EB" w:rsidRDefault="00CD63EB" w:rsidP="00276A2E">
      <w:pPr>
        <w:widowControl w:val="0"/>
        <w:overflowPunct w:val="0"/>
        <w:adjustRightInd w:val="0"/>
        <w:textAlignment w:val="baseline"/>
        <w:rPr>
          <w:rFonts w:ascii="Segoe UI" w:eastAsia="Times New Roman" w:hAnsi="Segoe UI" w:cs="Segoe UI"/>
          <w:szCs w:val="24"/>
          <w:lang w:val="es-CO" w:eastAsia="es-ES"/>
        </w:rPr>
      </w:pPr>
    </w:p>
    <w:p w14:paraId="3B878846" w14:textId="77777777" w:rsidR="00CD63EB" w:rsidRPr="00CD63EB" w:rsidRDefault="00CD63EB" w:rsidP="00276A2E">
      <w:pPr>
        <w:widowControl w:val="0"/>
        <w:rPr>
          <w:rFonts w:ascii="Segoe UI" w:eastAsia="Times New Roman" w:hAnsi="Segoe UI" w:cs="Segoe UI"/>
          <w:szCs w:val="24"/>
          <w:lang w:val="es-CO" w:eastAsia="es-CO"/>
        </w:rPr>
      </w:pPr>
      <w:r w:rsidRPr="00CD63EB">
        <w:rPr>
          <w:rFonts w:ascii="Segoe UI" w:eastAsia="Times New Roman" w:hAnsi="Segoe UI" w:cs="Segoe UI"/>
          <w:szCs w:val="24"/>
          <w:lang w:val="es-CO" w:eastAsia="es-CO"/>
        </w:rPr>
        <w:t>El concepto de la violación de esas disposiciones se resume así:</w:t>
      </w:r>
    </w:p>
    <w:p w14:paraId="5983B454" w14:textId="77777777" w:rsidR="00CD63EB" w:rsidRPr="00CD63EB" w:rsidRDefault="00CD63EB" w:rsidP="00276A2E">
      <w:pPr>
        <w:widowControl w:val="0"/>
        <w:rPr>
          <w:rFonts w:ascii="Segoe UI" w:eastAsia="Times New Roman" w:hAnsi="Segoe UI" w:cs="Segoe UI"/>
          <w:szCs w:val="24"/>
          <w:lang w:val="es-CO" w:eastAsia="es-ES"/>
        </w:rPr>
      </w:pPr>
    </w:p>
    <w:p w14:paraId="2CA9DE9F" w14:textId="77777777" w:rsidR="00CD63EB" w:rsidRPr="00CD63EB" w:rsidRDefault="00CD63EB" w:rsidP="00276A2E">
      <w:pPr>
        <w:widowControl w:val="0"/>
        <w:rPr>
          <w:rFonts w:ascii="Segoe UI" w:eastAsia="Times New Roman" w:hAnsi="Segoe UI" w:cs="Segoe UI"/>
          <w:b/>
          <w:szCs w:val="24"/>
          <w:lang w:val="es-CO" w:eastAsia="es-ES"/>
        </w:rPr>
      </w:pPr>
      <w:r w:rsidRPr="00CD63EB">
        <w:rPr>
          <w:rFonts w:ascii="Segoe UI" w:eastAsia="Times New Roman" w:hAnsi="Segoe UI" w:cs="Segoe UI"/>
          <w:b/>
          <w:szCs w:val="24"/>
          <w:lang w:val="es-CO" w:eastAsia="es-ES"/>
        </w:rPr>
        <w:t>1. Violación del derecho de defensa</w:t>
      </w:r>
    </w:p>
    <w:p w14:paraId="0BCE4704" w14:textId="77777777" w:rsidR="00CD63EB" w:rsidRPr="00CD63EB" w:rsidRDefault="00CD63EB" w:rsidP="00276A2E">
      <w:pPr>
        <w:widowControl w:val="0"/>
        <w:rPr>
          <w:rFonts w:ascii="Segoe UI" w:eastAsia="Times New Roman" w:hAnsi="Segoe UI" w:cs="Segoe UI"/>
          <w:b/>
          <w:szCs w:val="24"/>
          <w:lang w:val="es-CO" w:eastAsia="es-ES"/>
        </w:rPr>
      </w:pPr>
    </w:p>
    <w:p w14:paraId="03872259" w14:textId="77777777" w:rsidR="00CD63EB" w:rsidRPr="00CD63EB" w:rsidRDefault="00CD63EB" w:rsidP="00276A2E">
      <w:pPr>
        <w:widowControl w:val="0"/>
        <w:rPr>
          <w:rFonts w:ascii="Segoe UI" w:eastAsia="Times New Roman" w:hAnsi="Segoe UI" w:cs="Segoe UI"/>
          <w:szCs w:val="24"/>
          <w:lang w:val="es-CO" w:eastAsia="es-ES"/>
        </w:rPr>
      </w:pPr>
      <w:r w:rsidRPr="00CD63EB">
        <w:rPr>
          <w:rFonts w:ascii="Segoe UI" w:eastAsia="Times New Roman" w:hAnsi="Segoe UI" w:cs="Segoe UI"/>
          <w:szCs w:val="24"/>
          <w:lang w:val="es-CO" w:eastAsia="es-ES"/>
        </w:rPr>
        <w:t>Explicó que los actos objeto de impugnación no están motivados, porque no indicaron la conducta sancionable ni determinaron el daño que ese hecho causó a la Administración tributaria. En este sentido, señaló que, al no tener certeza sobre los supuestos fácticos y jurídicos que sustentaron la sanción, se vulneró el derecho de defensa y contradicción. Al respecto, invocó la sentencia del 30 de abril de 2009, proferida por esta Sección (</w:t>
      </w:r>
      <w:proofErr w:type="spellStart"/>
      <w:r w:rsidRPr="00CD63EB">
        <w:rPr>
          <w:rFonts w:ascii="Segoe UI" w:eastAsia="Times New Roman" w:hAnsi="Segoe UI" w:cs="Segoe UI"/>
          <w:szCs w:val="24"/>
          <w:lang w:val="es-CO" w:eastAsia="es-ES"/>
        </w:rPr>
        <w:t>exp</w:t>
      </w:r>
      <w:proofErr w:type="spellEnd"/>
      <w:r w:rsidRPr="00CD63EB">
        <w:rPr>
          <w:rFonts w:ascii="Segoe UI" w:eastAsia="Times New Roman" w:hAnsi="Segoe UI" w:cs="Segoe UI"/>
          <w:szCs w:val="24"/>
          <w:lang w:val="es-CO" w:eastAsia="es-ES"/>
        </w:rPr>
        <w:t>. 16338), en la cual se precisó la necesidad de identificar la conducta reprochable, a fin de garantizar el derecho de defensa.</w:t>
      </w:r>
    </w:p>
    <w:p w14:paraId="723D6527" w14:textId="77777777" w:rsidR="00CD63EB" w:rsidRPr="00CD63EB" w:rsidRDefault="00CD63EB" w:rsidP="00276A2E">
      <w:pPr>
        <w:widowControl w:val="0"/>
        <w:rPr>
          <w:rFonts w:ascii="Segoe UI" w:eastAsia="Times New Roman" w:hAnsi="Segoe UI" w:cs="Segoe UI"/>
          <w:szCs w:val="24"/>
          <w:lang w:val="es-CO" w:eastAsia="es-ES"/>
        </w:rPr>
      </w:pPr>
    </w:p>
    <w:p w14:paraId="385E8B8B" w14:textId="77777777" w:rsidR="00CD63EB" w:rsidRPr="00CD63EB" w:rsidRDefault="00CD63EB" w:rsidP="00276A2E">
      <w:pPr>
        <w:widowControl w:val="0"/>
        <w:rPr>
          <w:rFonts w:ascii="Segoe UI" w:eastAsia="Times New Roman" w:hAnsi="Segoe UI" w:cs="Segoe UI"/>
          <w:b/>
          <w:szCs w:val="24"/>
          <w:lang w:val="es-CO" w:eastAsia="es-ES"/>
        </w:rPr>
      </w:pPr>
      <w:r w:rsidRPr="00CD63EB">
        <w:rPr>
          <w:rFonts w:ascii="Segoe UI" w:eastAsia="Times New Roman" w:hAnsi="Segoe UI" w:cs="Segoe UI"/>
          <w:b/>
          <w:szCs w:val="24"/>
          <w:lang w:val="es-CO" w:eastAsia="es-ES"/>
        </w:rPr>
        <w:t>2. «</w:t>
      </w:r>
      <w:r w:rsidRPr="00CD63EB">
        <w:rPr>
          <w:rFonts w:ascii="Segoe UI" w:eastAsia="Times New Roman" w:hAnsi="Segoe UI" w:cs="Segoe UI"/>
          <w:b/>
          <w:i/>
          <w:szCs w:val="24"/>
          <w:lang w:val="es-CO" w:eastAsia="es-ES"/>
        </w:rPr>
        <w:t>Prescripción</w:t>
      </w:r>
      <w:r w:rsidRPr="00CD63EB">
        <w:rPr>
          <w:rFonts w:ascii="Segoe UI" w:eastAsia="Times New Roman" w:hAnsi="Segoe UI" w:cs="Segoe UI"/>
          <w:b/>
          <w:szCs w:val="24"/>
          <w:lang w:val="es-CO" w:eastAsia="es-ES"/>
        </w:rPr>
        <w:t>» de la facultad sancionadora</w:t>
      </w:r>
    </w:p>
    <w:p w14:paraId="1E1C2F6F" w14:textId="77777777" w:rsidR="00CD63EB" w:rsidRPr="00CD63EB" w:rsidRDefault="00CD63EB" w:rsidP="00276A2E">
      <w:pPr>
        <w:widowControl w:val="0"/>
        <w:rPr>
          <w:rFonts w:ascii="Segoe UI" w:eastAsia="Times New Roman" w:hAnsi="Segoe UI" w:cs="Segoe UI"/>
          <w:b/>
          <w:szCs w:val="24"/>
          <w:lang w:val="es-CO" w:eastAsia="es-ES"/>
        </w:rPr>
      </w:pPr>
    </w:p>
    <w:p w14:paraId="3A548A4B" w14:textId="77777777" w:rsidR="00CD63EB" w:rsidRPr="00CD63EB" w:rsidRDefault="00CD63EB" w:rsidP="00276A2E">
      <w:pPr>
        <w:widowControl w:val="0"/>
        <w:rPr>
          <w:rFonts w:ascii="Segoe UI" w:eastAsia="Times New Roman" w:hAnsi="Segoe UI" w:cs="Segoe UI"/>
          <w:szCs w:val="24"/>
          <w:lang w:val="es-CO" w:eastAsia="es-ES"/>
        </w:rPr>
      </w:pPr>
      <w:r w:rsidRPr="00CD63EB">
        <w:rPr>
          <w:rFonts w:ascii="Segoe UI" w:eastAsia="Times New Roman" w:hAnsi="Segoe UI" w:cs="Segoe UI"/>
          <w:szCs w:val="24"/>
          <w:lang w:val="es-CO" w:eastAsia="es-ES"/>
        </w:rPr>
        <w:t>Indicó que prescribió la facultad de la Administración para sancionar por el no envío de información en medios magnéticos del año gravable 2009, conforme al plazo de dos años establecido en el artículo 638 del ET.</w:t>
      </w:r>
    </w:p>
    <w:p w14:paraId="584A3856" w14:textId="77777777" w:rsidR="00CD63EB" w:rsidRPr="00CD63EB" w:rsidRDefault="00CD63EB" w:rsidP="00276A2E">
      <w:pPr>
        <w:widowControl w:val="0"/>
        <w:rPr>
          <w:rFonts w:ascii="Segoe UI" w:eastAsia="Times New Roman" w:hAnsi="Segoe UI" w:cs="Segoe UI"/>
          <w:szCs w:val="24"/>
          <w:lang w:val="es-CO" w:eastAsia="es-ES"/>
        </w:rPr>
      </w:pPr>
    </w:p>
    <w:p w14:paraId="326013F5" w14:textId="77777777" w:rsidR="00CD63EB" w:rsidRPr="00CD63EB" w:rsidRDefault="00CD63EB" w:rsidP="00276A2E">
      <w:pPr>
        <w:widowControl w:val="0"/>
        <w:rPr>
          <w:rFonts w:ascii="Segoe UI" w:eastAsia="Times New Roman" w:hAnsi="Segoe UI" w:cs="Segoe UI"/>
          <w:szCs w:val="24"/>
          <w:lang w:val="es-CO" w:eastAsia="es-ES"/>
        </w:rPr>
      </w:pPr>
      <w:r w:rsidRPr="00CD63EB">
        <w:rPr>
          <w:rFonts w:ascii="Segoe UI" w:eastAsia="Times New Roman" w:hAnsi="Segoe UI" w:cs="Segoe UI"/>
          <w:szCs w:val="24"/>
          <w:lang w:val="es-CO" w:eastAsia="es-ES"/>
        </w:rPr>
        <w:t>En ese sentido, explicó que el término de «</w:t>
      </w:r>
      <w:r w:rsidRPr="00CD63EB">
        <w:rPr>
          <w:rFonts w:ascii="Segoe UI" w:eastAsia="Times New Roman" w:hAnsi="Segoe UI" w:cs="Segoe UI"/>
          <w:i/>
          <w:szCs w:val="24"/>
          <w:lang w:val="es-CO" w:eastAsia="es-ES"/>
        </w:rPr>
        <w:t>prescripción</w:t>
      </w:r>
      <w:r w:rsidRPr="00CD63EB">
        <w:rPr>
          <w:rFonts w:ascii="Segoe UI" w:eastAsia="Times New Roman" w:hAnsi="Segoe UI" w:cs="Segoe UI"/>
          <w:szCs w:val="24"/>
          <w:lang w:val="es-CO" w:eastAsia="es-ES"/>
        </w:rPr>
        <w:t>» debe contarse desde la presentación de la declaración de renta del año gravable 2009, por cuanto la información que se debía suministrar estaba asociada con esa vigencia fiscal. Por lo tanto, la fecha máxima para notificar el pliego de cargos venció el 20 de abril de 2012. Sin embargo, ello se hizo el 26 de septiembre del mismo año.</w:t>
      </w:r>
    </w:p>
    <w:p w14:paraId="2AEA7A3E" w14:textId="77777777" w:rsidR="00CD63EB" w:rsidRPr="00CD63EB" w:rsidRDefault="00CD63EB" w:rsidP="00276A2E">
      <w:pPr>
        <w:widowControl w:val="0"/>
        <w:rPr>
          <w:rFonts w:ascii="Segoe UI" w:eastAsia="Times New Roman" w:hAnsi="Segoe UI" w:cs="Segoe UI"/>
          <w:szCs w:val="24"/>
          <w:lang w:val="es-CO" w:eastAsia="es-ES"/>
        </w:rPr>
      </w:pPr>
    </w:p>
    <w:p w14:paraId="00606702" w14:textId="77777777" w:rsidR="00CD63EB" w:rsidRPr="00CD63EB" w:rsidRDefault="00CD63EB" w:rsidP="00276A2E">
      <w:pPr>
        <w:widowControl w:val="0"/>
        <w:rPr>
          <w:rFonts w:ascii="Segoe UI" w:eastAsia="Times New Roman" w:hAnsi="Segoe UI" w:cs="Segoe UI"/>
          <w:szCs w:val="24"/>
          <w:lang w:val="es-CO" w:eastAsia="es-ES"/>
        </w:rPr>
      </w:pPr>
      <w:r w:rsidRPr="00CD63EB">
        <w:rPr>
          <w:rFonts w:ascii="Segoe UI" w:eastAsia="Times New Roman" w:hAnsi="Segoe UI" w:cs="Segoe UI"/>
          <w:szCs w:val="24"/>
          <w:lang w:val="es-CO" w:eastAsia="es-ES"/>
        </w:rPr>
        <w:t xml:space="preserve">Para el efecto, citó apartes de la Sentencia del 17 de julio de 2008 (expediente 16030, CP: </w:t>
      </w:r>
      <w:r w:rsidRPr="00CD63EB">
        <w:rPr>
          <w:rFonts w:ascii="Segoe UI" w:eastAsia="Times New Roman" w:hAnsi="Segoe UI" w:cs="Segoe UI"/>
          <w:szCs w:val="24"/>
          <w:lang w:val="es-CO" w:eastAsia="es-ES"/>
        </w:rPr>
        <w:lastRenderedPageBreak/>
        <w:t>Héctor J. Romero Díaz).</w:t>
      </w:r>
    </w:p>
    <w:p w14:paraId="0D5C59F9" w14:textId="77777777" w:rsidR="00CD63EB" w:rsidRPr="00CD63EB" w:rsidRDefault="00CD63EB" w:rsidP="00276A2E">
      <w:pPr>
        <w:widowControl w:val="0"/>
        <w:rPr>
          <w:rFonts w:ascii="Segoe UI" w:eastAsia="Times New Roman" w:hAnsi="Segoe UI" w:cs="Segoe UI"/>
          <w:szCs w:val="24"/>
          <w:lang w:val="es-CO" w:eastAsia="es-ES"/>
        </w:rPr>
      </w:pPr>
    </w:p>
    <w:p w14:paraId="2AF4594F" w14:textId="77777777" w:rsidR="00CD63EB" w:rsidRPr="00CD63EB" w:rsidRDefault="00CD63EB" w:rsidP="00276A2E">
      <w:pPr>
        <w:widowControl w:val="0"/>
        <w:rPr>
          <w:rFonts w:ascii="Segoe UI" w:eastAsia="Times New Roman" w:hAnsi="Segoe UI" w:cs="Segoe UI"/>
          <w:b/>
          <w:szCs w:val="24"/>
          <w:lang w:val="es-CO" w:eastAsia="es-ES"/>
        </w:rPr>
      </w:pPr>
      <w:r w:rsidRPr="00CD63EB">
        <w:rPr>
          <w:rFonts w:ascii="Segoe UI" w:eastAsia="Times New Roman" w:hAnsi="Segoe UI" w:cs="Segoe UI"/>
          <w:b/>
          <w:szCs w:val="24"/>
          <w:lang w:val="es-CO" w:eastAsia="es-ES"/>
        </w:rPr>
        <w:t>3. Violación de los principios de buena fe y del espíritu de justicia</w:t>
      </w:r>
    </w:p>
    <w:p w14:paraId="7B130837" w14:textId="77777777" w:rsidR="00CD63EB" w:rsidRPr="00CD63EB" w:rsidRDefault="00CD63EB" w:rsidP="00276A2E">
      <w:pPr>
        <w:widowControl w:val="0"/>
        <w:rPr>
          <w:rFonts w:ascii="Segoe UI" w:eastAsia="Times New Roman" w:hAnsi="Segoe UI" w:cs="Segoe UI"/>
          <w:b/>
          <w:szCs w:val="24"/>
          <w:lang w:val="es-CO" w:eastAsia="es-ES"/>
        </w:rPr>
      </w:pPr>
    </w:p>
    <w:p w14:paraId="242F1434" w14:textId="77777777" w:rsidR="00CD63EB" w:rsidRPr="00CD63EB" w:rsidRDefault="00CD63EB" w:rsidP="00276A2E">
      <w:pPr>
        <w:widowControl w:val="0"/>
        <w:rPr>
          <w:rFonts w:ascii="Segoe UI" w:eastAsia="Times New Roman" w:hAnsi="Segoe UI" w:cs="Segoe UI"/>
          <w:szCs w:val="24"/>
          <w:lang w:val="es-CO" w:eastAsia="es-ES"/>
        </w:rPr>
      </w:pPr>
      <w:r w:rsidRPr="00CD63EB">
        <w:rPr>
          <w:rFonts w:ascii="Segoe UI" w:eastAsia="Times New Roman" w:hAnsi="Segoe UI" w:cs="Segoe UI"/>
          <w:szCs w:val="24"/>
          <w:lang w:val="es-CO" w:eastAsia="es-ES"/>
        </w:rPr>
        <w:t>Indicó que:</w:t>
      </w:r>
    </w:p>
    <w:p w14:paraId="3D26C9DC" w14:textId="77777777" w:rsidR="00CD63EB" w:rsidRPr="00CD63EB" w:rsidRDefault="00CD63EB" w:rsidP="00276A2E">
      <w:pPr>
        <w:widowControl w:val="0"/>
        <w:ind w:left="420"/>
        <w:rPr>
          <w:rFonts w:ascii="Segoe UI" w:eastAsia="Times New Roman" w:hAnsi="Segoe UI" w:cs="Segoe UI"/>
          <w:szCs w:val="24"/>
          <w:lang w:val="es-CO" w:eastAsia="es-ES"/>
        </w:rPr>
      </w:pPr>
    </w:p>
    <w:p w14:paraId="141AD4E4" w14:textId="77777777" w:rsidR="00CD63EB" w:rsidRPr="00CD63EB" w:rsidRDefault="00CD63EB" w:rsidP="00276A2E">
      <w:pPr>
        <w:widowControl w:val="0"/>
        <w:ind w:left="420"/>
        <w:rPr>
          <w:rFonts w:ascii="Segoe UI" w:eastAsia="Times New Roman" w:hAnsi="Segoe UI" w:cs="Segoe UI"/>
          <w:szCs w:val="24"/>
          <w:lang w:val="es-CO" w:eastAsia="es-ES"/>
        </w:rPr>
      </w:pPr>
      <w:r w:rsidRPr="00CD63EB">
        <w:rPr>
          <w:rFonts w:ascii="Segoe UI" w:eastAsia="Times New Roman" w:hAnsi="Segoe UI" w:cs="Segoe UI"/>
          <w:szCs w:val="24"/>
          <w:lang w:val="es-CO" w:eastAsia="es-ES"/>
        </w:rPr>
        <w:t>(…) se puede observar claramente que el Contribuyente actuó de buena fe ante la administración, con el fiel convencimiento de que si bien no presentó la información que la obligaba a presentar el Decreto 7935 del 28 de julio de 2009 –por diversas circunstancias que no es el momento de discutir- este siempre actuó ante la administración bajo el total convencimiento de que la obligación se encontraba prescrita y así mismo la facultad de la DIAN para abrirle pliego de cargos y posterior sanción por este hecho.</w:t>
      </w:r>
    </w:p>
    <w:p w14:paraId="6465EBBE" w14:textId="77777777" w:rsidR="00CD63EB" w:rsidRPr="00CD63EB" w:rsidRDefault="00CD63EB" w:rsidP="00276A2E">
      <w:pPr>
        <w:widowControl w:val="0"/>
        <w:rPr>
          <w:rFonts w:ascii="Segoe UI" w:eastAsia="Times New Roman" w:hAnsi="Segoe UI" w:cs="Segoe UI"/>
          <w:szCs w:val="24"/>
          <w:lang w:val="es-CO" w:eastAsia="es-ES"/>
        </w:rPr>
      </w:pPr>
    </w:p>
    <w:p w14:paraId="3511CBB7" w14:textId="77777777" w:rsidR="00CD63EB" w:rsidRPr="00CD63EB" w:rsidRDefault="00CD63EB" w:rsidP="00276A2E">
      <w:pPr>
        <w:widowControl w:val="0"/>
        <w:rPr>
          <w:rFonts w:ascii="Segoe UI" w:eastAsia="Times New Roman" w:hAnsi="Segoe UI" w:cs="Segoe UI"/>
          <w:szCs w:val="24"/>
          <w:lang w:val="es-CO" w:eastAsia="es-ES"/>
        </w:rPr>
      </w:pPr>
      <w:r w:rsidRPr="00CD63EB">
        <w:rPr>
          <w:rFonts w:ascii="Segoe UI" w:eastAsia="Times New Roman" w:hAnsi="Segoe UI" w:cs="Segoe UI"/>
          <w:szCs w:val="24"/>
          <w:lang w:val="es-CO" w:eastAsia="es-ES"/>
        </w:rPr>
        <w:t>Por ello, afirmó que la DIAN no valoró la conducta de la demandante, sino que impuso una sanción superior a la que correspondía, de conformidad con el espíritu de justicia, contemplado en el artículo 683 del ET.</w:t>
      </w:r>
    </w:p>
    <w:p w14:paraId="06C0F058" w14:textId="77777777" w:rsidR="00CD63EB" w:rsidRPr="00CD63EB" w:rsidRDefault="00CD63EB" w:rsidP="00276A2E">
      <w:pPr>
        <w:widowControl w:val="0"/>
        <w:rPr>
          <w:rFonts w:ascii="Segoe UI" w:eastAsia="Times New Roman" w:hAnsi="Segoe UI" w:cs="Segoe UI"/>
          <w:szCs w:val="24"/>
          <w:lang w:val="es-CO" w:eastAsia="es-ES"/>
        </w:rPr>
      </w:pPr>
    </w:p>
    <w:p w14:paraId="32D110AC" w14:textId="77777777" w:rsidR="00CD63EB" w:rsidRPr="00CD63EB" w:rsidRDefault="00CD63EB" w:rsidP="00276A2E">
      <w:pPr>
        <w:widowControl w:val="0"/>
        <w:rPr>
          <w:rFonts w:ascii="Segoe UI" w:eastAsia="Times New Roman" w:hAnsi="Segoe UI" w:cs="Segoe UI"/>
          <w:b/>
          <w:szCs w:val="24"/>
          <w:lang w:val="es-CO" w:eastAsia="es-ES"/>
        </w:rPr>
      </w:pPr>
      <w:r w:rsidRPr="00CD63EB">
        <w:rPr>
          <w:rFonts w:ascii="Segoe UI" w:eastAsia="Times New Roman" w:hAnsi="Segoe UI" w:cs="Segoe UI"/>
          <w:b/>
          <w:szCs w:val="24"/>
          <w:lang w:val="es-CO" w:eastAsia="es-ES"/>
        </w:rPr>
        <w:t>4. Gradualidad de la sanción</w:t>
      </w:r>
    </w:p>
    <w:p w14:paraId="197972E0" w14:textId="77777777" w:rsidR="00CD63EB" w:rsidRPr="00CD63EB" w:rsidRDefault="00CD63EB" w:rsidP="00276A2E">
      <w:pPr>
        <w:widowControl w:val="0"/>
        <w:rPr>
          <w:rFonts w:ascii="Segoe UI" w:eastAsia="Times New Roman" w:hAnsi="Segoe UI" w:cs="Segoe UI"/>
          <w:b/>
          <w:szCs w:val="24"/>
          <w:lang w:val="es-CO" w:eastAsia="es-ES"/>
        </w:rPr>
      </w:pPr>
    </w:p>
    <w:p w14:paraId="6338AD6D" w14:textId="77777777" w:rsidR="00CD63EB" w:rsidRPr="00CD63EB" w:rsidRDefault="00CD63EB" w:rsidP="00276A2E">
      <w:pPr>
        <w:widowControl w:val="0"/>
        <w:rPr>
          <w:rFonts w:ascii="Segoe UI" w:eastAsia="Times New Roman" w:hAnsi="Segoe UI" w:cs="Segoe UI"/>
          <w:szCs w:val="24"/>
          <w:lang w:val="es-CO" w:eastAsia="es-ES"/>
        </w:rPr>
      </w:pPr>
      <w:r w:rsidRPr="00CD63EB">
        <w:rPr>
          <w:rFonts w:ascii="Segoe UI" w:eastAsia="Times New Roman" w:hAnsi="Segoe UI" w:cs="Segoe UI"/>
          <w:szCs w:val="24"/>
          <w:lang w:val="es-CO" w:eastAsia="es-ES"/>
        </w:rPr>
        <w:t>Adujo que la Administración no demostró que el solo incumplimiento en la entrega de la información le ocasionó un daño. Por ello, consideró que era improcedente imponer la máxima sanción establecida y que se quebrantaron los principios de equidad y razonabilidad, reconocidos por el Consejo de Estado en las sentencias del 20 de abril de 2001 y del 26 de marzo de 2009, respectivamente (</w:t>
      </w:r>
      <w:proofErr w:type="spellStart"/>
      <w:r w:rsidRPr="00CD63EB">
        <w:rPr>
          <w:rFonts w:ascii="Segoe UI" w:eastAsia="Times New Roman" w:hAnsi="Segoe UI" w:cs="Segoe UI"/>
          <w:szCs w:val="24"/>
          <w:lang w:val="es-CO" w:eastAsia="es-ES"/>
        </w:rPr>
        <w:t>exp</w:t>
      </w:r>
      <w:proofErr w:type="spellEnd"/>
      <w:r w:rsidRPr="00CD63EB">
        <w:rPr>
          <w:rFonts w:ascii="Segoe UI" w:eastAsia="Times New Roman" w:hAnsi="Segoe UI" w:cs="Segoe UI"/>
          <w:szCs w:val="24"/>
          <w:lang w:val="es-CO" w:eastAsia="es-ES"/>
        </w:rPr>
        <w:t xml:space="preserve">. 11658, CP: Ligia López Díaz y </w:t>
      </w:r>
      <w:proofErr w:type="spellStart"/>
      <w:r w:rsidRPr="00CD63EB">
        <w:rPr>
          <w:rFonts w:ascii="Segoe UI" w:eastAsia="Times New Roman" w:hAnsi="Segoe UI" w:cs="Segoe UI"/>
          <w:szCs w:val="24"/>
          <w:lang w:val="es-CO" w:eastAsia="es-ES"/>
        </w:rPr>
        <w:t>exp</w:t>
      </w:r>
      <w:proofErr w:type="spellEnd"/>
      <w:r w:rsidRPr="00CD63EB">
        <w:rPr>
          <w:rFonts w:ascii="Segoe UI" w:eastAsia="Times New Roman" w:hAnsi="Segoe UI" w:cs="Segoe UI"/>
          <w:szCs w:val="24"/>
          <w:lang w:val="es-CO" w:eastAsia="es-ES"/>
        </w:rPr>
        <w:t>. 16169, CP: Héctor J. Romero Díaz).</w:t>
      </w:r>
    </w:p>
    <w:p w14:paraId="10621554" w14:textId="77777777" w:rsidR="00CD63EB" w:rsidRPr="00CD63EB" w:rsidRDefault="00CD63EB" w:rsidP="00276A2E">
      <w:pPr>
        <w:widowControl w:val="0"/>
        <w:rPr>
          <w:rFonts w:ascii="Segoe UI" w:eastAsia="Times New Roman" w:hAnsi="Segoe UI" w:cs="Segoe UI"/>
          <w:szCs w:val="24"/>
          <w:lang w:val="es-CO" w:eastAsia="es-ES"/>
        </w:rPr>
      </w:pPr>
    </w:p>
    <w:p w14:paraId="1DD8EC1E" w14:textId="77777777" w:rsidR="00CD63EB" w:rsidRPr="00CD63EB" w:rsidRDefault="00CD63EB" w:rsidP="00276A2E">
      <w:pPr>
        <w:widowControl w:val="0"/>
        <w:rPr>
          <w:rFonts w:ascii="Segoe UI" w:eastAsia="Times New Roman" w:hAnsi="Segoe UI" w:cs="Segoe UI"/>
          <w:szCs w:val="24"/>
          <w:lang w:val="es-CO" w:eastAsia="es-ES"/>
        </w:rPr>
      </w:pPr>
      <w:r w:rsidRPr="00CD63EB">
        <w:rPr>
          <w:rFonts w:ascii="Segoe UI" w:eastAsia="Times New Roman" w:hAnsi="Segoe UI" w:cs="Segoe UI"/>
          <w:szCs w:val="24"/>
          <w:lang w:val="es-CO" w:eastAsia="es-ES"/>
        </w:rPr>
        <w:t>Adicionalmente, planteó que la información solicitada por el fisco ya se encontraba a su disposición en las declaraciones del IVA, retención en la fuente, renta e información de medios magnéticos presentadas por terceros. Por lo anterior, consideró que la sanción que debió aplicarle era del 0.1 % del monto de la cuantía no informada.</w:t>
      </w:r>
    </w:p>
    <w:p w14:paraId="25E70202" w14:textId="77777777" w:rsidR="00CD63EB" w:rsidRPr="00CD63EB" w:rsidRDefault="00CD63EB" w:rsidP="00276A2E">
      <w:pPr>
        <w:widowControl w:val="0"/>
        <w:rPr>
          <w:rFonts w:ascii="Segoe UI" w:eastAsia="Times New Roman" w:hAnsi="Segoe UI" w:cs="Segoe UI"/>
          <w:szCs w:val="24"/>
          <w:lang w:val="es-CO" w:eastAsia="es-ES"/>
        </w:rPr>
      </w:pPr>
    </w:p>
    <w:p w14:paraId="2A44C8AA" w14:textId="77777777" w:rsidR="00CD63EB" w:rsidRPr="00CD63EB" w:rsidRDefault="00CD63EB" w:rsidP="00276A2E">
      <w:pPr>
        <w:widowControl w:val="0"/>
        <w:rPr>
          <w:rFonts w:ascii="Segoe UI" w:eastAsia="Times New Roman" w:hAnsi="Segoe UI" w:cs="Segoe UI"/>
          <w:szCs w:val="24"/>
          <w:lang w:val="es-CO" w:eastAsia="es-ES"/>
        </w:rPr>
      </w:pPr>
      <w:r w:rsidRPr="00CD63EB">
        <w:rPr>
          <w:rFonts w:ascii="Segoe UI" w:eastAsia="Times New Roman" w:hAnsi="Segoe UI" w:cs="Segoe UI"/>
          <w:szCs w:val="24"/>
          <w:lang w:val="es-CO" w:eastAsia="es-ES"/>
        </w:rPr>
        <w:t>Por último, aseguró que, previo a la presentación de esta demanda, allegó a la Administración la totalidad de la información requerida para el año gravable 2009 (f. 13).</w:t>
      </w:r>
    </w:p>
    <w:p w14:paraId="2BD2F59B" w14:textId="77777777" w:rsidR="00CD63EB" w:rsidRPr="00CD63EB" w:rsidRDefault="00CD63EB" w:rsidP="00276A2E">
      <w:pPr>
        <w:widowControl w:val="0"/>
        <w:rPr>
          <w:rFonts w:ascii="Segoe UI" w:eastAsia="Times New Roman" w:hAnsi="Segoe UI" w:cs="Segoe UI"/>
          <w:szCs w:val="24"/>
          <w:lang w:val="es-CO" w:eastAsia="es-ES"/>
        </w:rPr>
      </w:pPr>
    </w:p>
    <w:p w14:paraId="5724F899" w14:textId="77777777" w:rsidR="00CD63EB" w:rsidRPr="00CD63EB" w:rsidRDefault="00CD63EB" w:rsidP="00276A2E">
      <w:pPr>
        <w:widowControl w:val="0"/>
        <w:rPr>
          <w:rFonts w:ascii="Segoe UI" w:eastAsia="Times New Roman" w:hAnsi="Segoe UI" w:cs="Segoe UI"/>
          <w:b/>
          <w:szCs w:val="24"/>
          <w:lang w:val="es-CO" w:eastAsia="es-ES"/>
        </w:rPr>
      </w:pPr>
      <w:r w:rsidRPr="00CD63EB">
        <w:rPr>
          <w:rFonts w:ascii="Segoe UI" w:eastAsia="Times New Roman" w:hAnsi="Segoe UI" w:cs="Segoe UI"/>
          <w:b/>
          <w:szCs w:val="24"/>
          <w:lang w:val="es-CO" w:eastAsia="es-ES"/>
        </w:rPr>
        <w:t>Contestación de la demanda</w:t>
      </w:r>
    </w:p>
    <w:p w14:paraId="4061F5C0" w14:textId="77777777" w:rsidR="00CD63EB" w:rsidRPr="00CD63EB" w:rsidRDefault="00CD63EB" w:rsidP="00276A2E">
      <w:pPr>
        <w:widowControl w:val="0"/>
        <w:rPr>
          <w:rFonts w:ascii="Segoe UI" w:eastAsia="Times New Roman" w:hAnsi="Segoe UI" w:cs="Segoe UI"/>
          <w:szCs w:val="24"/>
          <w:lang w:val="es-CO" w:eastAsia="es-ES"/>
        </w:rPr>
      </w:pPr>
    </w:p>
    <w:p w14:paraId="091D9D5F" w14:textId="77777777" w:rsidR="00CD63EB" w:rsidRPr="00CD63EB" w:rsidRDefault="00CD63EB" w:rsidP="00276A2E">
      <w:pPr>
        <w:widowControl w:val="0"/>
        <w:rPr>
          <w:rFonts w:ascii="Segoe UI" w:eastAsia="Times New Roman" w:hAnsi="Segoe UI" w:cs="Segoe UI"/>
          <w:bCs/>
          <w:szCs w:val="24"/>
          <w:lang w:val="es-CO" w:eastAsia="es-ES"/>
        </w:rPr>
      </w:pPr>
      <w:r w:rsidRPr="00CD63EB">
        <w:rPr>
          <w:rFonts w:ascii="Segoe UI" w:eastAsia="Times New Roman" w:hAnsi="Segoe UI" w:cs="Segoe UI"/>
          <w:bCs/>
          <w:szCs w:val="24"/>
          <w:lang w:val="es-CO" w:eastAsia="es-ES"/>
        </w:rPr>
        <w:t>La apoderada de la DIAN contestó la demanda y se opuso a las pretensiones de la parte actora, en los siguientes términos (</w:t>
      </w:r>
      <w:proofErr w:type="spellStart"/>
      <w:r w:rsidRPr="00CD63EB">
        <w:rPr>
          <w:rFonts w:ascii="Segoe UI" w:eastAsia="Times New Roman" w:hAnsi="Segoe UI" w:cs="Segoe UI"/>
          <w:bCs/>
          <w:szCs w:val="24"/>
          <w:lang w:val="es-CO" w:eastAsia="es-ES"/>
        </w:rPr>
        <w:t>ff</w:t>
      </w:r>
      <w:proofErr w:type="spellEnd"/>
      <w:r w:rsidRPr="00CD63EB">
        <w:rPr>
          <w:rFonts w:ascii="Segoe UI" w:eastAsia="Times New Roman" w:hAnsi="Segoe UI" w:cs="Segoe UI"/>
          <w:bCs/>
          <w:szCs w:val="24"/>
          <w:lang w:val="es-CO" w:eastAsia="es-ES"/>
        </w:rPr>
        <w:t>. 77 a 85):</w:t>
      </w:r>
    </w:p>
    <w:p w14:paraId="502AF816" w14:textId="77777777" w:rsidR="00CD63EB" w:rsidRPr="00CD63EB" w:rsidRDefault="00CD63EB" w:rsidP="00276A2E">
      <w:pPr>
        <w:widowControl w:val="0"/>
        <w:overflowPunct w:val="0"/>
        <w:adjustRightInd w:val="0"/>
        <w:textAlignment w:val="baseline"/>
        <w:rPr>
          <w:rFonts w:ascii="Segoe UI" w:eastAsia="Times New Roman" w:hAnsi="Segoe UI" w:cs="Segoe UI"/>
          <w:bCs/>
          <w:szCs w:val="24"/>
          <w:lang w:val="es-CO" w:eastAsia="es-ES"/>
        </w:rPr>
      </w:pPr>
    </w:p>
    <w:p w14:paraId="1B7C5523" w14:textId="77777777" w:rsidR="00CD63EB" w:rsidRPr="00CD63EB" w:rsidRDefault="00CD63EB" w:rsidP="00276A2E">
      <w:pPr>
        <w:widowControl w:val="0"/>
        <w:overflowPunct w:val="0"/>
        <w:adjustRightInd w:val="0"/>
        <w:textAlignment w:val="baseline"/>
        <w:rPr>
          <w:rFonts w:ascii="Segoe UI" w:eastAsia="Times New Roman" w:hAnsi="Segoe UI" w:cs="Segoe UI"/>
          <w:bCs/>
          <w:szCs w:val="24"/>
          <w:lang w:val="es-CO" w:eastAsia="es-ES"/>
        </w:rPr>
      </w:pPr>
      <w:r w:rsidRPr="00CD63EB">
        <w:rPr>
          <w:rFonts w:ascii="Segoe UI" w:eastAsia="Times New Roman" w:hAnsi="Segoe UI" w:cs="Segoe UI"/>
          <w:bCs/>
          <w:szCs w:val="24"/>
          <w:lang w:val="es-CO" w:eastAsia="es-ES"/>
        </w:rPr>
        <w:t>Planteó que los actos demandados se encuentran debidamente motivados y contienen las razones de hecho y de derecho que dieron lugar a la sanción. Explicó que el acto administrativo está conformado por la parte motiva (anexo explicativo) y la parte resolutiva. Precisamente, en los considerandos de los actos demandados, la DIAN expresamente anunció que la demandante no presentó la información en medios magnéticos, según lo establecido en la Resolución 7935, del 28 de julio de 2009 y, por tanto, incurrió en el hecho sancionable contemplado en el artículo 651 del ET.</w:t>
      </w:r>
    </w:p>
    <w:p w14:paraId="0BDADDD5" w14:textId="77777777" w:rsidR="00CD63EB" w:rsidRPr="00CD63EB" w:rsidRDefault="00CD63EB" w:rsidP="00276A2E">
      <w:pPr>
        <w:widowControl w:val="0"/>
        <w:overflowPunct w:val="0"/>
        <w:adjustRightInd w:val="0"/>
        <w:textAlignment w:val="baseline"/>
        <w:rPr>
          <w:rFonts w:ascii="Segoe UI" w:eastAsia="Times New Roman" w:hAnsi="Segoe UI" w:cs="Segoe UI"/>
          <w:bCs/>
          <w:szCs w:val="24"/>
          <w:lang w:val="es-CO" w:eastAsia="es-ES"/>
        </w:rPr>
      </w:pPr>
    </w:p>
    <w:p w14:paraId="667CFE1B" w14:textId="77777777" w:rsidR="00CD63EB" w:rsidRPr="00CD63EB" w:rsidRDefault="00CD63EB" w:rsidP="00276A2E">
      <w:pPr>
        <w:widowControl w:val="0"/>
        <w:overflowPunct w:val="0"/>
        <w:adjustRightInd w:val="0"/>
        <w:textAlignment w:val="baseline"/>
        <w:rPr>
          <w:rFonts w:ascii="Segoe UI" w:eastAsia="Times New Roman" w:hAnsi="Segoe UI" w:cs="Segoe UI"/>
          <w:bCs/>
          <w:szCs w:val="24"/>
          <w:lang w:val="es-CO" w:eastAsia="es-ES"/>
        </w:rPr>
      </w:pPr>
      <w:r w:rsidRPr="00CD63EB">
        <w:rPr>
          <w:rFonts w:ascii="Segoe UI" w:eastAsia="Times New Roman" w:hAnsi="Segoe UI" w:cs="Segoe UI"/>
          <w:bCs/>
          <w:szCs w:val="24"/>
          <w:lang w:val="es-CO" w:eastAsia="es-ES"/>
        </w:rPr>
        <w:t>Sostuvo que, conforme a la doctrina y a la jurisprudencia actual, no es necesario señalar en el acto acusado cuál es el daño causado a la Administración por no enviar información, porque esa omisión por</w:t>
      </w:r>
      <w:r w:rsidRPr="00CD63EB">
        <w:rPr>
          <w:rFonts w:ascii="Segoe UI" w:eastAsia="Times New Roman" w:hAnsi="Segoe UI" w:cs="Segoe UI"/>
          <w:bCs/>
          <w:i/>
          <w:szCs w:val="24"/>
          <w:lang w:val="es-CO" w:eastAsia="es-ES"/>
        </w:rPr>
        <w:t xml:space="preserve"> </w:t>
      </w:r>
      <w:r w:rsidRPr="00CD63EB">
        <w:rPr>
          <w:rFonts w:ascii="Segoe UI" w:eastAsia="Times New Roman" w:hAnsi="Segoe UI" w:cs="Segoe UI"/>
          <w:bCs/>
          <w:szCs w:val="24"/>
          <w:lang w:val="es-CO" w:eastAsia="es-ES"/>
        </w:rPr>
        <w:t>sí misma obstaculiza</w:t>
      </w:r>
      <w:r w:rsidRPr="00CD63EB">
        <w:rPr>
          <w:rFonts w:ascii="Segoe UI" w:eastAsia="Times New Roman" w:hAnsi="Segoe UI" w:cs="Segoe UI"/>
          <w:bCs/>
          <w:i/>
          <w:szCs w:val="24"/>
          <w:lang w:val="es-CO" w:eastAsia="es-ES"/>
        </w:rPr>
        <w:t xml:space="preserve"> </w:t>
      </w:r>
      <w:r w:rsidRPr="00CD63EB">
        <w:rPr>
          <w:rFonts w:ascii="Segoe UI" w:eastAsia="Times New Roman" w:hAnsi="Segoe UI" w:cs="Segoe UI"/>
          <w:bCs/>
          <w:szCs w:val="24"/>
          <w:lang w:val="es-CO" w:eastAsia="es-ES"/>
        </w:rPr>
        <w:t>la facultad de la Administración para fiscalizar.</w:t>
      </w:r>
    </w:p>
    <w:p w14:paraId="642D47D2" w14:textId="77777777" w:rsidR="00CD63EB" w:rsidRPr="00CD63EB" w:rsidRDefault="00CD63EB" w:rsidP="00276A2E">
      <w:pPr>
        <w:widowControl w:val="0"/>
        <w:overflowPunct w:val="0"/>
        <w:adjustRightInd w:val="0"/>
        <w:textAlignment w:val="baseline"/>
        <w:rPr>
          <w:rFonts w:ascii="Segoe UI" w:eastAsia="Times New Roman" w:hAnsi="Segoe UI" w:cs="Segoe UI"/>
          <w:bCs/>
          <w:szCs w:val="24"/>
          <w:lang w:val="es-CO" w:eastAsia="es-ES"/>
        </w:rPr>
      </w:pPr>
    </w:p>
    <w:p w14:paraId="3829205A" w14:textId="77777777" w:rsidR="00CD63EB" w:rsidRPr="00CD63EB" w:rsidRDefault="00CD63EB" w:rsidP="00276A2E">
      <w:pPr>
        <w:widowControl w:val="0"/>
        <w:overflowPunct w:val="0"/>
        <w:adjustRightInd w:val="0"/>
        <w:textAlignment w:val="baseline"/>
        <w:rPr>
          <w:rFonts w:ascii="Segoe UI" w:eastAsia="Times New Roman" w:hAnsi="Segoe UI" w:cs="Segoe UI"/>
          <w:bCs/>
          <w:szCs w:val="24"/>
          <w:lang w:val="es-CO" w:eastAsia="es-ES"/>
        </w:rPr>
      </w:pPr>
      <w:r w:rsidRPr="00CD63EB">
        <w:rPr>
          <w:rFonts w:ascii="Segoe UI" w:eastAsia="Times New Roman" w:hAnsi="Segoe UI" w:cs="Segoe UI"/>
          <w:bCs/>
          <w:szCs w:val="24"/>
          <w:lang w:val="es-CO" w:eastAsia="es-ES"/>
        </w:rPr>
        <w:t>Por otra parte, frente al porcentaje de la sanción aplicada, señaló que de acuerdo con la Resolución 11774 de 2005, era procedente sancionar con el 5 % sobre la sumatoria de la información no suministrada.</w:t>
      </w:r>
    </w:p>
    <w:p w14:paraId="1CCAE71A" w14:textId="77777777" w:rsidR="00CD63EB" w:rsidRPr="00CD63EB" w:rsidRDefault="00CD63EB" w:rsidP="00276A2E">
      <w:pPr>
        <w:widowControl w:val="0"/>
        <w:overflowPunct w:val="0"/>
        <w:adjustRightInd w:val="0"/>
        <w:textAlignment w:val="baseline"/>
        <w:rPr>
          <w:rFonts w:ascii="Segoe UI" w:eastAsia="Times New Roman" w:hAnsi="Segoe UI" w:cs="Segoe UI"/>
          <w:bCs/>
          <w:szCs w:val="24"/>
          <w:lang w:val="es-CO" w:eastAsia="es-ES"/>
        </w:rPr>
      </w:pPr>
    </w:p>
    <w:p w14:paraId="2F109215" w14:textId="77777777" w:rsidR="00CD63EB" w:rsidRPr="00CD63EB" w:rsidRDefault="00CD63EB" w:rsidP="00276A2E">
      <w:pPr>
        <w:widowControl w:val="0"/>
        <w:overflowPunct w:val="0"/>
        <w:adjustRightInd w:val="0"/>
        <w:textAlignment w:val="baseline"/>
        <w:rPr>
          <w:rFonts w:ascii="Segoe UI" w:eastAsia="Times New Roman" w:hAnsi="Segoe UI" w:cs="Segoe UI"/>
          <w:bCs/>
          <w:szCs w:val="24"/>
          <w:lang w:val="es-CO" w:eastAsia="es-ES"/>
        </w:rPr>
      </w:pPr>
      <w:r w:rsidRPr="00CD63EB">
        <w:rPr>
          <w:rFonts w:ascii="Segoe UI" w:eastAsia="Times New Roman" w:hAnsi="Segoe UI" w:cs="Segoe UI"/>
          <w:bCs/>
          <w:szCs w:val="24"/>
          <w:lang w:val="es-CO" w:eastAsia="es-ES"/>
        </w:rPr>
        <w:t xml:space="preserve">En torno al cargo de </w:t>
      </w:r>
      <w:r w:rsidRPr="00CD63EB">
        <w:rPr>
          <w:rFonts w:ascii="Segoe UI" w:eastAsia="Times New Roman" w:hAnsi="Segoe UI" w:cs="Segoe UI"/>
          <w:szCs w:val="24"/>
          <w:lang w:val="es-CO" w:eastAsia="es-ES"/>
        </w:rPr>
        <w:t>«</w:t>
      </w:r>
      <w:r w:rsidRPr="00CD63EB">
        <w:rPr>
          <w:rFonts w:ascii="Segoe UI" w:eastAsia="Times New Roman" w:hAnsi="Segoe UI" w:cs="Segoe UI"/>
          <w:i/>
          <w:szCs w:val="24"/>
          <w:lang w:val="es-CO" w:eastAsia="es-ES"/>
        </w:rPr>
        <w:t>prescripción</w:t>
      </w:r>
      <w:r w:rsidRPr="00CD63EB">
        <w:rPr>
          <w:rFonts w:ascii="Segoe UI" w:eastAsia="Times New Roman" w:hAnsi="Segoe UI" w:cs="Segoe UI"/>
          <w:szCs w:val="24"/>
          <w:lang w:val="es-CO" w:eastAsia="es-ES"/>
        </w:rPr>
        <w:t xml:space="preserve">» </w:t>
      </w:r>
      <w:r w:rsidRPr="00CD63EB">
        <w:rPr>
          <w:rFonts w:ascii="Segoe UI" w:eastAsia="Times New Roman" w:hAnsi="Segoe UI" w:cs="Segoe UI"/>
          <w:bCs/>
          <w:szCs w:val="24"/>
          <w:lang w:val="es-CO" w:eastAsia="es-ES"/>
        </w:rPr>
        <w:t>formulado por la demandante, adujo que el término de dos años, con que cuenta la entidad demandada para notificar el pliego de cargos, se contabiliza a partir de la fecha en la que se presente la declaración del impuesto sobre la renta del año en que se incurra en la irregularidad sancionable.</w:t>
      </w:r>
    </w:p>
    <w:p w14:paraId="29C10DF7" w14:textId="77777777" w:rsidR="00CD63EB" w:rsidRPr="00CD63EB" w:rsidRDefault="00CD63EB" w:rsidP="00276A2E">
      <w:pPr>
        <w:widowControl w:val="0"/>
        <w:overflowPunct w:val="0"/>
        <w:adjustRightInd w:val="0"/>
        <w:textAlignment w:val="baseline"/>
        <w:rPr>
          <w:rFonts w:ascii="Segoe UI" w:eastAsia="Times New Roman" w:hAnsi="Segoe UI" w:cs="Segoe UI"/>
          <w:bCs/>
          <w:szCs w:val="24"/>
          <w:lang w:val="es-CO" w:eastAsia="es-ES"/>
        </w:rPr>
      </w:pPr>
    </w:p>
    <w:p w14:paraId="6E418A81" w14:textId="77777777" w:rsidR="00CD63EB" w:rsidRPr="00CD63EB" w:rsidRDefault="00CD63EB" w:rsidP="00276A2E">
      <w:pPr>
        <w:widowControl w:val="0"/>
        <w:overflowPunct w:val="0"/>
        <w:adjustRightInd w:val="0"/>
        <w:textAlignment w:val="baseline"/>
        <w:rPr>
          <w:rFonts w:ascii="Segoe UI" w:eastAsia="Times New Roman" w:hAnsi="Segoe UI" w:cs="Segoe UI"/>
          <w:bCs/>
          <w:szCs w:val="24"/>
          <w:lang w:val="es-CO" w:eastAsia="es-ES"/>
        </w:rPr>
      </w:pPr>
      <w:r w:rsidRPr="00CD63EB">
        <w:rPr>
          <w:rFonts w:ascii="Segoe UI" w:eastAsia="Times New Roman" w:hAnsi="Segoe UI" w:cs="Segoe UI"/>
          <w:bCs/>
          <w:szCs w:val="24"/>
          <w:lang w:val="es-CO" w:eastAsia="es-ES"/>
        </w:rPr>
        <w:t>Que, en el presente caso, la demandante debió presentar la información en medios magnéticos el 26 de abril de 2010, de conformidad con la Resolución 7935 de 2009. En ese año la actora incurrió en el hecho sancionable de no presentar la información, así que los dos años para que la Administración ejercitara la facultad sancionatoria, debían partir del momento en el cual la actora tenía que presentar la declaración del impuesto sobre la renta y complementarios del año en que incurrió en la infracción, esto es, del año 2010.</w:t>
      </w:r>
    </w:p>
    <w:p w14:paraId="636B6588" w14:textId="77777777" w:rsidR="00CD63EB" w:rsidRPr="00CD63EB" w:rsidRDefault="00CD63EB" w:rsidP="00276A2E">
      <w:pPr>
        <w:widowControl w:val="0"/>
        <w:overflowPunct w:val="0"/>
        <w:adjustRightInd w:val="0"/>
        <w:textAlignment w:val="baseline"/>
        <w:rPr>
          <w:rFonts w:ascii="Segoe UI" w:eastAsia="Times New Roman" w:hAnsi="Segoe UI" w:cs="Segoe UI"/>
          <w:bCs/>
          <w:szCs w:val="24"/>
          <w:lang w:val="es-CO" w:eastAsia="es-ES"/>
        </w:rPr>
      </w:pPr>
    </w:p>
    <w:p w14:paraId="2A22F730" w14:textId="77777777" w:rsidR="00CD63EB" w:rsidRPr="00CD63EB" w:rsidRDefault="00CD63EB" w:rsidP="00276A2E">
      <w:pPr>
        <w:widowControl w:val="0"/>
        <w:overflowPunct w:val="0"/>
        <w:adjustRightInd w:val="0"/>
        <w:textAlignment w:val="baseline"/>
        <w:rPr>
          <w:rFonts w:ascii="Segoe UI" w:eastAsia="Times New Roman" w:hAnsi="Segoe UI" w:cs="Segoe UI"/>
          <w:bCs/>
          <w:szCs w:val="24"/>
          <w:lang w:val="es-CO" w:eastAsia="es-ES"/>
        </w:rPr>
      </w:pPr>
      <w:r w:rsidRPr="00CD63EB">
        <w:rPr>
          <w:rFonts w:ascii="Segoe UI" w:eastAsia="Times New Roman" w:hAnsi="Segoe UI" w:cs="Segoe UI"/>
          <w:bCs/>
          <w:szCs w:val="24"/>
          <w:lang w:val="es-CO" w:eastAsia="es-ES"/>
        </w:rPr>
        <w:t>Agregó, que, el 29 de marzo de 2011, la demandante presentó la declaración del impuesto sobre la renta del período fiscal 2010. Luego, indicó que, a la luz del artículo 638 del ET, la facultad sancionatoria vencía a los dos años siguientes de la fecha de presentación de la declaración del impuesto de renta del año gravable 2010, es decir, el 29 de marzo de 2013.</w:t>
      </w:r>
    </w:p>
    <w:p w14:paraId="1A71ABAE" w14:textId="77777777" w:rsidR="00CD63EB" w:rsidRPr="00CD63EB" w:rsidRDefault="00CD63EB" w:rsidP="00276A2E">
      <w:pPr>
        <w:widowControl w:val="0"/>
        <w:overflowPunct w:val="0"/>
        <w:adjustRightInd w:val="0"/>
        <w:textAlignment w:val="baseline"/>
        <w:rPr>
          <w:rFonts w:ascii="Segoe UI" w:eastAsia="Times New Roman" w:hAnsi="Segoe UI" w:cs="Segoe UI"/>
          <w:bCs/>
          <w:szCs w:val="24"/>
          <w:lang w:val="es-CO" w:eastAsia="es-ES"/>
        </w:rPr>
      </w:pPr>
    </w:p>
    <w:p w14:paraId="15D3F161" w14:textId="77777777" w:rsidR="00CD63EB" w:rsidRPr="00CD63EB" w:rsidRDefault="00CD63EB" w:rsidP="00276A2E">
      <w:pPr>
        <w:widowControl w:val="0"/>
        <w:overflowPunct w:val="0"/>
        <w:adjustRightInd w:val="0"/>
        <w:textAlignment w:val="baseline"/>
        <w:rPr>
          <w:rFonts w:ascii="Segoe UI" w:eastAsia="Times New Roman" w:hAnsi="Segoe UI" w:cs="Segoe UI"/>
          <w:bCs/>
          <w:szCs w:val="24"/>
          <w:lang w:val="es-CO" w:eastAsia="es-ES"/>
        </w:rPr>
      </w:pPr>
      <w:r w:rsidRPr="00CD63EB">
        <w:rPr>
          <w:rFonts w:ascii="Segoe UI" w:eastAsia="Times New Roman" w:hAnsi="Segoe UI" w:cs="Segoe UI"/>
          <w:bCs/>
          <w:szCs w:val="24"/>
          <w:lang w:val="es-CO" w:eastAsia="es-ES"/>
        </w:rPr>
        <w:t xml:space="preserve">De conformidad con lo anterior, concluyó que no hubo </w:t>
      </w:r>
      <w:r w:rsidRPr="00CD63EB">
        <w:rPr>
          <w:rFonts w:ascii="Segoe UI" w:eastAsia="Times New Roman" w:hAnsi="Segoe UI" w:cs="Segoe UI"/>
          <w:szCs w:val="24"/>
          <w:lang w:val="es-CO" w:eastAsia="es-ES"/>
        </w:rPr>
        <w:t>«</w:t>
      </w:r>
      <w:r w:rsidRPr="00CD63EB">
        <w:rPr>
          <w:rFonts w:ascii="Segoe UI" w:eastAsia="Times New Roman" w:hAnsi="Segoe UI" w:cs="Segoe UI"/>
          <w:i/>
          <w:szCs w:val="24"/>
          <w:lang w:val="es-CO" w:eastAsia="es-ES"/>
        </w:rPr>
        <w:t>prescripción</w:t>
      </w:r>
      <w:r w:rsidRPr="00CD63EB">
        <w:rPr>
          <w:rFonts w:ascii="Segoe UI" w:eastAsia="Times New Roman" w:hAnsi="Segoe UI" w:cs="Segoe UI"/>
          <w:szCs w:val="24"/>
          <w:lang w:val="es-CO" w:eastAsia="es-ES"/>
        </w:rPr>
        <w:t xml:space="preserve">» </w:t>
      </w:r>
      <w:r w:rsidRPr="00CD63EB">
        <w:rPr>
          <w:rFonts w:ascii="Segoe UI" w:eastAsia="Times New Roman" w:hAnsi="Segoe UI" w:cs="Segoe UI"/>
          <w:bCs/>
          <w:szCs w:val="24"/>
          <w:lang w:val="es-CO" w:eastAsia="es-ES"/>
        </w:rPr>
        <w:t>de la potestad sancionadora, en la medida en que el pliego de cargos fue proferido el 26 de septiembre de 2012 y, asimismo, el acto sancionatorio fue expedido el 8 de mayo de 2013.</w:t>
      </w:r>
    </w:p>
    <w:p w14:paraId="7EDFCE6E" w14:textId="77777777" w:rsidR="00CD63EB" w:rsidRPr="00CD63EB" w:rsidRDefault="00CD63EB" w:rsidP="00276A2E">
      <w:pPr>
        <w:widowControl w:val="0"/>
        <w:overflowPunct w:val="0"/>
        <w:adjustRightInd w:val="0"/>
        <w:textAlignment w:val="baseline"/>
        <w:rPr>
          <w:rFonts w:ascii="Segoe UI" w:eastAsia="Times New Roman" w:hAnsi="Segoe UI" w:cs="Segoe UI"/>
          <w:bCs/>
          <w:szCs w:val="24"/>
          <w:lang w:val="es-CO" w:eastAsia="es-ES"/>
        </w:rPr>
      </w:pPr>
    </w:p>
    <w:p w14:paraId="6AFF5B01" w14:textId="77777777" w:rsidR="00CD63EB" w:rsidRPr="00CD63EB" w:rsidRDefault="00CD63EB" w:rsidP="00276A2E">
      <w:pPr>
        <w:widowControl w:val="0"/>
        <w:overflowPunct w:val="0"/>
        <w:adjustRightInd w:val="0"/>
        <w:textAlignment w:val="baseline"/>
        <w:rPr>
          <w:rFonts w:ascii="Segoe UI" w:eastAsia="Times New Roman" w:hAnsi="Segoe UI" w:cs="Segoe UI"/>
          <w:bCs/>
          <w:szCs w:val="24"/>
          <w:lang w:val="es-CO" w:eastAsia="es-ES"/>
        </w:rPr>
      </w:pPr>
      <w:r w:rsidRPr="00CD63EB">
        <w:rPr>
          <w:rFonts w:ascii="Segoe UI" w:eastAsia="Times New Roman" w:hAnsi="Segoe UI" w:cs="Segoe UI"/>
          <w:bCs/>
          <w:szCs w:val="24"/>
          <w:lang w:val="es-CO" w:eastAsia="es-ES"/>
        </w:rPr>
        <w:t>Finalmente, estimó que no procedía la graduación de la sanción demandada, ya que la actora no presentó la información exógena durante la actuación administrativa.</w:t>
      </w:r>
    </w:p>
    <w:p w14:paraId="615317BE" w14:textId="77777777" w:rsidR="00CD63EB" w:rsidRPr="00CD63EB" w:rsidRDefault="00CD63EB" w:rsidP="00276A2E">
      <w:pPr>
        <w:widowControl w:val="0"/>
        <w:overflowPunct w:val="0"/>
        <w:adjustRightInd w:val="0"/>
        <w:textAlignment w:val="baseline"/>
        <w:rPr>
          <w:rFonts w:ascii="Segoe UI" w:eastAsia="Times New Roman" w:hAnsi="Segoe UI" w:cs="Segoe UI"/>
          <w:bCs/>
          <w:szCs w:val="24"/>
          <w:lang w:val="es-CO" w:eastAsia="es-ES"/>
        </w:rPr>
      </w:pPr>
    </w:p>
    <w:p w14:paraId="4BC2C0E5" w14:textId="77777777" w:rsidR="00CD63EB" w:rsidRPr="00CD63EB" w:rsidRDefault="00CD63EB" w:rsidP="00276A2E">
      <w:pPr>
        <w:widowControl w:val="0"/>
        <w:rPr>
          <w:rFonts w:ascii="Segoe UI" w:eastAsia="Times New Roman" w:hAnsi="Segoe UI" w:cs="Segoe UI"/>
          <w:b/>
          <w:szCs w:val="24"/>
          <w:lang w:val="es-CO" w:eastAsia="es-ES"/>
        </w:rPr>
      </w:pPr>
      <w:r w:rsidRPr="00CD63EB">
        <w:rPr>
          <w:rFonts w:ascii="Segoe UI" w:eastAsia="Times New Roman" w:hAnsi="Segoe UI" w:cs="Segoe UI"/>
          <w:b/>
          <w:szCs w:val="24"/>
          <w:lang w:val="es-CO" w:eastAsia="es-ES"/>
        </w:rPr>
        <w:t>Sentencia apelada</w:t>
      </w:r>
    </w:p>
    <w:p w14:paraId="096EE81D" w14:textId="77777777" w:rsidR="00CD63EB" w:rsidRPr="00CD63EB" w:rsidRDefault="00CD63EB" w:rsidP="00276A2E">
      <w:pPr>
        <w:widowControl w:val="0"/>
        <w:rPr>
          <w:rFonts w:ascii="Segoe UI" w:eastAsia="Times New Roman" w:hAnsi="Segoe UI" w:cs="Segoe UI"/>
          <w:szCs w:val="24"/>
          <w:lang w:val="es-CO" w:eastAsia="es-ES"/>
        </w:rPr>
      </w:pPr>
    </w:p>
    <w:p w14:paraId="7ECB489E" w14:textId="77777777" w:rsidR="00CD63EB" w:rsidRPr="00CD63EB" w:rsidRDefault="00CD63EB" w:rsidP="00276A2E">
      <w:pPr>
        <w:widowControl w:val="0"/>
        <w:rPr>
          <w:rFonts w:ascii="Segoe UI" w:eastAsia="Times New Roman" w:hAnsi="Segoe UI" w:cs="Segoe UI"/>
          <w:szCs w:val="24"/>
          <w:lang w:val="es-CO" w:eastAsia="es-ES"/>
        </w:rPr>
      </w:pPr>
      <w:r w:rsidRPr="00CD63EB">
        <w:rPr>
          <w:rFonts w:ascii="Segoe UI" w:eastAsia="Times New Roman" w:hAnsi="Segoe UI" w:cs="Segoe UI"/>
          <w:szCs w:val="24"/>
          <w:lang w:val="es-CO" w:eastAsia="es-ES"/>
        </w:rPr>
        <w:t>El tribunal anuló parcialmente los actos administrativos demandados y, a título de restablecimiento del derecho, declaró que la Administración debía liquidar la sanción aplicando el 0.5 % sobre la suma de la información no suministrada.</w:t>
      </w:r>
    </w:p>
    <w:p w14:paraId="57ADDC6B" w14:textId="77777777" w:rsidR="00CD63EB" w:rsidRPr="00CD63EB" w:rsidRDefault="00CD63EB" w:rsidP="00276A2E">
      <w:pPr>
        <w:widowControl w:val="0"/>
        <w:rPr>
          <w:rFonts w:ascii="Segoe UI" w:eastAsia="Times New Roman" w:hAnsi="Segoe UI" w:cs="Segoe UI"/>
          <w:szCs w:val="24"/>
          <w:lang w:val="es-CO" w:eastAsia="es-ES"/>
        </w:rPr>
      </w:pPr>
    </w:p>
    <w:p w14:paraId="43EDDB00" w14:textId="77777777" w:rsidR="00CD63EB" w:rsidRPr="00CD63EB" w:rsidRDefault="00CD63EB" w:rsidP="00276A2E">
      <w:pPr>
        <w:widowControl w:val="0"/>
        <w:rPr>
          <w:rFonts w:ascii="Segoe UI" w:eastAsia="Times New Roman" w:hAnsi="Segoe UI" w:cs="Segoe UI"/>
          <w:szCs w:val="24"/>
          <w:lang w:val="es-CO" w:eastAsia="es-ES"/>
        </w:rPr>
      </w:pPr>
      <w:r w:rsidRPr="00CD63EB">
        <w:rPr>
          <w:rFonts w:ascii="Segoe UI" w:eastAsia="Times New Roman" w:hAnsi="Segoe UI" w:cs="Segoe UI"/>
          <w:szCs w:val="24"/>
          <w:lang w:val="es-CO" w:eastAsia="es-ES"/>
        </w:rPr>
        <w:t>Al respecto, explicó que, aunque la información se presentó después de notificada la resolución que resolvió el recurso de reconsideración objeto de impugnación y, por lo tanto, no cumplió los requisitos de gradualidad del artículo 651 del ET, procedía la disminución de la sanción en atención a los principios de equidad y razonabilidad.</w:t>
      </w:r>
    </w:p>
    <w:p w14:paraId="16F75895" w14:textId="77777777" w:rsidR="00CD63EB" w:rsidRPr="00CD63EB" w:rsidRDefault="00CD63EB" w:rsidP="00276A2E">
      <w:pPr>
        <w:widowControl w:val="0"/>
        <w:rPr>
          <w:rFonts w:ascii="Segoe UI" w:eastAsia="Times New Roman" w:hAnsi="Segoe UI" w:cs="Segoe UI"/>
          <w:szCs w:val="24"/>
          <w:lang w:val="es-CO" w:eastAsia="es-ES"/>
        </w:rPr>
      </w:pPr>
    </w:p>
    <w:p w14:paraId="2A0E0DD8" w14:textId="77777777" w:rsidR="00CD63EB" w:rsidRPr="00CD63EB" w:rsidRDefault="00CD63EB" w:rsidP="00276A2E">
      <w:pPr>
        <w:widowControl w:val="0"/>
        <w:rPr>
          <w:rFonts w:ascii="Segoe UI" w:eastAsia="Times New Roman" w:hAnsi="Segoe UI" w:cs="Segoe UI"/>
          <w:szCs w:val="24"/>
          <w:lang w:val="es-CO" w:eastAsia="es-ES"/>
        </w:rPr>
      </w:pPr>
      <w:r w:rsidRPr="00CD63EB">
        <w:rPr>
          <w:rFonts w:ascii="Segoe UI" w:eastAsia="Times New Roman" w:hAnsi="Segoe UI" w:cs="Segoe UI"/>
          <w:szCs w:val="24"/>
          <w:lang w:val="es-CO" w:eastAsia="es-ES"/>
        </w:rPr>
        <w:t>Sobre los demás cargos, consideró que la actora efectuó una interpretación errada del artículo 651 del ET, ya que el término de «</w:t>
      </w:r>
      <w:r w:rsidRPr="00CD63EB">
        <w:rPr>
          <w:rFonts w:ascii="Segoe UI" w:eastAsia="Times New Roman" w:hAnsi="Segoe UI" w:cs="Segoe UI"/>
          <w:i/>
          <w:szCs w:val="24"/>
          <w:lang w:val="es-CO" w:eastAsia="es-ES"/>
        </w:rPr>
        <w:t>prescripción</w:t>
      </w:r>
      <w:r w:rsidRPr="00CD63EB">
        <w:rPr>
          <w:rFonts w:ascii="Segoe UI" w:eastAsia="Times New Roman" w:hAnsi="Segoe UI" w:cs="Segoe UI"/>
          <w:szCs w:val="24"/>
          <w:lang w:val="es-CO" w:eastAsia="es-ES"/>
        </w:rPr>
        <w:t>» de la facultad sancionadora se contabiliza a partir de la fecha en que la contribuyente presentó, o debió presentar, la declaración de renta del año en el que venció el plazo fijado para cumplir dicha obligación formal. Por lo cual, no prosperó el cargo de «</w:t>
      </w:r>
      <w:r w:rsidRPr="00CD63EB">
        <w:rPr>
          <w:rFonts w:ascii="Segoe UI" w:eastAsia="Times New Roman" w:hAnsi="Segoe UI" w:cs="Segoe UI"/>
          <w:i/>
          <w:szCs w:val="24"/>
          <w:lang w:val="es-CO" w:eastAsia="es-ES"/>
        </w:rPr>
        <w:t>prescripción</w:t>
      </w:r>
      <w:r w:rsidRPr="00CD63EB">
        <w:rPr>
          <w:rFonts w:ascii="Segoe UI" w:eastAsia="Times New Roman" w:hAnsi="Segoe UI" w:cs="Segoe UI"/>
          <w:szCs w:val="24"/>
          <w:lang w:val="es-CO" w:eastAsia="es-ES"/>
        </w:rPr>
        <w:t>», dado que el pliego de cargos se expidió dentro de los dos años siguientes a la presentación de la declaración del impuesto de renta del año gravable 2009.</w:t>
      </w:r>
    </w:p>
    <w:p w14:paraId="7835D668" w14:textId="77777777" w:rsidR="00CD63EB" w:rsidRPr="00CD63EB" w:rsidRDefault="00CD63EB" w:rsidP="00276A2E">
      <w:pPr>
        <w:widowControl w:val="0"/>
        <w:rPr>
          <w:rFonts w:ascii="Segoe UI" w:eastAsia="Times New Roman" w:hAnsi="Segoe UI" w:cs="Segoe UI"/>
          <w:szCs w:val="24"/>
          <w:lang w:val="es-CO" w:eastAsia="es-ES"/>
        </w:rPr>
      </w:pPr>
    </w:p>
    <w:p w14:paraId="446F43CD" w14:textId="77777777" w:rsidR="00CD63EB" w:rsidRPr="00CD63EB" w:rsidRDefault="00CD63EB" w:rsidP="00276A2E">
      <w:pPr>
        <w:widowControl w:val="0"/>
        <w:rPr>
          <w:rFonts w:ascii="Segoe UI" w:eastAsia="Times New Roman" w:hAnsi="Segoe UI" w:cs="Segoe UI"/>
          <w:szCs w:val="24"/>
          <w:lang w:val="es-CO" w:eastAsia="es-ES"/>
        </w:rPr>
      </w:pPr>
      <w:r w:rsidRPr="00CD63EB">
        <w:rPr>
          <w:rFonts w:ascii="Segoe UI" w:eastAsia="Times New Roman" w:hAnsi="Segoe UI" w:cs="Segoe UI"/>
          <w:szCs w:val="24"/>
          <w:lang w:val="es-CO" w:eastAsia="es-ES"/>
        </w:rPr>
        <w:t xml:space="preserve">Sostuvo que, contrario a lo afirmado por la parte actora, de las pruebas aportadas en el </w:t>
      </w:r>
      <w:r w:rsidRPr="00CD63EB">
        <w:rPr>
          <w:rFonts w:ascii="Segoe UI" w:eastAsia="Times New Roman" w:hAnsi="Segoe UI" w:cs="Segoe UI"/>
          <w:szCs w:val="24"/>
          <w:lang w:val="es-CO" w:eastAsia="es-ES"/>
        </w:rPr>
        <w:lastRenderedPageBreak/>
        <w:t>expediente se constata que los actos demandados señalaron expresamente que la conducta objeto de sanción fue la omisión del deber formal de enviar información en medios magnéticos del año gravable 2009. Asimismo, expresó que la demandante pudo ejercer el derecho de defensa contra los actos demandados.</w:t>
      </w:r>
    </w:p>
    <w:p w14:paraId="7B88D83A" w14:textId="77777777" w:rsidR="00CD63EB" w:rsidRPr="00CD63EB" w:rsidRDefault="00CD63EB" w:rsidP="00276A2E">
      <w:pPr>
        <w:widowControl w:val="0"/>
        <w:rPr>
          <w:rFonts w:ascii="Segoe UI" w:eastAsia="Times New Roman" w:hAnsi="Segoe UI" w:cs="Segoe UI"/>
          <w:szCs w:val="24"/>
          <w:lang w:val="es-CO" w:eastAsia="es-ES"/>
        </w:rPr>
      </w:pPr>
    </w:p>
    <w:p w14:paraId="4BDC1138" w14:textId="77777777" w:rsidR="00CD63EB" w:rsidRPr="00CD63EB" w:rsidRDefault="00CD63EB" w:rsidP="00276A2E">
      <w:pPr>
        <w:widowControl w:val="0"/>
        <w:overflowPunct w:val="0"/>
        <w:adjustRightInd w:val="0"/>
        <w:textAlignment w:val="baseline"/>
        <w:rPr>
          <w:rFonts w:ascii="Segoe UI" w:eastAsia="Times New Roman" w:hAnsi="Segoe UI" w:cs="Segoe UI"/>
          <w:b/>
          <w:szCs w:val="24"/>
          <w:lang w:val="es-CO" w:eastAsia="es-ES"/>
        </w:rPr>
      </w:pPr>
      <w:r w:rsidRPr="00CD63EB">
        <w:rPr>
          <w:rFonts w:ascii="Segoe UI" w:eastAsia="Times New Roman" w:hAnsi="Segoe UI" w:cs="Segoe UI"/>
          <w:b/>
          <w:szCs w:val="24"/>
          <w:lang w:val="es-CO" w:eastAsia="es-ES"/>
        </w:rPr>
        <w:t>Recurso de apelación</w:t>
      </w:r>
    </w:p>
    <w:p w14:paraId="548D7DC4" w14:textId="77777777" w:rsidR="00CD63EB" w:rsidRPr="00CD63EB" w:rsidRDefault="00CD63EB" w:rsidP="00276A2E">
      <w:pPr>
        <w:widowControl w:val="0"/>
        <w:rPr>
          <w:rFonts w:ascii="Segoe UI" w:eastAsia="Times New Roman" w:hAnsi="Segoe UI" w:cs="Segoe UI"/>
          <w:b/>
          <w:szCs w:val="24"/>
          <w:lang w:val="es-CO" w:eastAsia="es-ES"/>
        </w:rPr>
      </w:pPr>
    </w:p>
    <w:p w14:paraId="531E9BAC" w14:textId="77777777" w:rsidR="00CD63EB" w:rsidRPr="00CD63EB" w:rsidRDefault="00CD63EB" w:rsidP="00276A2E">
      <w:pPr>
        <w:widowControl w:val="0"/>
        <w:rPr>
          <w:rFonts w:ascii="Segoe UI" w:eastAsia="Times New Roman" w:hAnsi="Segoe UI" w:cs="Segoe UI"/>
          <w:szCs w:val="24"/>
          <w:lang w:val="es-CO" w:eastAsia="es-ES"/>
        </w:rPr>
      </w:pPr>
      <w:r w:rsidRPr="00CD63EB">
        <w:rPr>
          <w:rFonts w:ascii="Segoe UI" w:eastAsia="Times New Roman" w:hAnsi="Segoe UI" w:cs="Segoe UI"/>
          <w:b/>
          <w:szCs w:val="24"/>
          <w:lang w:val="es-CO" w:eastAsia="es-ES"/>
        </w:rPr>
        <w:t>Las partes</w:t>
      </w:r>
      <w:r w:rsidRPr="00CD63EB">
        <w:rPr>
          <w:rFonts w:ascii="Segoe UI" w:eastAsia="Times New Roman" w:hAnsi="Segoe UI" w:cs="Segoe UI"/>
          <w:szCs w:val="24"/>
          <w:lang w:val="es-CO" w:eastAsia="es-ES"/>
        </w:rPr>
        <w:t xml:space="preserve"> apelaron la decisión del tribunal. Las razones de inconformidad con la sentencia se resumen a continuación:</w:t>
      </w:r>
    </w:p>
    <w:p w14:paraId="5846FCA9" w14:textId="77777777" w:rsidR="00CD63EB" w:rsidRPr="00CD63EB" w:rsidRDefault="00CD63EB" w:rsidP="00276A2E">
      <w:pPr>
        <w:widowControl w:val="0"/>
        <w:rPr>
          <w:rFonts w:ascii="Segoe UI" w:eastAsia="Times New Roman" w:hAnsi="Segoe UI" w:cs="Segoe UI"/>
          <w:szCs w:val="24"/>
          <w:lang w:val="es-CO" w:eastAsia="es-ES"/>
        </w:rPr>
      </w:pPr>
    </w:p>
    <w:p w14:paraId="3657BDCE" w14:textId="77777777" w:rsidR="00CD63EB" w:rsidRPr="00CD63EB" w:rsidRDefault="00CD63EB" w:rsidP="00276A2E">
      <w:pPr>
        <w:widowControl w:val="0"/>
        <w:rPr>
          <w:rFonts w:ascii="Segoe UI" w:eastAsia="Times New Roman" w:hAnsi="Segoe UI" w:cs="Segoe UI"/>
          <w:szCs w:val="24"/>
          <w:lang w:val="es-CO" w:eastAsia="es-ES"/>
        </w:rPr>
      </w:pPr>
      <w:r w:rsidRPr="00CD63EB">
        <w:rPr>
          <w:rFonts w:ascii="Segoe UI" w:eastAsia="Times New Roman" w:hAnsi="Segoe UI" w:cs="Segoe UI"/>
          <w:b/>
          <w:szCs w:val="24"/>
          <w:lang w:val="es-CO" w:eastAsia="es-ES"/>
        </w:rPr>
        <w:t>La parte actora</w:t>
      </w:r>
      <w:r w:rsidRPr="00CD63EB">
        <w:rPr>
          <w:rFonts w:ascii="Segoe UI" w:eastAsia="Times New Roman" w:hAnsi="Segoe UI" w:cs="Segoe UI"/>
          <w:szCs w:val="24"/>
          <w:lang w:val="es-CO" w:eastAsia="es-ES"/>
        </w:rPr>
        <w:t xml:space="preserve"> reiteró los argumentos de la demanda respecto de: (i) la falta de señalamiento en los actos demandados de la conducta sancionable y del daño causado; y (</w:t>
      </w:r>
      <w:proofErr w:type="spellStart"/>
      <w:r w:rsidRPr="00CD63EB">
        <w:rPr>
          <w:rFonts w:ascii="Segoe UI" w:eastAsia="Times New Roman" w:hAnsi="Segoe UI" w:cs="Segoe UI"/>
          <w:szCs w:val="24"/>
          <w:lang w:val="es-CO" w:eastAsia="es-ES"/>
        </w:rPr>
        <w:t>ii</w:t>
      </w:r>
      <w:proofErr w:type="spellEnd"/>
      <w:r w:rsidRPr="00CD63EB">
        <w:rPr>
          <w:rFonts w:ascii="Segoe UI" w:eastAsia="Times New Roman" w:hAnsi="Segoe UI" w:cs="Segoe UI"/>
          <w:szCs w:val="24"/>
          <w:lang w:val="es-CO" w:eastAsia="es-ES"/>
        </w:rPr>
        <w:t>) la graduación de la sanción (</w:t>
      </w:r>
      <w:proofErr w:type="spellStart"/>
      <w:r w:rsidRPr="00CD63EB">
        <w:rPr>
          <w:rFonts w:ascii="Segoe UI" w:eastAsia="Times New Roman" w:hAnsi="Segoe UI" w:cs="Segoe UI"/>
          <w:szCs w:val="24"/>
          <w:lang w:val="es-CO" w:eastAsia="es-ES"/>
        </w:rPr>
        <w:t>ff</w:t>
      </w:r>
      <w:proofErr w:type="spellEnd"/>
      <w:r w:rsidRPr="00CD63EB">
        <w:rPr>
          <w:rFonts w:ascii="Segoe UI" w:eastAsia="Times New Roman" w:hAnsi="Segoe UI" w:cs="Segoe UI"/>
          <w:szCs w:val="24"/>
          <w:lang w:val="es-CO" w:eastAsia="es-ES"/>
        </w:rPr>
        <w:t>. 157 a 162).</w:t>
      </w:r>
    </w:p>
    <w:p w14:paraId="5F195C94" w14:textId="77777777" w:rsidR="00CD63EB" w:rsidRPr="00CD63EB" w:rsidRDefault="00CD63EB" w:rsidP="00276A2E">
      <w:pPr>
        <w:widowControl w:val="0"/>
        <w:rPr>
          <w:rFonts w:ascii="Segoe UI" w:eastAsia="Times New Roman" w:hAnsi="Segoe UI" w:cs="Segoe UI"/>
          <w:szCs w:val="24"/>
          <w:lang w:val="es-CO" w:eastAsia="es-ES"/>
        </w:rPr>
      </w:pPr>
    </w:p>
    <w:p w14:paraId="6B018450" w14:textId="77777777" w:rsidR="00CD63EB" w:rsidRPr="00CD63EB" w:rsidRDefault="00CD63EB" w:rsidP="00276A2E">
      <w:pPr>
        <w:widowControl w:val="0"/>
        <w:rPr>
          <w:rFonts w:ascii="Segoe UI" w:eastAsia="Times New Roman" w:hAnsi="Segoe UI" w:cs="Segoe UI"/>
          <w:szCs w:val="24"/>
          <w:lang w:val="es-CO" w:eastAsia="es-ES"/>
        </w:rPr>
      </w:pPr>
      <w:r w:rsidRPr="00CD63EB">
        <w:rPr>
          <w:rFonts w:ascii="Segoe UI" w:eastAsia="Times New Roman" w:hAnsi="Segoe UI" w:cs="Segoe UI"/>
          <w:szCs w:val="24"/>
          <w:lang w:val="es-CO" w:eastAsia="es-ES"/>
        </w:rPr>
        <w:t xml:space="preserve">A su turno, </w:t>
      </w:r>
      <w:r w:rsidRPr="00CD63EB">
        <w:rPr>
          <w:rFonts w:ascii="Segoe UI" w:eastAsia="Times New Roman" w:hAnsi="Segoe UI" w:cs="Segoe UI"/>
          <w:b/>
          <w:szCs w:val="24"/>
          <w:lang w:val="es-CO" w:eastAsia="es-ES"/>
        </w:rPr>
        <w:t>la DIAN</w:t>
      </w:r>
      <w:r w:rsidRPr="00CD63EB">
        <w:rPr>
          <w:rFonts w:ascii="Segoe UI" w:eastAsia="Times New Roman" w:hAnsi="Segoe UI" w:cs="Segoe UI"/>
          <w:szCs w:val="24"/>
          <w:lang w:val="es-CO" w:eastAsia="es-ES"/>
        </w:rPr>
        <w:t xml:space="preserve"> reiteró los argumentos de la contestación de la demanda relacionados con la improcedencia de la graduación de la sanción (</w:t>
      </w:r>
      <w:proofErr w:type="spellStart"/>
      <w:r w:rsidRPr="00CD63EB">
        <w:rPr>
          <w:rFonts w:ascii="Segoe UI" w:eastAsia="Times New Roman" w:hAnsi="Segoe UI" w:cs="Segoe UI"/>
          <w:szCs w:val="24"/>
          <w:lang w:val="es-CO" w:eastAsia="es-ES"/>
        </w:rPr>
        <w:t>ff</w:t>
      </w:r>
      <w:proofErr w:type="spellEnd"/>
      <w:r w:rsidRPr="00CD63EB">
        <w:rPr>
          <w:rFonts w:ascii="Segoe UI" w:eastAsia="Times New Roman" w:hAnsi="Segoe UI" w:cs="Segoe UI"/>
          <w:szCs w:val="24"/>
          <w:lang w:val="es-CO" w:eastAsia="es-ES"/>
        </w:rPr>
        <w:t>. 163 y 164).</w:t>
      </w:r>
    </w:p>
    <w:p w14:paraId="343DD624" w14:textId="77777777" w:rsidR="00CD63EB" w:rsidRPr="00CD63EB" w:rsidRDefault="00CD63EB" w:rsidP="00276A2E">
      <w:pPr>
        <w:widowControl w:val="0"/>
        <w:overflowPunct w:val="0"/>
        <w:adjustRightInd w:val="0"/>
        <w:textAlignment w:val="baseline"/>
        <w:rPr>
          <w:rFonts w:ascii="Segoe UI" w:eastAsia="Times New Roman" w:hAnsi="Segoe UI" w:cs="Segoe UI"/>
          <w:szCs w:val="24"/>
          <w:lang w:val="es-CO" w:eastAsia="es-ES"/>
        </w:rPr>
      </w:pPr>
    </w:p>
    <w:p w14:paraId="434CFE44" w14:textId="77777777" w:rsidR="00CD63EB" w:rsidRPr="00CD63EB" w:rsidRDefault="00CD63EB" w:rsidP="00276A2E">
      <w:pPr>
        <w:widowControl w:val="0"/>
        <w:overflowPunct w:val="0"/>
        <w:adjustRightInd w:val="0"/>
        <w:textAlignment w:val="baseline"/>
        <w:rPr>
          <w:rFonts w:ascii="Segoe UI" w:eastAsia="Times New Roman" w:hAnsi="Segoe UI" w:cs="Segoe UI"/>
          <w:b/>
          <w:szCs w:val="24"/>
          <w:lang w:val="es-CO" w:eastAsia="es-ES"/>
        </w:rPr>
      </w:pPr>
      <w:r w:rsidRPr="00CD63EB">
        <w:rPr>
          <w:rFonts w:ascii="Segoe UI" w:eastAsia="Times New Roman" w:hAnsi="Segoe UI" w:cs="Segoe UI"/>
          <w:b/>
          <w:szCs w:val="24"/>
          <w:lang w:val="es-CO" w:eastAsia="es-ES"/>
        </w:rPr>
        <w:t>Alegatos de conclusión</w:t>
      </w:r>
    </w:p>
    <w:p w14:paraId="7BC352B6" w14:textId="77777777" w:rsidR="00CD63EB" w:rsidRPr="00CD63EB" w:rsidRDefault="00CD63EB" w:rsidP="00276A2E">
      <w:pPr>
        <w:widowControl w:val="0"/>
        <w:overflowPunct w:val="0"/>
        <w:adjustRightInd w:val="0"/>
        <w:textAlignment w:val="baseline"/>
        <w:rPr>
          <w:rFonts w:ascii="Segoe UI" w:eastAsia="Times New Roman" w:hAnsi="Segoe UI" w:cs="Segoe UI"/>
          <w:szCs w:val="24"/>
          <w:lang w:val="es-CO" w:eastAsia="es-ES"/>
        </w:rPr>
      </w:pPr>
    </w:p>
    <w:p w14:paraId="0F49126C" w14:textId="77777777" w:rsidR="00CD63EB" w:rsidRPr="00CD63EB" w:rsidRDefault="00CD63EB" w:rsidP="00276A2E">
      <w:pPr>
        <w:widowControl w:val="0"/>
        <w:rPr>
          <w:rFonts w:ascii="Segoe UI" w:eastAsia="Times New Roman" w:hAnsi="Segoe UI" w:cs="Segoe UI"/>
          <w:szCs w:val="24"/>
          <w:lang w:val="es-CO" w:eastAsia="es-ES"/>
        </w:rPr>
      </w:pPr>
      <w:r w:rsidRPr="00CD63EB">
        <w:rPr>
          <w:rFonts w:ascii="Segoe UI" w:eastAsia="Times New Roman" w:hAnsi="Segoe UI" w:cs="Segoe UI"/>
          <w:szCs w:val="24"/>
          <w:lang w:val="es-CO" w:eastAsia="es-ES"/>
        </w:rPr>
        <w:t xml:space="preserve">Las </w:t>
      </w:r>
      <w:r w:rsidRPr="00CD63EB">
        <w:rPr>
          <w:rFonts w:ascii="Segoe UI" w:eastAsia="Times New Roman" w:hAnsi="Segoe UI" w:cs="Segoe UI"/>
          <w:b/>
          <w:szCs w:val="24"/>
          <w:lang w:val="es-CO" w:eastAsia="es-ES"/>
        </w:rPr>
        <w:t>partes</w:t>
      </w:r>
      <w:r w:rsidRPr="00CD63EB">
        <w:rPr>
          <w:rFonts w:ascii="Segoe UI" w:eastAsia="Times New Roman" w:hAnsi="Segoe UI" w:cs="Segoe UI"/>
          <w:szCs w:val="24"/>
          <w:lang w:val="es-CO" w:eastAsia="es-ES"/>
        </w:rPr>
        <w:t xml:space="preserve"> reiteraron los argumentos del escrito de apelación (</w:t>
      </w:r>
      <w:proofErr w:type="spellStart"/>
      <w:r w:rsidRPr="00CD63EB">
        <w:rPr>
          <w:rFonts w:ascii="Segoe UI" w:eastAsia="Times New Roman" w:hAnsi="Segoe UI" w:cs="Segoe UI"/>
          <w:szCs w:val="24"/>
          <w:lang w:val="es-CO" w:eastAsia="es-ES"/>
        </w:rPr>
        <w:t>ff</w:t>
      </w:r>
      <w:proofErr w:type="spellEnd"/>
      <w:r w:rsidRPr="00CD63EB">
        <w:rPr>
          <w:rFonts w:ascii="Segoe UI" w:eastAsia="Times New Roman" w:hAnsi="Segoe UI" w:cs="Segoe UI"/>
          <w:szCs w:val="24"/>
          <w:lang w:val="es-CO" w:eastAsia="es-ES"/>
        </w:rPr>
        <w:t>. 184 a 191).</w:t>
      </w:r>
    </w:p>
    <w:p w14:paraId="015467EB" w14:textId="77777777" w:rsidR="00CD63EB" w:rsidRPr="00CD63EB" w:rsidRDefault="00CD63EB" w:rsidP="00276A2E">
      <w:pPr>
        <w:widowControl w:val="0"/>
        <w:rPr>
          <w:rFonts w:ascii="Segoe UI" w:eastAsia="Times New Roman" w:hAnsi="Segoe UI" w:cs="Segoe UI"/>
          <w:szCs w:val="24"/>
          <w:lang w:val="es-CO" w:eastAsia="es-ES"/>
        </w:rPr>
      </w:pPr>
    </w:p>
    <w:p w14:paraId="1E235C11" w14:textId="77777777" w:rsidR="00CD63EB" w:rsidRPr="00CD63EB" w:rsidRDefault="00CD63EB" w:rsidP="00276A2E">
      <w:pPr>
        <w:widowControl w:val="0"/>
        <w:rPr>
          <w:rFonts w:ascii="Segoe UI" w:eastAsia="Times New Roman" w:hAnsi="Segoe UI" w:cs="Segoe UI"/>
          <w:b/>
          <w:szCs w:val="24"/>
          <w:lang w:val="es-CO" w:eastAsia="es-ES"/>
        </w:rPr>
      </w:pPr>
      <w:r w:rsidRPr="00CD63EB">
        <w:rPr>
          <w:rFonts w:ascii="Segoe UI" w:eastAsia="Times New Roman" w:hAnsi="Segoe UI" w:cs="Segoe UI"/>
          <w:b/>
          <w:szCs w:val="24"/>
          <w:lang w:val="es-CO" w:eastAsia="es-ES"/>
        </w:rPr>
        <w:t>Concepto del ministerio público</w:t>
      </w:r>
    </w:p>
    <w:p w14:paraId="4D8FCCC5" w14:textId="77777777" w:rsidR="00CD63EB" w:rsidRPr="00CD63EB" w:rsidRDefault="00CD63EB" w:rsidP="00276A2E">
      <w:pPr>
        <w:widowControl w:val="0"/>
        <w:rPr>
          <w:rFonts w:ascii="Segoe UI" w:eastAsia="Times New Roman" w:hAnsi="Segoe UI" w:cs="Segoe UI"/>
          <w:szCs w:val="24"/>
          <w:lang w:val="es-CO" w:eastAsia="es-ES"/>
        </w:rPr>
      </w:pPr>
    </w:p>
    <w:p w14:paraId="20AF89AE" w14:textId="77777777" w:rsidR="00CD63EB" w:rsidRPr="00CD63EB" w:rsidRDefault="00CD63EB" w:rsidP="00276A2E">
      <w:pPr>
        <w:widowControl w:val="0"/>
        <w:overflowPunct w:val="0"/>
        <w:adjustRightInd w:val="0"/>
        <w:textAlignment w:val="baseline"/>
        <w:rPr>
          <w:rFonts w:ascii="Segoe UI" w:eastAsia="Times New Roman" w:hAnsi="Segoe UI" w:cs="Segoe UI"/>
          <w:szCs w:val="24"/>
          <w:lang w:val="es-CO" w:eastAsia="es-ES"/>
        </w:rPr>
      </w:pPr>
      <w:r w:rsidRPr="00CD63EB">
        <w:rPr>
          <w:rFonts w:ascii="Segoe UI" w:eastAsia="Times New Roman" w:hAnsi="Segoe UI" w:cs="Segoe UI"/>
          <w:szCs w:val="24"/>
          <w:lang w:val="es-CO" w:eastAsia="es-ES"/>
        </w:rPr>
        <w:t xml:space="preserve">El </w:t>
      </w:r>
      <w:r w:rsidRPr="00CD63EB">
        <w:rPr>
          <w:rFonts w:ascii="Segoe UI" w:eastAsia="Times New Roman" w:hAnsi="Segoe UI" w:cs="Segoe UI"/>
          <w:b/>
          <w:szCs w:val="24"/>
          <w:lang w:val="es-CO" w:eastAsia="es-ES"/>
        </w:rPr>
        <w:t>Ministerio Público</w:t>
      </w:r>
      <w:r w:rsidRPr="00CD63EB">
        <w:rPr>
          <w:rFonts w:ascii="Segoe UI" w:eastAsia="Times New Roman" w:hAnsi="Segoe UI" w:cs="Segoe UI"/>
          <w:szCs w:val="24"/>
          <w:lang w:val="es-CO" w:eastAsia="es-ES"/>
        </w:rPr>
        <w:t xml:space="preserve"> solicitó que se confirme la sentencia de primer grado, pues considera que, a pesar de que la demandante entregó de forma extemporánea la información requerida, procedía la disminución de la sanción en los términos señalados por el tribunal. Respecto de los demás cargos, indicó que son improcedentes, pues los actos están debidamente motivados y la Administración no estaba obligada a señalar expresamente el daño causado con la omisión.</w:t>
      </w:r>
    </w:p>
    <w:p w14:paraId="0941ADC8" w14:textId="77777777" w:rsidR="00CD63EB" w:rsidRPr="00CD63EB" w:rsidRDefault="00CD63EB" w:rsidP="00276A2E">
      <w:pPr>
        <w:widowControl w:val="0"/>
        <w:jc w:val="center"/>
        <w:rPr>
          <w:rFonts w:ascii="Segoe UI" w:eastAsia="Times New Roman" w:hAnsi="Segoe UI" w:cs="Segoe UI"/>
          <w:szCs w:val="24"/>
          <w:lang w:val="es-CO" w:eastAsia="es-ES"/>
        </w:rPr>
      </w:pPr>
    </w:p>
    <w:p w14:paraId="37B495C4" w14:textId="77777777" w:rsidR="00CD63EB" w:rsidRPr="00CD63EB" w:rsidRDefault="00CD63EB" w:rsidP="00276A2E">
      <w:pPr>
        <w:widowControl w:val="0"/>
        <w:overflowPunct w:val="0"/>
        <w:adjustRightInd w:val="0"/>
        <w:jc w:val="center"/>
        <w:textAlignment w:val="baseline"/>
        <w:rPr>
          <w:rFonts w:ascii="Segoe UI" w:eastAsia="Times New Roman" w:hAnsi="Segoe UI" w:cs="Segoe UI"/>
          <w:b/>
          <w:szCs w:val="24"/>
          <w:lang w:val="es-CO" w:eastAsia="es-ES"/>
        </w:rPr>
      </w:pPr>
      <w:r w:rsidRPr="00CD63EB">
        <w:rPr>
          <w:rFonts w:ascii="Segoe UI" w:eastAsia="Times New Roman" w:hAnsi="Segoe UI" w:cs="Segoe UI"/>
          <w:b/>
          <w:szCs w:val="24"/>
          <w:lang w:val="es-CO" w:eastAsia="es-ES"/>
        </w:rPr>
        <w:t>CONSIDERACIONES DE LA SALA</w:t>
      </w:r>
    </w:p>
    <w:p w14:paraId="25E25E51" w14:textId="77777777" w:rsidR="00CD63EB" w:rsidRPr="00CD63EB" w:rsidRDefault="00CD63EB" w:rsidP="00276A2E">
      <w:pPr>
        <w:widowControl w:val="0"/>
        <w:overflowPunct w:val="0"/>
        <w:adjustRightInd w:val="0"/>
        <w:textAlignment w:val="baseline"/>
        <w:rPr>
          <w:rFonts w:ascii="Segoe UI" w:eastAsia="Times New Roman" w:hAnsi="Segoe UI" w:cs="Segoe UI"/>
          <w:szCs w:val="24"/>
          <w:lang w:val="es-CO" w:eastAsia="es-ES"/>
        </w:rPr>
      </w:pPr>
    </w:p>
    <w:p w14:paraId="7849024B" w14:textId="77777777" w:rsidR="00CD63EB" w:rsidRPr="00CD63EB" w:rsidRDefault="00CD63EB" w:rsidP="00276A2E">
      <w:pPr>
        <w:widowControl w:val="0"/>
        <w:overflowPunct w:val="0"/>
        <w:adjustRightInd w:val="0"/>
        <w:textAlignment w:val="baseline"/>
        <w:rPr>
          <w:rFonts w:ascii="Segoe UI" w:eastAsia="Times New Roman" w:hAnsi="Segoe UI" w:cs="Segoe UI"/>
          <w:szCs w:val="24"/>
          <w:lang w:val="es-CO" w:eastAsia="es-ES"/>
        </w:rPr>
      </w:pPr>
      <w:r w:rsidRPr="00CD63EB">
        <w:rPr>
          <w:rFonts w:ascii="Segoe UI" w:eastAsia="Times New Roman" w:hAnsi="Segoe UI" w:cs="Segoe UI"/>
          <w:szCs w:val="24"/>
          <w:lang w:val="es-CO" w:eastAsia="es-ES"/>
        </w:rPr>
        <w:t xml:space="preserve">1- En los términos de los recursos de apelación interpuestos por las partes, la Sala decide sobre la legalidad de la Resolución 322412013000330, del 8 de mayo de 2013, que impuso </w:t>
      </w:r>
      <w:r w:rsidRPr="00CD63EB">
        <w:rPr>
          <w:rFonts w:ascii="Segoe UI" w:eastAsia="Times New Roman" w:hAnsi="Segoe UI" w:cs="Segoe UI"/>
          <w:szCs w:val="24"/>
          <w:lang w:val="es-CO" w:eastAsia="es-ES"/>
        </w:rPr>
        <w:lastRenderedPageBreak/>
        <w:t>a la parte actora sanción por no enviar información del año gravable 2009, y de la Resolución 900.132, del 26 de mayo de 2014, que confirmó íntegramente el acto impugnado.</w:t>
      </w:r>
    </w:p>
    <w:p w14:paraId="23E9F248" w14:textId="77777777" w:rsidR="00CD63EB" w:rsidRPr="00CD63EB" w:rsidRDefault="00CD63EB" w:rsidP="00276A2E">
      <w:pPr>
        <w:widowControl w:val="0"/>
        <w:overflowPunct w:val="0"/>
        <w:adjustRightInd w:val="0"/>
        <w:textAlignment w:val="baseline"/>
        <w:rPr>
          <w:rFonts w:ascii="Segoe UI" w:eastAsia="Times New Roman" w:hAnsi="Segoe UI" w:cs="Segoe UI"/>
          <w:szCs w:val="24"/>
          <w:lang w:val="es-CO" w:eastAsia="es-ES"/>
        </w:rPr>
      </w:pPr>
    </w:p>
    <w:p w14:paraId="61007185" w14:textId="77777777" w:rsidR="00CD63EB" w:rsidRPr="00CD63EB" w:rsidRDefault="00CD63EB" w:rsidP="00276A2E">
      <w:pPr>
        <w:widowControl w:val="0"/>
        <w:overflowPunct w:val="0"/>
        <w:adjustRightInd w:val="0"/>
        <w:textAlignment w:val="baseline"/>
        <w:rPr>
          <w:rFonts w:ascii="Segoe UI" w:eastAsia="Times New Roman" w:hAnsi="Segoe UI" w:cs="Segoe UI"/>
          <w:szCs w:val="24"/>
          <w:lang w:val="es-CO" w:eastAsia="es-ES"/>
        </w:rPr>
      </w:pPr>
      <w:r w:rsidRPr="00CD63EB">
        <w:rPr>
          <w:rFonts w:ascii="Segoe UI" w:eastAsia="Times New Roman" w:hAnsi="Segoe UI" w:cs="Segoe UI"/>
          <w:szCs w:val="24"/>
          <w:lang w:val="es-CO" w:eastAsia="es-ES"/>
        </w:rPr>
        <w:t>En concreto, se debe determinar: (i) si los actos son nulos por falta de motivación al no señalar la conducta objeto de sanción y el daño causado a la Administración; y (</w:t>
      </w:r>
      <w:proofErr w:type="spellStart"/>
      <w:r w:rsidRPr="00CD63EB">
        <w:rPr>
          <w:rFonts w:ascii="Segoe UI" w:eastAsia="Times New Roman" w:hAnsi="Segoe UI" w:cs="Segoe UI"/>
          <w:szCs w:val="24"/>
          <w:lang w:val="es-CO" w:eastAsia="es-ES"/>
        </w:rPr>
        <w:t>ii</w:t>
      </w:r>
      <w:proofErr w:type="spellEnd"/>
      <w:r w:rsidRPr="00CD63EB">
        <w:rPr>
          <w:rFonts w:ascii="Segoe UI" w:eastAsia="Times New Roman" w:hAnsi="Segoe UI" w:cs="Segoe UI"/>
          <w:szCs w:val="24"/>
          <w:lang w:val="es-CO" w:eastAsia="es-ES"/>
        </w:rPr>
        <w:t>) si procede la graduación de la sanción por no enviar información, en los términos previstos por el tribunal de primera instancia.</w:t>
      </w:r>
    </w:p>
    <w:p w14:paraId="690FF273" w14:textId="77777777" w:rsidR="00CD63EB" w:rsidRPr="00CD63EB" w:rsidRDefault="00CD63EB" w:rsidP="00276A2E">
      <w:pPr>
        <w:widowControl w:val="0"/>
        <w:overflowPunct w:val="0"/>
        <w:adjustRightInd w:val="0"/>
        <w:textAlignment w:val="baseline"/>
        <w:rPr>
          <w:rFonts w:ascii="Segoe UI" w:eastAsia="Times New Roman" w:hAnsi="Segoe UI" w:cs="Segoe UI"/>
          <w:szCs w:val="24"/>
          <w:lang w:val="es-CO" w:eastAsia="es-ES"/>
        </w:rPr>
      </w:pPr>
    </w:p>
    <w:p w14:paraId="23D51EA4" w14:textId="77777777" w:rsidR="00CD63EB" w:rsidRPr="00CD63EB" w:rsidRDefault="00CD63EB" w:rsidP="00276A2E">
      <w:pPr>
        <w:widowControl w:val="0"/>
        <w:rPr>
          <w:rFonts w:ascii="Segoe UI" w:eastAsia="Times New Roman" w:hAnsi="Segoe UI" w:cs="Segoe UI"/>
          <w:szCs w:val="24"/>
          <w:lang w:val="es-CO" w:eastAsia="es-ES"/>
        </w:rPr>
      </w:pPr>
      <w:r w:rsidRPr="00CD63EB">
        <w:rPr>
          <w:rFonts w:ascii="Segoe UI" w:eastAsia="Times New Roman" w:hAnsi="Segoe UI" w:cs="Segoe UI"/>
          <w:szCs w:val="24"/>
          <w:lang w:val="es-CO" w:eastAsia="es-ES"/>
        </w:rPr>
        <w:t>2- Para resolver sobre la legalidad de los actos acusados, se tienen como probados los siguientes hechos:</w:t>
      </w:r>
    </w:p>
    <w:p w14:paraId="42052C88" w14:textId="77777777" w:rsidR="00CD63EB" w:rsidRPr="00CD63EB" w:rsidRDefault="00CD63EB" w:rsidP="00276A2E">
      <w:pPr>
        <w:widowControl w:val="0"/>
        <w:rPr>
          <w:rFonts w:ascii="Segoe UI" w:eastAsia="Times New Roman" w:hAnsi="Segoe UI" w:cs="Segoe UI"/>
          <w:szCs w:val="24"/>
          <w:lang w:val="es-CO" w:eastAsia="es-ES"/>
        </w:rPr>
      </w:pPr>
    </w:p>
    <w:p w14:paraId="5B8A24A9" w14:textId="77777777" w:rsidR="00CD63EB" w:rsidRPr="00CD63EB" w:rsidRDefault="00CD63EB" w:rsidP="00276A2E">
      <w:pPr>
        <w:widowControl w:val="0"/>
        <w:overflowPunct w:val="0"/>
        <w:adjustRightInd w:val="0"/>
        <w:textAlignment w:val="baseline"/>
        <w:rPr>
          <w:rFonts w:ascii="Segoe UI" w:eastAsia="Times New Roman" w:hAnsi="Segoe UI" w:cs="Segoe UI"/>
          <w:szCs w:val="24"/>
          <w:lang w:val="es-CO" w:eastAsia="es-ES"/>
        </w:rPr>
      </w:pPr>
      <w:r w:rsidRPr="00CD63EB">
        <w:rPr>
          <w:rFonts w:ascii="Segoe UI" w:eastAsia="Times New Roman" w:hAnsi="Segoe UI" w:cs="Segoe UI"/>
          <w:szCs w:val="24"/>
          <w:lang w:val="es-CO" w:eastAsia="es-ES"/>
        </w:rPr>
        <w:t>(i) El 26 de septiembre de 2012, mediante el Pliego de Cargos nro. 322402012000375, la DIAN propuso a la demandante una sanción por no reportar información en medios magnéticos por el año 2009, consistente en la suma de $356.445.000. Dicha sanción correspondía a la máxima prevista en la letra a) del artículo 651 del ET, equivalente a 15.000 UVT, calculada con la UVT vigente para el año 2009 ($23.763). Según el pliego de cargos, la demandante no presentó información por valor de $25.575.687.000 (</w:t>
      </w:r>
      <w:proofErr w:type="spellStart"/>
      <w:r w:rsidRPr="00CD63EB">
        <w:rPr>
          <w:rFonts w:ascii="Segoe UI" w:eastAsia="Times New Roman" w:hAnsi="Segoe UI" w:cs="Segoe UI"/>
          <w:szCs w:val="24"/>
          <w:lang w:val="es-CO" w:eastAsia="es-ES"/>
        </w:rPr>
        <w:t>ff</w:t>
      </w:r>
      <w:proofErr w:type="spellEnd"/>
      <w:r w:rsidRPr="00CD63EB">
        <w:rPr>
          <w:rFonts w:ascii="Segoe UI" w:eastAsia="Times New Roman" w:hAnsi="Segoe UI" w:cs="Segoe UI"/>
          <w:szCs w:val="24"/>
          <w:lang w:val="es-CO" w:eastAsia="es-ES"/>
        </w:rPr>
        <w:t>. 43 a 48 ca).</w:t>
      </w:r>
    </w:p>
    <w:p w14:paraId="5DAD5DA1" w14:textId="77777777" w:rsidR="00CD63EB" w:rsidRPr="00CD63EB" w:rsidRDefault="00CD63EB" w:rsidP="00276A2E">
      <w:pPr>
        <w:widowControl w:val="0"/>
        <w:overflowPunct w:val="0"/>
        <w:adjustRightInd w:val="0"/>
        <w:textAlignment w:val="baseline"/>
        <w:rPr>
          <w:rFonts w:ascii="Segoe UI" w:eastAsia="Times New Roman" w:hAnsi="Segoe UI" w:cs="Segoe UI"/>
          <w:szCs w:val="24"/>
          <w:lang w:val="es-CO" w:eastAsia="es-ES"/>
        </w:rPr>
      </w:pPr>
      <w:r w:rsidRPr="00CD63EB">
        <w:rPr>
          <w:rFonts w:ascii="Segoe UI" w:eastAsia="Times New Roman" w:hAnsi="Segoe UI" w:cs="Segoe UI"/>
          <w:szCs w:val="24"/>
          <w:lang w:val="es-CO" w:eastAsia="es-ES"/>
        </w:rPr>
        <w:t>(</w:t>
      </w:r>
      <w:proofErr w:type="spellStart"/>
      <w:r w:rsidRPr="00CD63EB">
        <w:rPr>
          <w:rFonts w:ascii="Segoe UI" w:eastAsia="Times New Roman" w:hAnsi="Segoe UI" w:cs="Segoe UI"/>
          <w:szCs w:val="24"/>
          <w:lang w:val="es-CO" w:eastAsia="es-ES"/>
        </w:rPr>
        <w:t>ii</w:t>
      </w:r>
      <w:proofErr w:type="spellEnd"/>
      <w:r w:rsidRPr="00CD63EB">
        <w:rPr>
          <w:rFonts w:ascii="Segoe UI" w:eastAsia="Times New Roman" w:hAnsi="Segoe UI" w:cs="Segoe UI"/>
          <w:szCs w:val="24"/>
          <w:lang w:val="es-CO" w:eastAsia="es-ES"/>
        </w:rPr>
        <w:t>) El 13 de noviembre 2012, la parte actora contestó el pliego de cargos, en el que adujo la «</w:t>
      </w:r>
      <w:r w:rsidRPr="00CD63EB">
        <w:rPr>
          <w:rFonts w:ascii="Segoe UI" w:eastAsia="Times New Roman" w:hAnsi="Segoe UI" w:cs="Segoe UI"/>
          <w:i/>
          <w:szCs w:val="24"/>
          <w:lang w:val="es-CO" w:eastAsia="es-ES"/>
        </w:rPr>
        <w:t>prescripción</w:t>
      </w:r>
      <w:r w:rsidRPr="00CD63EB">
        <w:rPr>
          <w:rFonts w:ascii="Segoe UI" w:eastAsia="Times New Roman" w:hAnsi="Segoe UI" w:cs="Segoe UI"/>
          <w:szCs w:val="24"/>
          <w:lang w:val="es-CO" w:eastAsia="es-ES"/>
        </w:rPr>
        <w:t>» de la facultad sancionadora de la Administración (</w:t>
      </w:r>
      <w:proofErr w:type="spellStart"/>
      <w:r w:rsidRPr="00CD63EB">
        <w:rPr>
          <w:rFonts w:ascii="Segoe UI" w:eastAsia="Times New Roman" w:hAnsi="Segoe UI" w:cs="Segoe UI"/>
          <w:szCs w:val="24"/>
          <w:lang w:val="es-CO" w:eastAsia="es-ES"/>
        </w:rPr>
        <w:t>ff</w:t>
      </w:r>
      <w:proofErr w:type="spellEnd"/>
      <w:r w:rsidRPr="00CD63EB">
        <w:rPr>
          <w:rFonts w:ascii="Segoe UI" w:eastAsia="Times New Roman" w:hAnsi="Segoe UI" w:cs="Segoe UI"/>
          <w:szCs w:val="24"/>
          <w:lang w:val="es-CO" w:eastAsia="es-ES"/>
        </w:rPr>
        <w:t>. 55 a 57 ca).</w:t>
      </w:r>
    </w:p>
    <w:p w14:paraId="5EEDDB74" w14:textId="77777777" w:rsidR="00CD63EB" w:rsidRPr="00CD63EB" w:rsidRDefault="00CD63EB" w:rsidP="00276A2E">
      <w:pPr>
        <w:widowControl w:val="0"/>
        <w:overflowPunct w:val="0"/>
        <w:adjustRightInd w:val="0"/>
        <w:textAlignment w:val="baseline"/>
        <w:rPr>
          <w:rFonts w:ascii="Segoe UI" w:eastAsia="Times New Roman" w:hAnsi="Segoe UI" w:cs="Segoe UI"/>
          <w:szCs w:val="24"/>
          <w:lang w:val="es-CO" w:eastAsia="es-ES"/>
        </w:rPr>
      </w:pPr>
      <w:r w:rsidRPr="00CD63EB">
        <w:rPr>
          <w:rFonts w:ascii="Segoe UI" w:eastAsia="Times New Roman" w:hAnsi="Segoe UI" w:cs="Segoe UI"/>
          <w:szCs w:val="24"/>
          <w:lang w:val="es-CO" w:eastAsia="es-ES"/>
        </w:rPr>
        <w:t>(</w:t>
      </w:r>
      <w:proofErr w:type="spellStart"/>
      <w:r w:rsidRPr="00CD63EB">
        <w:rPr>
          <w:rFonts w:ascii="Segoe UI" w:eastAsia="Times New Roman" w:hAnsi="Segoe UI" w:cs="Segoe UI"/>
          <w:szCs w:val="24"/>
          <w:lang w:val="es-CO" w:eastAsia="es-ES"/>
        </w:rPr>
        <w:t>iii</w:t>
      </w:r>
      <w:proofErr w:type="spellEnd"/>
      <w:r w:rsidRPr="00CD63EB">
        <w:rPr>
          <w:rFonts w:ascii="Segoe UI" w:eastAsia="Times New Roman" w:hAnsi="Segoe UI" w:cs="Segoe UI"/>
          <w:szCs w:val="24"/>
          <w:lang w:val="es-CO" w:eastAsia="es-ES"/>
        </w:rPr>
        <w:t>) El 8 de mayo de 2013, mediante la Resolución 322412013000330, la DIAN le impuso a la demandante la sanción por no enviar información en medios magnéticos por el año 2009, en el monto de $356.445.000 (</w:t>
      </w:r>
      <w:proofErr w:type="spellStart"/>
      <w:r w:rsidRPr="00CD63EB">
        <w:rPr>
          <w:rFonts w:ascii="Segoe UI" w:eastAsia="Times New Roman" w:hAnsi="Segoe UI" w:cs="Segoe UI"/>
          <w:szCs w:val="24"/>
          <w:lang w:val="es-CO" w:eastAsia="es-ES"/>
        </w:rPr>
        <w:t>ff</w:t>
      </w:r>
      <w:proofErr w:type="spellEnd"/>
      <w:r w:rsidRPr="00CD63EB">
        <w:rPr>
          <w:rFonts w:ascii="Segoe UI" w:eastAsia="Times New Roman" w:hAnsi="Segoe UI" w:cs="Segoe UI"/>
          <w:szCs w:val="24"/>
          <w:lang w:val="es-CO" w:eastAsia="es-ES"/>
        </w:rPr>
        <w:t>. 88 a 96 c a).</w:t>
      </w:r>
    </w:p>
    <w:p w14:paraId="6608D58B" w14:textId="77777777" w:rsidR="00CD63EB" w:rsidRPr="00CD63EB" w:rsidRDefault="00CD63EB" w:rsidP="00276A2E">
      <w:pPr>
        <w:widowControl w:val="0"/>
        <w:overflowPunct w:val="0"/>
        <w:adjustRightInd w:val="0"/>
        <w:textAlignment w:val="baseline"/>
        <w:rPr>
          <w:rFonts w:ascii="Segoe UI" w:eastAsia="Times New Roman" w:hAnsi="Segoe UI" w:cs="Segoe UI"/>
          <w:szCs w:val="24"/>
          <w:lang w:val="es-CO" w:eastAsia="es-ES"/>
        </w:rPr>
      </w:pPr>
      <w:r w:rsidRPr="00CD63EB">
        <w:rPr>
          <w:rFonts w:ascii="Segoe UI" w:eastAsia="Times New Roman" w:hAnsi="Segoe UI" w:cs="Segoe UI"/>
          <w:szCs w:val="24"/>
          <w:lang w:val="es-CO" w:eastAsia="es-ES"/>
        </w:rPr>
        <w:t>(</w:t>
      </w:r>
      <w:proofErr w:type="spellStart"/>
      <w:r w:rsidRPr="00CD63EB">
        <w:rPr>
          <w:rFonts w:ascii="Segoe UI" w:eastAsia="Times New Roman" w:hAnsi="Segoe UI" w:cs="Segoe UI"/>
          <w:szCs w:val="24"/>
          <w:lang w:val="es-CO" w:eastAsia="es-ES"/>
        </w:rPr>
        <w:t>iv</w:t>
      </w:r>
      <w:proofErr w:type="spellEnd"/>
      <w:r w:rsidRPr="00CD63EB">
        <w:rPr>
          <w:rFonts w:ascii="Segoe UI" w:eastAsia="Times New Roman" w:hAnsi="Segoe UI" w:cs="Segoe UI"/>
          <w:szCs w:val="24"/>
          <w:lang w:val="es-CO" w:eastAsia="es-ES"/>
        </w:rPr>
        <w:t>) El 27 de junio de 2013, la actora interpuso recurso de reconsideración contra la resolución sancionadora (</w:t>
      </w:r>
      <w:proofErr w:type="spellStart"/>
      <w:r w:rsidRPr="00CD63EB">
        <w:rPr>
          <w:rFonts w:ascii="Segoe UI" w:eastAsia="Times New Roman" w:hAnsi="Segoe UI" w:cs="Segoe UI"/>
          <w:szCs w:val="24"/>
          <w:lang w:val="es-CO" w:eastAsia="es-ES"/>
        </w:rPr>
        <w:t>ff</w:t>
      </w:r>
      <w:proofErr w:type="spellEnd"/>
      <w:r w:rsidRPr="00CD63EB">
        <w:rPr>
          <w:rFonts w:ascii="Segoe UI" w:eastAsia="Times New Roman" w:hAnsi="Segoe UI" w:cs="Segoe UI"/>
          <w:szCs w:val="24"/>
          <w:lang w:val="es-CO" w:eastAsia="es-ES"/>
        </w:rPr>
        <w:t>. 102 a 112).</w:t>
      </w:r>
    </w:p>
    <w:p w14:paraId="7BF51E9E" w14:textId="77777777" w:rsidR="00CD63EB" w:rsidRPr="00CD63EB" w:rsidRDefault="00CD63EB" w:rsidP="00276A2E">
      <w:pPr>
        <w:widowControl w:val="0"/>
        <w:rPr>
          <w:rFonts w:ascii="Segoe UI" w:eastAsia="Times New Roman" w:hAnsi="Segoe UI" w:cs="Segoe UI"/>
          <w:szCs w:val="24"/>
          <w:lang w:val="es-CO" w:eastAsia="es-ES"/>
        </w:rPr>
      </w:pPr>
      <w:r w:rsidRPr="00CD63EB">
        <w:rPr>
          <w:rFonts w:ascii="Segoe UI" w:eastAsia="Times New Roman" w:hAnsi="Segoe UI" w:cs="Segoe UI"/>
          <w:szCs w:val="24"/>
          <w:lang w:val="es-CO" w:eastAsia="es-ES"/>
        </w:rPr>
        <w:t>(v) El 26 de mayo de 2014, a través de la Resolución 900.132, la DIAN resolvió el recurso de reconsideración y confirmó el acto sancionatorio.</w:t>
      </w:r>
    </w:p>
    <w:p w14:paraId="05A48D89" w14:textId="77777777" w:rsidR="00CD63EB" w:rsidRPr="00CD63EB" w:rsidRDefault="00CD63EB" w:rsidP="00276A2E">
      <w:pPr>
        <w:widowControl w:val="0"/>
        <w:rPr>
          <w:rFonts w:ascii="Segoe UI" w:eastAsia="Times New Roman" w:hAnsi="Segoe UI" w:cs="Segoe UI"/>
          <w:szCs w:val="24"/>
          <w:lang w:val="es-CO" w:eastAsia="es-ES"/>
        </w:rPr>
      </w:pPr>
    </w:p>
    <w:p w14:paraId="14D6773F" w14:textId="77777777" w:rsidR="00CD63EB" w:rsidRPr="00CD63EB" w:rsidRDefault="00CD63EB" w:rsidP="00276A2E">
      <w:pPr>
        <w:widowControl w:val="0"/>
        <w:rPr>
          <w:rFonts w:ascii="Segoe UI" w:eastAsia="Times New Roman" w:hAnsi="Segoe UI" w:cs="Segoe UI"/>
          <w:szCs w:val="24"/>
          <w:lang w:val="es-CO" w:eastAsia="es-ES"/>
        </w:rPr>
      </w:pPr>
      <w:r w:rsidRPr="00CD63EB">
        <w:rPr>
          <w:rFonts w:ascii="Segoe UI" w:eastAsia="Times New Roman" w:hAnsi="Segoe UI" w:cs="Segoe UI"/>
          <w:szCs w:val="24"/>
          <w:lang w:val="es-CO" w:eastAsia="es-ES"/>
        </w:rPr>
        <w:t xml:space="preserve">3- La sujeción a la legalidad de la sanción impuesta a la demandante en los actos acusados, depende de lo regulado en la Resolución 7935 de 2009, acerca del deber de presentar en 2010 la información fiscalmente relevante correspondiente al período 2009, indicada en las letras a), b), c), d), e), f), h), i) y k) del artículo 631 del ET; así como de la tipificación realizada (para la época de los hechos) en el artículo 651 </w:t>
      </w:r>
      <w:proofErr w:type="spellStart"/>
      <w:r w:rsidRPr="00CD63EB">
        <w:rPr>
          <w:rFonts w:ascii="Segoe UI" w:eastAsia="Times New Roman" w:hAnsi="Segoe UI" w:cs="Segoe UI"/>
          <w:i/>
          <w:szCs w:val="24"/>
          <w:lang w:val="es-CO" w:eastAsia="es-ES"/>
        </w:rPr>
        <w:t>ibídem</w:t>
      </w:r>
      <w:proofErr w:type="spellEnd"/>
      <w:r w:rsidRPr="00CD63EB">
        <w:rPr>
          <w:rFonts w:ascii="Segoe UI" w:eastAsia="Times New Roman" w:hAnsi="Segoe UI" w:cs="Segoe UI"/>
          <w:szCs w:val="24"/>
          <w:lang w:val="es-CO" w:eastAsia="es-ES"/>
        </w:rPr>
        <w:t xml:space="preserve"> de las </w:t>
      </w:r>
      <w:r w:rsidRPr="00CD63EB">
        <w:rPr>
          <w:rFonts w:ascii="Segoe UI" w:eastAsia="Times New Roman" w:hAnsi="Segoe UI" w:cs="Segoe UI"/>
          <w:szCs w:val="24"/>
          <w:lang w:val="es-CO" w:eastAsia="es-ES"/>
        </w:rPr>
        <w:lastRenderedPageBreak/>
        <w:t>conductas infractoras relacionadas con el incumplimiento del deber de informar y de los mecanismos de reducción de la sanción.</w:t>
      </w:r>
    </w:p>
    <w:p w14:paraId="02A96164" w14:textId="77777777" w:rsidR="00CD63EB" w:rsidRPr="00CD63EB" w:rsidRDefault="00CD63EB" w:rsidP="00276A2E">
      <w:pPr>
        <w:widowControl w:val="0"/>
        <w:rPr>
          <w:rFonts w:ascii="Segoe UI" w:eastAsia="Times New Roman" w:hAnsi="Segoe UI" w:cs="Segoe UI"/>
          <w:szCs w:val="24"/>
          <w:lang w:val="es-CO" w:eastAsia="es-ES"/>
        </w:rPr>
      </w:pPr>
    </w:p>
    <w:p w14:paraId="3709E0F7" w14:textId="77777777" w:rsidR="00CD63EB" w:rsidRPr="00CD63EB" w:rsidRDefault="00CD63EB" w:rsidP="00276A2E">
      <w:pPr>
        <w:widowControl w:val="0"/>
        <w:rPr>
          <w:rFonts w:ascii="Segoe UI" w:eastAsia="Times New Roman" w:hAnsi="Segoe UI" w:cs="Segoe UI"/>
          <w:szCs w:val="24"/>
          <w:lang w:val="es-CO" w:eastAsia="es-ES"/>
        </w:rPr>
      </w:pPr>
      <w:r w:rsidRPr="00CD63EB">
        <w:rPr>
          <w:rFonts w:ascii="Segoe UI" w:eastAsia="Times New Roman" w:hAnsi="Segoe UI" w:cs="Segoe UI"/>
          <w:szCs w:val="24"/>
          <w:lang w:val="es-CO" w:eastAsia="es-ES"/>
        </w:rPr>
        <w:t>De acuerdo con el artículo 651 del ET (según la redacción entonces vigente), los obligados a suministrar información podrán ser sancionados si: (i) omiten suministrar la información a cuya entrega están sujetos; (</w:t>
      </w:r>
      <w:proofErr w:type="spellStart"/>
      <w:r w:rsidRPr="00CD63EB">
        <w:rPr>
          <w:rFonts w:ascii="Segoe UI" w:eastAsia="Times New Roman" w:hAnsi="Segoe UI" w:cs="Segoe UI"/>
          <w:szCs w:val="24"/>
          <w:lang w:val="es-CO" w:eastAsia="es-ES"/>
        </w:rPr>
        <w:t>ii</w:t>
      </w:r>
      <w:proofErr w:type="spellEnd"/>
      <w:r w:rsidRPr="00CD63EB">
        <w:rPr>
          <w:rFonts w:ascii="Segoe UI" w:eastAsia="Times New Roman" w:hAnsi="Segoe UI" w:cs="Segoe UI"/>
          <w:szCs w:val="24"/>
          <w:lang w:val="es-CO" w:eastAsia="es-ES"/>
        </w:rPr>
        <w:t>) no brindan la información en el plazo fijado; (</w:t>
      </w:r>
      <w:proofErr w:type="spellStart"/>
      <w:r w:rsidRPr="00CD63EB">
        <w:rPr>
          <w:rFonts w:ascii="Segoe UI" w:eastAsia="Times New Roman" w:hAnsi="Segoe UI" w:cs="Segoe UI"/>
          <w:szCs w:val="24"/>
          <w:lang w:val="es-CO" w:eastAsia="es-ES"/>
        </w:rPr>
        <w:t>ii</w:t>
      </w:r>
      <w:proofErr w:type="spellEnd"/>
      <w:r w:rsidRPr="00CD63EB">
        <w:rPr>
          <w:rFonts w:ascii="Segoe UI" w:eastAsia="Times New Roman" w:hAnsi="Segoe UI" w:cs="Segoe UI"/>
          <w:szCs w:val="24"/>
          <w:lang w:val="es-CO" w:eastAsia="es-ES"/>
        </w:rPr>
        <w:t>) presentan la información con errores y/o; (</w:t>
      </w:r>
      <w:proofErr w:type="spellStart"/>
      <w:r w:rsidRPr="00CD63EB">
        <w:rPr>
          <w:rFonts w:ascii="Segoe UI" w:eastAsia="Times New Roman" w:hAnsi="Segoe UI" w:cs="Segoe UI"/>
          <w:szCs w:val="24"/>
          <w:lang w:val="es-CO" w:eastAsia="es-ES"/>
        </w:rPr>
        <w:t>iii</w:t>
      </w:r>
      <w:proofErr w:type="spellEnd"/>
      <w:r w:rsidRPr="00CD63EB">
        <w:rPr>
          <w:rFonts w:ascii="Segoe UI" w:eastAsia="Times New Roman" w:hAnsi="Segoe UI" w:cs="Segoe UI"/>
          <w:szCs w:val="24"/>
          <w:lang w:val="es-CO" w:eastAsia="es-ES"/>
        </w:rPr>
        <w:t>) entregan información que no corresponde con lo solicitado. Una vez detectada la comisión de alguna de las anteriores infracciones, la sanción a imponer se reducirá al 10 % de la cuantía planteada en el pliego de cargos, si la omisión es subsanada antes de que se notifique la imposición de la sanción, o al 20 % de la sanción impuesta mediante resolución, si la omisión es subsanada dentro de los dos (2) meses siguientes a la fecha de notificación la sanción.</w:t>
      </w:r>
    </w:p>
    <w:p w14:paraId="110840F2" w14:textId="77777777" w:rsidR="00CD63EB" w:rsidRPr="00CD63EB" w:rsidRDefault="00CD63EB" w:rsidP="00276A2E">
      <w:pPr>
        <w:widowControl w:val="0"/>
        <w:rPr>
          <w:rFonts w:ascii="Segoe UI" w:eastAsia="Times New Roman" w:hAnsi="Segoe UI" w:cs="Segoe UI"/>
          <w:szCs w:val="24"/>
          <w:lang w:val="es-CO" w:eastAsia="es-ES"/>
        </w:rPr>
      </w:pPr>
    </w:p>
    <w:p w14:paraId="04B04CE6" w14:textId="77777777" w:rsidR="00CD63EB" w:rsidRPr="00CD63EB" w:rsidRDefault="00CD63EB" w:rsidP="00276A2E">
      <w:pPr>
        <w:widowControl w:val="0"/>
        <w:textAlignment w:val="baseline"/>
        <w:rPr>
          <w:rFonts w:ascii="Segoe UI" w:eastAsia="Times New Roman" w:hAnsi="Segoe UI" w:cs="Segoe UI"/>
          <w:szCs w:val="24"/>
          <w:lang w:val="es-CO" w:eastAsia="es-ES"/>
        </w:rPr>
      </w:pPr>
      <w:r w:rsidRPr="00CD63EB">
        <w:rPr>
          <w:rFonts w:ascii="Segoe UI" w:eastAsia="Times New Roman" w:hAnsi="Segoe UI" w:cs="Segoe UI"/>
          <w:szCs w:val="24"/>
          <w:lang w:val="es-CO" w:eastAsia="es-ES"/>
        </w:rPr>
        <w:t>Si bien el artículo 651 del ET tipifica tres hechos diferenciables y constitutivos de infracciones autónomas, a saber (i) la omisión de entregar información; (</w:t>
      </w:r>
      <w:proofErr w:type="spellStart"/>
      <w:r w:rsidRPr="00CD63EB">
        <w:rPr>
          <w:rFonts w:ascii="Segoe UI" w:eastAsia="Times New Roman" w:hAnsi="Segoe UI" w:cs="Segoe UI"/>
          <w:szCs w:val="24"/>
          <w:lang w:val="es-CO" w:eastAsia="es-ES"/>
        </w:rPr>
        <w:t>ii</w:t>
      </w:r>
      <w:proofErr w:type="spellEnd"/>
      <w:r w:rsidRPr="00CD63EB">
        <w:rPr>
          <w:rFonts w:ascii="Segoe UI" w:eastAsia="Times New Roman" w:hAnsi="Segoe UI" w:cs="Segoe UI"/>
          <w:szCs w:val="24"/>
          <w:lang w:val="es-CO" w:eastAsia="es-ES"/>
        </w:rPr>
        <w:t>) la extemporaneidad en el cumplimiento del deber; y (</w:t>
      </w:r>
      <w:proofErr w:type="spellStart"/>
      <w:r w:rsidRPr="00CD63EB">
        <w:rPr>
          <w:rFonts w:ascii="Segoe UI" w:eastAsia="Times New Roman" w:hAnsi="Segoe UI" w:cs="Segoe UI"/>
          <w:szCs w:val="24"/>
          <w:lang w:val="es-CO" w:eastAsia="es-ES"/>
        </w:rPr>
        <w:t>iii</w:t>
      </w:r>
      <w:proofErr w:type="spellEnd"/>
      <w:r w:rsidRPr="00CD63EB">
        <w:rPr>
          <w:rFonts w:ascii="Segoe UI" w:eastAsia="Times New Roman" w:hAnsi="Segoe UI" w:cs="Segoe UI"/>
          <w:szCs w:val="24"/>
          <w:lang w:val="es-CO" w:eastAsia="es-ES"/>
        </w:rPr>
        <w:t xml:space="preserve">) la comisión de errores; lo cierto es que la autoridad tributaria, al iniciar la actuación administrativa por la omisión de entregar la información podrá culminarla por este mismo hecho, independientemente de que el contribuyente, en el curso del procedimiento sancionador que se siga, haya adelantado las actividades de </w:t>
      </w:r>
      <w:proofErr w:type="spellStart"/>
      <w:r w:rsidRPr="00CD63EB">
        <w:rPr>
          <w:rFonts w:ascii="Segoe UI" w:eastAsia="Times New Roman" w:hAnsi="Segoe UI" w:cs="Segoe UI"/>
          <w:szCs w:val="24"/>
          <w:lang w:val="es-CO" w:eastAsia="es-ES"/>
        </w:rPr>
        <w:t>auto-regularización</w:t>
      </w:r>
      <w:proofErr w:type="spellEnd"/>
      <w:r w:rsidRPr="00CD63EB">
        <w:rPr>
          <w:rFonts w:ascii="Segoe UI" w:eastAsia="Times New Roman" w:hAnsi="Segoe UI" w:cs="Segoe UI"/>
          <w:szCs w:val="24"/>
          <w:lang w:val="es-CO" w:eastAsia="es-ES"/>
        </w:rPr>
        <w:t xml:space="preserve"> de la conducta infractora que le habilitan a aspirar a que la sanción definitiva se gradúe, habida consideración de su disposición a colaborar con la autoridad.</w:t>
      </w:r>
    </w:p>
    <w:p w14:paraId="7A82C3E1" w14:textId="77777777" w:rsidR="00CD63EB" w:rsidRPr="00CD63EB" w:rsidRDefault="00CD63EB" w:rsidP="00276A2E">
      <w:pPr>
        <w:widowControl w:val="0"/>
        <w:textAlignment w:val="baseline"/>
        <w:rPr>
          <w:rFonts w:ascii="Segoe UI" w:eastAsia="Times New Roman" w:hAnsi="Segoe UI" w:cs="Segoe UI"/>
          <w:szCs w:val="24"/>
          <w:lang w:val="es-CO" w:eastAsia="es-ES"/>
        </w:rPr>
      </w:pPr>
    </w:p>
    <w:p w14:paraId="05A19503" w14:textId="77777777" w:rsidR="00CD63EB" w:rsidRPr="00CD63EB" w:rsidRDefault="00CD63EB" w:rsidP="00276A2E">
      <w:pPr>
        <w:widowControl w:val="0"/>
        <w:textAlignment w:val="baseline"/>
        <w:rPr>
          <w:rFonts w:ascii="Segoe UI" w:eastAsia="Times New Roman" w:hAnsi="Segoe UI" w:cs="Segoe UI"/>
          <w:szCs w:val="24"/>
          <w:lang w:val="es-CO" w:eastAsia="es-ES"/>
        </w:rPr>
      </w:pPr>
      <w:r w:rsidRPr="00CD63EB">
        <w:rPr>
          <w:rFonts w:ascii="Segoe UI" w:eastAsia="Times New Roman" w:hAnsi="Segoe UI" w:cs="Segoe UI"/>
          <w:szCs w:val="24"/>
          <w:lang w:val="es-CO" w:eastAsia="es-ES"/>
        </w:rPr>
        <w:t>Lo anterior significa que, cuando un administrado no ha aportado la información que está obligado a entregar y se profiere un pliego de cargos en el que se califica la conducta como una no presentación de la información, el artículo 651 habilita una instancia para que el infractor regularice su conducta ilícita entregando la información omitida. Por virtud de esa colaboración (siempre que atienda todos los requisitos fijados) se le impondrá de forma reducida una sanción por no informar, según sea el caso.</w:t>
      </w:r>
    </w:p>
    <w:p w14:paraId="22DE5AC0" w14:textId="77777777" w:rsidR="00CD63EB" w:rsidRPr="00CD63EB" w:rsidRDefault="00CD63EB" w:rsidP="00276A2E">
      <w:pPr>
        <w:widowControl w:val="0"/>
        <w:textAlignment w:val="baseline"/>
        <w:rPr>
          <w:rFonts w:ascii="Segoe UI" w:eastAsia="Times New Roman" w:hAnsi="Segoe UI" w:cs="Segoe UI"/>
          <w:szCs w:val="24"/>
          <w:lang w:val="es-CO" w:eastAsia="es-ES"/>
        </w:rPr>
      </w:pPr>
    </w:p>
    <w:p w14:paraId="474C363D" w14:textId="77777777" w:rsidR="00CD63EB" w:rsidRPr="00CD63EB" w:rsidRDefault="00CD63EB" w:rsidP="00276A2E">
      <w:pPr>
        <w:widowControl w:val="0"/>
        <w:textAlignment w:val="baseline"/>
        <w:rPr>
          <w:rFonts w:ascii="Segoe UI" w:eastAsia="Times New Roman" w:hAnsi="Segoe UI" w:cs="Segoe UI"/>
          <w:szCs w:val="24"/>
          <w:lang w:val="es-CO" w:eastAsia="es-ES"/>
        </w:rPr>
      </w:pPr>
      <w:r w:rsidRPr="00CD63EB">
        <w:rPr>
          <w:rFonts w:ascii="Segoe UI" w:eastAsia="Times New Roman" w:hAnsi="Segoe UI" w:cs="Segoe UI"/>
          <w:szCs w:val="24"/>
          <w:lang w:val="es-CO" w:eastAsia="es-ES"/>
        </w:rPr>
        <w:t>Así, cuando se materializa la conducta infractora de no informar, la sanción a imponer, eventualmente (</w:t>
      </w:r>
      <w:r w:rsidRPr="00CD63EB">
        <w:rPr>
          <w:rFonts w:ascii="Segoe UI" w:eastAsia="Times New Roman" w:hAnsi="Segoe UI" w:cs="Segoe UI"/>
          <w:i/>
          <w:szCs w:val="24"/>
          <w:lang w:val="es-CO" w:eastAsia="es-ES"/>
        </w:rPr>
        <w:t xml:space="preserve">i.e. </w:t>
      </w:r>
      <w:r w:rsidRPr="00CD63EB">
        <w:rPr>
          <w:rFonts w:ascii="Segoe UI" w:eastAsia="Times New Roman" w:hAnsi="Segoe UI" w:cs="Segoe UI"/>
          <w:szCs w:val="24"/>
          <w:lang w:val="es-CO" w:eastAsia="es-ES"/>
        </w:rPr>
        <w:t>en función de que se cumplan todos los requisitos fijados en el artículo 651 del ET), podrá ser una sanción por no informar reducida, pero nunca, una sanción por extemporaneidad.</w:t>
      </w:r>
    </w:p>
    <w:p w14:paraId="51C9AEBB" w14:textId="77777777" w:rsidR="00CD63EB" w:rsidRPr="00CD63EB" w:rsidRDefault="00CD63EB" w:rsidP="00276A2E">
      <w:pPr>
        <w:widowControl w:val="0"/>
        <w:textAlignment w:val="baseline"/>
        <w:rPr>
          <w:rFonts w:ascii="Segoe UI" w:eastAsia="Times New Roman" w:hAnsi="Segoe UI" w:cs="Segoe UI"/>
          <w:szCs w:val="24"/>
          <w:lang w:val="es-CO" w:eastAsia="es-ES"/>
        </w:rPr>
      </w:pPr>
    </w:p>
    <w:p w14:paraId="41411D57" w14:textId="77777777" w:rsidR="00CD63EB" w:rsidRPr="00CD63EB" w:rsidRDefault="00CD63EB" w:rsidP="00276A2E">
      <w:pPr>
        <w:widowControl w:val="0"/>
        <w:rPr>
          <w:rFonts w:ascii="Segoe UI" w:eastAsia="Times New Roman" w:hAnsi="Segoe UI" w:cs="Segoe UI"/>
          <w:szCs w:val="24"/>
          <w:lang w:val="es-CO" w:eastAsia="es-ES"/>
        </w:rPr>
      </w:pPr>
      <w:r w:rsidRPr="00CD63EB">
        <w:rPr>
          <w:rFonts w:ascii="Segoe UI" w:eastAsia="Times New Roman" w:hAnsi="Segoe UI" w:cs="Segoe UI"/>
          <w:szCs w:val="24"/>
          <w:lang w:val="es-CO" w:eastAsia="es-ES"/>
        </w:rPr>
        <w:t xml:space="preserve">4- En el </w:t>
      </w:r>
      <w:r w:rsidRPr="00CD63EB">
        <w:rPr>
          <w:rFonts w:ascii="Segoe UI" w:eastAsia="Times New Roman" w:hAnsi="Segoe UI" w:cs="Segoe UI"/>
          <w:i/>
          <w:szCs w:val="24"/>
          <w:lang w:val="es-CO" w:eastAsia="es-ES"/>
        </w:rPr>
        <w:t>sub judice</w:t>
      </w:r>
      <w:r w:rsidRPr="00CD63EB">
        <w:rPr>
          <w:rFonts w:ascii="Segoe UI" w:eastAsia="Times New Roman" w:hAnsi="Segoe UI" w:cs="Segoe UI"/>
          <w:szCs w:val="24"/>
          <w:lang w:val="es-CO" w:eastAsia="es-ES"/>
        </w:rPr>
        <w:t>, está demostrado que la demandante incumplió el deber de entregar oportunamente (o sea antes del 26 de abril de 2010, plazo fijado en el artículo 18 de la Resolución 7935 de 2009 para aquellos administrados cuyo NIT finalizaba en 25) la información en medios magnéticos del año 2009 a la que estaba obligada. Ante la ocurrencia de esa conducta, la DIAN profirió en su contra el Pliego de Cargos nro. 322402012000375, del 26 de septiembre de 2012, en el cual le planteó a la infractora la imposición de una sanción por no enviar información en medios magnéticos, correspondiente al valor de $356.445.000.</w:t>
      </w:r>
    </w:p>
    <w:p w14:paraId="7A0F7189" w14:textId="77777777" w:rsidR="00CD63EB" w:rsidRPr="00CD63EB" w:rsidRDefault="00CD63EB" w:rsidP="00276A2E">
      <w:pPr>
        <w:widowControl w:val="0"/>
        <w:rPr>
          <w:rFonts w:ascii="Segoe UI" w:eastAsia="Times New Roman" w:hAnsi="Segoe UI" w:cs="Segoe UI"/>
          <w:szCs w:val="24"/>
          <w:lang w:val="es-CO" w:eastAsia="es-ES"/>
        </w:rPr>
      </w:pPr>
    </w:p>
    <w:p w14:paraId="3D839A4B" w14:textId="77777777" w:rsidR="00CD63EB" w:rsidRPr="00CD63EB" w:rsidRDefault="00CD63EB" w:rsidP="00276A2E">
      <w:pPr>
        <w:widowControl w:val="0"/>
        <w:rPr>
          <w:rFonts w:ascii="Segoe UI" w:eastAsia="Times New Roman" w:hAnsi="Segoe UI" w:cs="Segoe UI"/>
          <w:szCs w:val="24"/>
          <w:lang w:val="es-CO" w:eastAsia="es-ES"/>
        </w:rPr>
      </w:pPr>
      <w:r w:rsidRPr="00CD63EB">
        <w:rPr>
          <w:rFonts w:ascii="Segoe UI" w:eastAsia="Times New Roman" w:hAnsi="Segoe UI" w:cs="Segoe UI"/>
          <w:szCs w:val="24"/>
          <w:lang w:val="es-CO" w:eastAsia="es-ES"/>
        </w:rPr>
        <w:t>Al efecto, dicho acto le precisó a la sociedad demandante, lo siguiente (</w:t>
      </w:r>
      <w:proofErr w:type="spellStart"/>
      <w:r w:rsidRPr="00CD63EB">
        <w:rPr>
          <w:rFonts w:ascii="Segoe UI" w:eastAsia="Times New Roman" w:hAnsi="Segoe UI" w:cs="Segoe UI"/>
          <w:szCs w:val="24"/>
          <w:lang w:val="es-CO" w:eastAsia="es-ES"/>
        </w:rPr>
        <w:t>ff</w:t>
      </w:r>
      <w:proofErr w:type="spellEnd"/>
      <w:r w:rsidRPr="00CD63EB">
        <w:rPr>
          <w:rFonts w:ascii="Segoe UI" w:eastAsia="Times New Roman" w:hAnsi="Segoe UI" w:cs="Segoe UI"/>
          <w:szCs w:val="24"/>
          <w:lang w:val="es-CO" w:eastAsia="es-ES"/>
        </w:rPr>
        <w:t>. 45 y 46 ca):</w:t>
      </w:r>
    </w:p>
    <w:p w14:paraId="7CC2FD18" w14:textId="77777777" w:rsidR="00CD63EB" w:rsidRPr="00CD63EB" w:rsidRDefault="00CD63EB" w:rsidP="00276A2E">
      <w:pPr>
        <w:widowControl w:val="0"/>
        <w:ind w:left="420"/>
        <w:rPr>
          <w:rFonts w:ascii="Segoe UI" w:eastAsia="Times New Roman" w:hAnsi="Segoe UI" w:cs="Segoe UI"/>
          <w:szCs w:val="24"/>
          <w:lang w:val="es-CO" w:eastAsia="es-ES"/>
        </w:rPr>
      </w:pPr>
    </w:p>
    <w:p w14:paraId="5F74775B" w14:textId="77777777" w:rsidR="00CD63EB" w:rsidRPr="00CD63EB" w:rsidRDefault="00CD63EB" w:rsidP="00276A2E">
      <w:pPr>
        <w:widowControl w:val="0"/>
        <w:ind w:left="420"/>
        <w:rPr>
          <w:rFonts w:ascii="Segoe UI" w:eastAsia="Times New Roman" w:hAnsi="Segoe UI" w:cs="Segoe UI"/>
          <w:szCs w:val="24"/>
          <w:lang w:val="es-CO" w:eastAsia="es-ES"/>
        </w:rPr>
      </w:pPr>
      <w:r w:rsidRPr="00CD63EB">
        <w:rPr>
          <w:rFonts w:ascii="Segoe UI" w:eastAsia="Times New Roman" w:hAnsi="Segoe UI" w:cs="Segoe UI"/>
          <w:szCs w:val="24"/>
          <w:lang w:val="es-CO" w:eastAsia="es-ES"/>
        </w:rPr>
        <w:t>Para el caso que nos ocupa, el contribuyente al NO haber suministrado la información a la que está obligado, causó daño al Estado al obstaculizar y dificultar la labor fiscalizadora de la DIAN (…)</w:t>
      </w:r>
    </w:p>
    <w:p w14:paraId="1213BECB" w14:textId="77777777" w:rsidR="00CD63EB" w:rsidRPr="00CD63EB" w:rsidRDefault="00CD63EB" w:rsidP="00276A2E">
      <w:pPr>
        <w:widowControl w:val="0"/>
        <w:ind w:left="420"/>
        <w:rPr>
          <w:rFonts w:ascii="Segoe UI" w:eastAsia="Times New Roman" w:hAnsi="Segoe UI" w:cs="Segoe UI"/>
          <w:szCs w:val="24"/>
          <w:lang w:val="es-CO" w:eastAsia="es-ES"/>
        </w:rPr>
      </w:pPr>
    </w:p>
    <w:p w14:paraId="1A8B3855" w14:textId="77777777" w:rsidR="00CD63EB" w:rsidRPr="00CD63EB" w:rsidRDefault="00CD63EB" w:rsidP="00276A2E">
      <w:pPr>
        <w:widowControl w:val="0"/>
        <w:ind w:left="420"/>
        <w:rPr>
          <w:rFonts w:ascii="Segoe UI" w:eastAsia="Times New Roman" w:hAnsi="Segoe UI" w:cs="Segoe UI"/>
          <w:szCs w:val="24"/>
          <w:lang w:val="es-CO" w:eastAsia="es-ES"/>
        </w:rPr>
      </w:pPr>
      <w:r w:rsidRPr="00CD63EB">
        <w:rPr>
          <w:rFonts w:ascii="Segoe UI" w:eastAsia="Times New Roman" w:hAnsi="Segoe UI" w:cs="Segoe UI"/>
          <w:szCs w:val="24"/>
          <w:lang w:val="es-CO" w:eastAsia="es-ES"/>
        </w:rPr>
        <w:t xml:space="preserve">Es evidente que la omisión de la presentación </w:t>
      </w:r>
      <w:proofErr w:type="gramStart"/>
      <w:r w:rsidRPr="00CD63EB">
        <w:rPr>
          <w:rFonts w:ascii="Segoe UI" w:eastAsia="Times New Roman" w:hAnsi="Segoe UI" w:cs="Segoe UI"/>
          <w:szCs w:val="24"/>
          <w:lang w:val="es-CO" w:eastAsia="es-ES"/>
        </w:rPr>
        <w:t>dela</w:t>
      </w:r>
      <w:proofErr w:type="gramEnd"/>
      <w:r w:rsidRPr="00CD63EB">
        <w:rPr>
          <w:rFonts w:ascii="Segoe UI" w:eastAsia="Times New Roman" w:hAnsi="Segoe UI" w:cs="Segoe UI"/>
          <w:szCs w:val="24"/>
          <w:lang w:val="es-CO" w:eastAsia="es-ES"/>
        </w:rPr>
        <w:t xml:space="preserve"> información impide la labor de fiscalización y control para efectuar los cruces de información con terceros (…)</w:t>
      </w:r>
    </w:p>
    <w:p w14:paraId="69FCCC66" w14:textId="77777777" w:rsidR="00CD63EB" w:rsidRPr="00CD63EB" w:rsidRDefault="00CD63EB" w:rsidP="00276A2E">
      <w:pPr>
        <w:widowControl w:val="0"/>
        <w:ind w:left="420"/>
        <w:rPr>
          <w:rFonts w:ascii="Segoe UI" w:eastAsia="Times New Roman" w:hAnsi="Segoe UI" w:cs="Segoe UI"/>
          <w:szCs w:val="24"/>
          <w:lang w:val="es-CO" w:eastAsia="es-ES"/>
        </w:rPr>
      </w:pPr>
    </w:p>
    <w:p w14:paraId="223A55C0" w14:textId="77777777" w:rsidR="00CD63EB" w:rsidRPr="00CD63EB" w:rsidRDefault="00CD63EB" w:rsidP="00276A2E">
      <w:pPr>
        <w:widowControl w:val="0"/>
        <w:ind w:left="420"/>
        <w:rPr>
          <w:rFonts w:ascii="Segoe UI" w:eastAsia="Times New Roman" w:hAnsi="Segoe UI" w:cs="Segoe UI"/>
          <w:szCs w:val="24"/>
          <w:lang w:val="es-CO" w:eastAsia="es-ES"/>
        </w:rPr>
      </w:pPr>
      <w:r w:rsidRPr="00CD63EB">
        <w:rPr>
          <w:rFonts w:ascii="Segoe UI" w:eastAsia="Times New Roman" w:hAnsi="Segoe UI" w:cs="Segoe UI"/>
          <w:szCs w:val="24"/>
          <w:lang w:val="es-CO" w:eastAsia="es-ES"/>
        </w:rPr>
        <w:t>Teniendo en cuenta que el contribuyente IDT ELECTRIC LTDA. (…), incurrió en la conducta sancionable definida en el artículo 651 del Estatuto Tributario consistente en no suministrar la información requerida, de acuerdo con lo establecido en la Resolución No. 7935 del 28 de julio de 2009, se impone aplicar la sanción contemplada en el literal a) del artículo 651 del Estatuto Tributario (…)</w:t>
      </w:r>
    </w:p>
    <w:p w14:paraId="32F8616C" w14:textId="77777777" w:rsidR="00CD63EB" w:rsidRPr="00CD63EB" w:rsidRDefault="00CD63EB" w:rsidP="00276A2E">
      <w:pPr>
        <w:widowControl w:val="0"/>
        <w:rPr>
          <w:rFonts w:ascii="Segoe UI" w:eastAsia="Times New Roman" w:hAnsi="Segoe UI" w:cs="Segoe UI"/>
          <w:szCs w:val="24"/>
          <w:lang w:val="es-CO" w:eastAsia="es-ES"/>
        </w:rPr>
      </w:pPr>
    </w:p>
    <w:p w14:paraId="7DBE2853" w14:textId="77777777" w:rsidR="00CD63EB" w:rsidRPr="00CD63EB" w:rsidRDefault="00CD63EB" w:rsidP="00276A2E">
      <w:pPr>
        <w:widowControl w:val="0"/>
        <w:rPr>
          <w:rFonts w:ascii="Segoe UI" w:eastAsia="Times New Roman" w:hAnsi="Segoe UI" w:cs="Segoe UI"/>
          <w:szCs w:val="24"/>
          <w:lang w:val="es-CO" w:eastAsia="es-ES"/>
        </w:rPr>
      </w:pPr>
      <w:r w:rsidRPr="00CD63EB">
        <w:rPr>
          <w:rFonts w:ascii="Segoe UI" w:eastAsia="Times New Roman" w:hAnsi="Segoe UI" w:cs="Segoe UI"/>
          <w:szCs w:val="24"/>
          <w:lang w:val="es-CO" w:eastAsia="es-ES"/>
        </w:rPr>
        <w:t>Asimismo, una vez la Administración impuso la sanción, mediante la Resolución 322412013000330, del 8 de mayo de 2014, señaló que verificados los sistemas de información de la DIAN «</w:t>
      </w:r>
      <w:r w:rsidRPr="00CD63EB">
        <w:rPr>
          <w:rFonts w:ascii="Segoe UI" w:eastAsia="Times New Roman" w:hAnsi="Segoe UI" w:cs="Segoe UI"/>
          <w:i/>
          <w:szCs w:val="24"/>
          <w:lang w:val="es-CO" w:eastAsia="es-ES"/>
        </w:rPr>
        <w:t xml:space="preserve">el contribuyente IDT Electric Ltda. con NIT. 800.083.425-4, no presentó la información tributaria de que trata el artículo 631 del ET, dentro del plazo establecido en la Resolución </w:t>
      </w:r>
      <w:proofErr w:type="spellStart"/>
      <w:r w:rsidRPr="00CD63EB">
        <w:rPr>
          <w:rFonts w:ascii="Segoe UI" w:eastAsia="Times New Roman" w:hAnsi="Segoe UI" w:cs="Segoe UI"/>
          <w:i/>
          <w:szCs w:val="24"/>
          <w:lang w:val="es-CO" w:eastAsia="es-ES"/>
        </w:rPr>
        <w:t>Nº</w:t>
      </w:r>
      <w:proofErr w:type="spellEnd"/>
      <w:r w:rsidRPr="00CD63EB">
        <w:rPr>
          <w:rFonts w:ascii="Segoe UI" w:eastAsia="Times New Roman" w:hAnsi="Segoe UI" w:cs="Segoe UI"/>
          <w:i/>
          <w:szCs w:val="24"/>
          <w:lang w:val="es-CO" w:eastAsia="es-ES"/>
        </w:rPr>
        <w:t xml:space="preserve"> 7935, del 28 de julio de 2009, correspondiente al año gravable 2009</w:t>
      </w:r>
      <w:r w:rsidRPr="00CD63EB">
        <w:rPr>
          <w:rFonts w:ascii="Segoe UI" w:eastAsia="Times New Roman" w:hAnsi="Segoe UI" w:cs="Segoe UI"/>
          <w:szCs w:val="24"/>
          <w:lang w:val="es-CO" w:eastAsia="es-ES"/>
        </w:rPr>
        <w:t>» (f. 89).</w:t>
      </w:r>
    </w:p>
    <w:p w14:paraId="031DEBEC" w14:textId="77777777" w:rsidR="00CD63EB" w:rsidRPr="00CD63EB" w:rsidRDefault="00CD63EB" w:rsidP="00276A2E">
      <w:pPr>
        <w:widowControl w:val="0"/>
        <w:rPr>
          <w:rFonts w:ascii="Segoe UI" w:eastAsia="Times New Roman" w:hAnsi="Segoe UI" w:cs="Segoe UI"/>
          <w:szCs w:val="24"/>
          <w:lang w:val="es-CO" w:eastAsia="es-ES"/>
        </w:rPr>
      </w:pPr>
    </w:p>
    <w:p w14:paraId="2DF06246" w14:textId="77777777" w:rsidR="00CD63EB" w:rsidRPr="00CD63EB" w:rsidRDefault="00CD63EB" w:rsidP="00276A2E">
      <w:pPr>
        <w:widowControl w:val="0"/>
        <w:rPr>
          <w:rFonts w:ascii="Segoe UI" w:eastAsia="Times New Roman" w:hAnsi="Segoe UI" w:cs="Segoe UI"/>
          <w:szCs w:val="24"/>
          <w:lang w:val="es-CO" w:eastAsia="es-ES"/>
        </w:rPr>
      </w:pPr>
      <w:r w:rsidRPr="00CD63EB">
        <w:rPr>
          <w:rFonts w:ascii="Segoe UI" w:eastAsia="Times New Roman" w:hAnsi="Segoe UI" w:cs="Segoe UI"/>
          <w:szCs w:val="24"/>
          <w:lang w:val="es-CO" w:eastAsia="es-ES"/>
        </w:rPr>
        <w:t>Igualmente, en el acto sancionatorio, sostuvo la DIAN que: «</w:t>
      </w:r>
      <w:r w:rsidRPr="00CD63EB">
        <w:rPr>
          <w:rFonts w:ascii="Segoe UI" w:eastAsia="Times New Roman" w:hAnsi="Segoe UI" w:cs="Segoe UI"/>
          <w:i/>
          <w:szCs w:val="24"/>
          <w:lang w:val="es-CO" w:eastAsia="es-ES"/>
        </w:rPr>
        <w:t xml:space="preserve">al no existir prescripción del Pliego de Cargos, el contribuyente al no cumplir con la presentación de la información </w:t>
      </w:r>
      <w:r w:rsidRPr="00CD63EB">
        <w:rPr>
          <w:rFonts w:ascii="Segoe UI" w:eastAsia="Times New Roman" w:hAnsi="Segoe UI" w:cs="Segoe UI"/>
          <w:i/>
          <w:szCs w:val="24"/>
          <w:lang w:val="es-CO" w:eastAsia="es-ES"/>
        </w:rPr>
        <w:lastRenderedPageBreak/>
        <w:t>exógena año 2009 dentro del término establecido, se enmarca dentro de la sanción propiamente dicha (…)</w:t>
      </w:r>
      <w:r w:rsidRPr="00CD63EB">
        <w:rPr>
          <w:rFonts w:ascii="Segoe UI" w:eastAsia="Times New Roman" w:hAnsi="Segoe UI" w:cs="Segoe UI"/>
          <w:szCs w:val="24"/>
          <w:lang w:val="es-CO" w:eastAsia="es-ES"/>
        </w:rPr>
        <w:t>» (f. 93 ca)</w:t>
      </w:r>
    </w:p>
    <w:p w14:paraId="79F6F158" w14:textId="77777777" w:rsidR="00CD63EB" w:rsidRPr="00CD63EB" w:rsidRDefault="00CD63EB" w:rsidP="00276A2E">
      <w:pPr>
        <w:widowControl w:val="0"/>
        <w:rPr>
          <w:rFonts w:ascii="Segoe UI" w:eastAsia="Times New Roman" w:hAnsi="Segoe UI" w:cs="Segoe UI"/>
          <w:szCs w:val="24"/>
          <w:lang w:val="es-CO" w:eastAsia="es-ES"/>
        </w:rPr>
      </w:pPr>
    </w:p>
    <w:p w14:paraId="1195AC9D" w14:textId="77777777" w:rsidR="00CD63EB" w:rsidRPr="00CD63EB" w:rsidRDefault="00CD63EB" w:rsidP="00276A2E">
      <w:pPr>
        <w:widowControl w:val="0"/>
        <w:rPr>
          <w:rFonts w:ascii="Segoe UI" w:eastAsia="Times New Roman" w:hAnsi="Segoe UI" w:cs="Segoe UI"/>
          <w:szCs w:val="24"/>
          <w:lang w:val="es-CO" w:eastAsia="es-ES"/>
        </w:rPr>
      </w:pPr>
      <w:r w:rsidRPr="00CD63EB">
        <w:rPr>
          <w:rFonts w:ascii="Segoe UI" w:eastAsia="Times New Roman" w:hAnsi="Segoe UI" w:cs="Segoe UI"/>
          <w:szCs w:val="24"/>
          <w:lang w:val="es-CO" w:eastAsia="es-ES"/>
        </w:rPr>
        <w:t>Como se detalla, contrario a las manifestaciones de la contribuyente, la Sala evidencia que los actos demandados sí cuestionaron la infracción correspondiente a la omisión en la entrega de la información en medios magnéticos por el año gravable 2009.</w:t>
      </w:r>
    </w:p>
    <w:p w14:paraId="360BCF63" w14:textId="77777777" w:rsidR="00CD63EB" w:rsidRPr="00CD63EB" w:rsidRDefault="00CD63EB" w:rsidP="00276A2E">
      <w:pPr>
        <w:widowControl w:val="0"/>
        <w:rPr>
          <w:rFonts w:ascii="Segoe UI" w:eastAsia="Times New Roman" w:hAnsi="Segoe UI" w:cs="Segoe UI"/>
          <w:szCs w:val="24"/>
          <w:lang w:val="es-CO" w:eastAsia="es-ES"/>
        </w:rPr>
      </w:pPr>
    </w:p>
    <w:p w14:paraId="7E1FE652" w14:textId="77777777" w:rsidR="00CD63EB" w:rsidRPr="00CD63EB" w:rsidRDefault="00CD63EB" w:rsidP="00276A2E">
      <w:pPr>
        <w:widowControl w:val="0"/>
        <w:rPr>
          <w:rFonts w:ascii="Segoe UI" w:eastAsia="Times New Roman" w:hAnsi="Segoe UI" w:cs="Segoe UI"/>
          <w:szCs w:val="24"/>
          <w:lang w:val="es-CO" w:eastAsia="es-ES"/>
        </w:rPr>
      </w:pPr>
      <w:r w:rsidRPr="00CD63EB">
        <w:rPr>
          <w:rFonts w:ascii="Segoe UI" w:eastAsia="Times New Roman" w:hAnsi="Segoe UI" w:cs="Segoe UI"/>
          <w:szCs w:val="24"/>
          <w:lang w:val="es-CO" w:eastAsia="es-ES"/>
        </w:rPr>
        <w:t>Más aun, se debe destacar que en los escritos de contestación del pliego de cargos y del recurso de reconsideración contra la resolución sancionatoria impugnada, la demandante pudo ejercer el derecho de defensa contra los actos acusados, en la medida en que planteó la caducidad («</w:t>
      </w:r>
      <w:r w:rsidRPr="00CD63EB">
        <w:rPr>
          <w:rFonts w:ascii="Segoe UI" w:eastAsia="Times New Roman" w:hAnsi="Segoe UI" w:cs="Segoe UI"/>
          <w:i/>
          <w:szCs w:val="24"/>
          <w:lang w:val="es-CO" w:eastAsia="es-ES"/>
        </w:rPr>
        <w:t>prescripción</w:t>
      </w:r>
      <w:r w:rsidRPr="00CD63EB">
        <w:rPr>
          <w:rFonts w:ascii="Segoe UI" w:eastAsia="Times New Roman" w:hAnsi="Segoe UI" w:cs="Segoe UI"/>
          <w:szCs w:val="24"/>
          <w:lang w:val="es-CO" w:eastAsia="es-ES"/>
        </w:rPr>
        <w:t>», en los términos de la demandante) de la potestad para sancionar por no enviar información en medios magnéticos del año gravable 2009. De ahí que resulte notorio que la actora sí estuvo enterada de la conducta infractora que le endilgó la Administración en los actos demandados.</w:t>
      </w:r>
    </w:p>
    <w:p w14:paraId="28D3E46E" w14:textId="77777777" w:rsidR="00CD63EB" w:rsidRPr="00CD63EB" w:rsidRDefault="00CD63EB" w:rsidP="00276A2E">
      <w:pPr>
        <w:widowControl w:val="0"/>
        <w:rPr>
          <w:rFonts w:ascii="Segoe UI" w:eastAsia="Times New Roman" w:hAnsi="Segoe UI" w:cs="Segoe UI"/>
          <w:szCs w:val="24"/>
          <w:lang w:val="es-CO" w:eastAsia="es-ES"/>
        </w:rPr>
      </w:pPr>
    </w:p>
    <w:p w14:paraId="63EF278D" w14:textId="77777777" w:rsidR="00CD63EB" w:rsidRPr="00CD63EB" w:rsidRDefault="00CD63EB" w:rsidP="00276A2E">
      <w:pPr>
        <w:widowControl w:val="0"/>
        <w:rPr>
          <w:rFonts w:ascii="Segoe UI" w:eastAsia="Times New Roman" w:hAnsi="Segoe UI" w:cs="Segoe UI"/>
          <w:szCs w:val="24"/>
          <w:lang w:val="es-CO" w:eastAsia="es-ES"/>
        </w:rPr>
      </w:pPr>
      <w:r w:rsidRPr="00CD63EB">
        <w:rPr>
          <w:rFonts w:ascii="Segoe UI" w:eastAsia="Times New Roman" w:hAnsi="Segoe UI" w:cs="Segoe UI"/>
          <w:szCs w:val="24"/>
          <w:lang w:val="es-CO" w:eastAsia="es-ES"/>
        </w:rPr>
        <w:t>Al respecto, esta Sección ha insistido en que la falta de motivación de los actos administrativos, quebranta el artículo 42 del CPACA, que exige a la Administración precisar las razones fácticas y jurídicas que dan origen a la decisión, lo cual posibilita el ejercicio del derecho de defensa y contradicción de los contribuyentes (artículo 29 de la Constitución).</w:t>
      </w:r>
    </w:p>
    <w:p w14:paraId="68CD3306" w14:textId="77777777" w:rsidR="00CD63EB" w:rsidRPr="00CD63EB" w:rsidRDefault="00CD63EB" w:rsidP="00276A2E">
      <w:pPr>
        <w:widowControl w:val="0"/>
        <w:rPr>
          <w:rFonts w:ascii="Segoe UI" w:eastAsia="Times New Roman" w:hAnsi="Segoe UI" w:cs="Segoe UI"/>
          <w:szCs w:val="24"/>
          <w:lang w:val="es-CO" w:eastAsia="es-ES"/>
        </w:rPr>
      </w:pPr>
    </w:p>
    <w:p w14:paraId="232B4F1D" w14:textId="77777777" w:rsidR="00CD63EB" w:rsidRPr="00CD63EB" w:rsidRDefault="00CD63EB" w:rsidP="00276A2E">
      <w:pPr>
        <w:widowControl w:val="0"/>
        <w:rPr>
          <w:rFonts w:ascii="Segoe UI" w:eastAsia="Times New Roman" w:hAnsi="Segoe UI" w:cs="Segoe UI"/>
          <w:szCs w:val="24"/>
          <w:lang w:val="es-CO" w:eastAsia="es-ES"/>
        </w:rPr>
      </w:pPr>
      <w:r w:rsidRPr="00CD63EB">
        <w:rPr>
          <w:rFonts w:ascii="Segoe UI" w:eastAsia="Times New Roman" w:hAnsi="Segoe UI" w:cs="Segoe UI"/>
          <w:szCs w:val="24"/>
          <w:lang w:val="es-CO" w:eastAsia="es-ES"/>
        </w:rPr>
        <w:t>Como se extrae del contenido de los actos demandados y de las actuaciones desplegadas por la actora en sede administrativa, los actos administrativos estuvieron suficientemente motivados y, en ese orden de ideas, no se detalla la violación del debido proceso. No prospera el cargo.</w:t>
      </w:r>
    </w:p>
    <w:p w14:paraId="4F86CE85" w14:textId="77777777" w:rsidR="00CD63EB" w:rsidRPr="00CD63EB" w:rsidRDefault="00CD63EB" w:rsidP="00276A2E">
      <w:pPr>
        <w:widowControl w:val="0"/>
        <w:rPr>
          <w:rFonts w:ascii="Segoe UI" w:eastAsia="Times New Roman" w:hAnsi="Segoe UI" w:cs="Segoe UI"/>
          <w:szCs w:val="24"/>
          <w:lang w:val="es-CO" w:eastAsia="es-ES"/>
        </w:rPr>
      </w:pPr>
    </w:p>
    <w:p w14:paraId="01ADACFF" w14:textId="77777777" w:rsidR="00CD63EB" w:rsidRPr="00CD63EB" w:rsidRDefault="00CD63EB" w:rsidP="00276A2E">
      <w:pPr>
        <w:widowControl w:val="0"/>
        <w:rPr>
          <w:rFonts w:ascii="Segoe UI" w:eastAsia="Times New Roman" w:hAnsi="Segoe UI" w:cs="Segoe UI"/>
          <w:szCs w:val="24"/>
          <w:lang w:val="es-CO" w:eastAsia="es-ES"/>
        </w:rPr>
      </w:pPr>
      <w:r w:rsidRPr="00276A2E">
        <w:rPr>
          <w:rFonts w:ascii="Segoe UI" w:eastAsia="Times New Roman" w:hAnsi="Segoe UI" w:cs="Segoe UI"/>
          <w:szCs w:val="24"/>
          <w:highlight w:val="yellow"/>
          <w:lang w:val="es-CO" w:eastAsia="es-ES"/>
        </w:rPr>
        <w:t xml:space="preserve">5- Por otra parte, el anexo explicativo de la resolución sancionadora indicó que el daño a la Administración consistió en que </w:t>
      </w:r>
      <w:r w:rsidRPr="00276A2E">
        <w:rPr>
          <w:rFonts w:ascii="Segoe UI" w:eastAsia="Times New Roman" w:hAnsi="Segoe UI" w:cs="Segoe UI"/>
          <w:i/>
          <w:szCs w:val="24"/>
          <w:highlight w:val="yellow"/>
          <w:lang w:val="es-CO" w:eastAsia="es-ES"/>
        </w:rPr>
        <w:t xml:space="preserve">«la omisión de la presentación de la información impide la labor de fiscalización y control para efectuar los cruces de información con terceros, que en últimas constituye el fundamento del suministro de la información, de conformidad con el artículo 631 del ET, por cuanto los cruces de información con terceros en medios electrónicos representa un medio eficaz y eficiente para disminuir los fenómenos de evasión y elusión tributaria y minimizar los riesgos de competitividad en el mercado» </w:t>
      </w:r>
      <w:r w:rsidRPr="00276A2E">
        <w:rPr>
          <w:rFonts w:ascii="Segoe UI" w:eastAsia="Times New Roman" w:hAnsi="Segoe UI" w:cs="Segoe UI"/>
          <w:szCs w:val="24"/>
          <w:highlight w:val="yellow"/>
          <w:lang w:val="es-CO" w:eastAsia="es-ES"/>
        </w:rPr>
        <w:t>(f. 94).</w:t>
      </w:r>
    </w:p>
    <w:p w14:paraId="7ED25C98" w14:textId="77777777" w:rsidR="00CD63EB" w:rsidRPr="00CD63EB" w:rsidRDefault="00CD63EB" w:rsidP="00276A2E">
      <w:pPr>
        <w:widowControl w:val="0"/>
        <w:rPr>
          <w:rFonts w:ascii="Segoe UI" w:eastAsia="Times New Roman" w:hAnsi="Segoe UI" w:cs="Segoe UI"/>
          <w:szCs w:val="24"/>
          <w:lang w:val="es-CO" w:eastAsia="es-ES"/>
        </w:rPr>
      </w:pPr>
    </w:p>
    <w:p w14:paraId="673728A2" w14:textId="77777777" w:rsidR="00CD63EB" w:rsidRPr="00CD63EB" w:rsidRDefault="00CD63EB" w:rsidP="00276A2E">
      <w:pPr>
        <w:widowControl w:val="0"/>
        <w:rPr>
          <w:rFonts w:ascii="Segoe UI" w:eastAsia="Times New Roman" w:hAnsi="Segoe UI" w:cs="Segoe UI"/>
          <w:szCs w:val="24"/>
          <w:lang w:val="es-CO" w:eastAsia="es-ES"/>
        </w:rPr>
      </w:pPr>
      <w:r w:rsidRPr="00CD63EB">
        <w:rPr>
          <w:rFonts w:ascii="Segoe UI" w:eastAsia="Times New Roman" w:hAnsi="Segoe UI" w:cs="Segoe UI"/>
          <w:szCs w:val="24"/>
          <w:lang w:val="es-CO" w:eastAsia="es-ES"/>
        </w:rPr>
        <w:lastRenderedPageBreak/>
        <w:t>En estos términos, la Sala no acoge los argumentos de la actora acerca de que la Administración debía probar el daño, a fin de justificar la sanción impuesta. Lo anterior, teniendo en cuenta que el incumplimiento del deber subsidiario (formal) de presentar información, obstaculiza la fiscalización que la DIAN debe realizar a los contribuyentes, de manera que la negligencia en la entrega de la información entorpece este mandato que tiene la autoridad tributaria y ello justifica la imposición de la sanción. No prospera el cargo de la parte actora.</w:t>
      </w:r>
    </w:p>
    <w:p w14:paraId="4A1EB188" w14:textId="77777777" w:rsidR="00CD63EB" w:rsidRPr="00CD63EB" w:rsidRDefault="00CD63EB" w:rsidP="00276A2E">
      <w:pPr>
        <w:widowControl w:val="0"/>
        <w:rPr>
          <w:rFonts w:ascii="Segoe UI" w:eastAsia="Times New Roman" w:hAnsi="Segoe UI" w:cs="Segoe UI"/>
          <w:szCs w:val="24"/>
          <w:lang w:val="es-CO" w:eastAsia="es-ES"/>
        </w:rPr>
      </w:pPr>
    </w:p>
    <w:p w14:paraId="168D90B7" w14:textId="77777777" w:rsidR="00CD63EB" w:rsidRPr="00CD63EB" w:rsidRDefault="00CD63EB" w:rsidP="00276A2E">
      <w:pPr>
        <w:widowControl w:val="0"/>
        <w:rPr>
          <w:rFonts w:ascii="Segoe UI" w:eastAsia="Times New Roman" w:hAnsi="Segoe UI" w:cs="Segoe UI"/>
          <w:szCs w:val="24"/>
          <w:lang w:val="es-CO" w:eastAsia="es-ES"/>
        </w:rPr>
      </w:pPr>
      <w:r w:rsidRPr="00CD63EB">
        <w:rPr>
          <w:rFonts w:ascii="Segoe UI" w:eastAsia="Times New Roman" w:hAnsi="Segoe UI" w:cs="Segoe UI"/>
          <w:szCs w:val="24"/>
          <w:lang w:val="es-CO" w:eastAsia="es-ES"/>
        </w:rPr>
        <w:t>6- Aunando a lo precedente, se debe insistir que el artículo 651 del ET, establece que la omisión en la entrega de la información requerida, podrá conllevar a una sanción equivalente «</w:t>
      </w:r>
      <w:r w:rsidRPr="00CD63EB">
        <w:rPr>
          <w:rFonts w:ascii="Segoe UI" w:eastAsia="Times New Roman" w:hAnsi="Segoe UI" w:cs="Segoe UI"/>
          <w:i/>
          <w:szCs w:val="24"/>
          <w:lang w:val="es-CO" w:eastAsia="es-ES"/>
        </w:rPr>
        <w:t>hasta el 5%</w:t>
      </w:r>
      <w:r w:rsidRPr="00CD63EB">
        <w:rPr>
          <w:rFonts w:ascii="Segoe UI" w:eastAsia="Times New Roman" w:hAnsi="Segoe UI" w:cs="Segoe UI"/>
          <w:szCs w:val="24"/>
          <w:lang w:val="es-CO" w:eastAsia="es-ES"/>
        </w:rPr>
        <w:t>» del valor de la información no reportada, errónea o entregada de forma extemporánea.</w:t>
      </w:r>
    </w:p>
    <w:p w14:paraId="4FF57BF2" w14:textId="77777777" w:rsidR="00CD63EB" w:rsidRPr="00CD63EB" w:rsidRDefault="00CD63EB" w:rsidP="00276A2E">
      <w:pPr>
        <w:widowControl w:val="0"/>
        <w:rPr>
          <w:rFonts w:ascii="Segoe UI" w:eastAsia="Times New Roman" w:hAnsi="Segoe UI" w:cs="Segoe UI"/>
          <w:szCs w:val="24"/>
          <w:lang w:val="es-CO" w:eastAsia="es-ES"/>
        </w:rPr>
      </w:pPr>
    </w:p>
    <w:p w14:paraId="17A0C6FD" w14:textId="77777777" w:rsidR="00CD63EB" w:rsidRPr="00276A2E" w:rsidRDefault="00CD63EB" w:rsidP="00276A2E">
      <w:pPr>
        <w:widowControl w:val="0"/>
        <w:overflowPunct w:val="0"/>
        <w:adjustRightInd w:val="0"/>
        <w:textAlignment w:val="baseline"/>
        <w:rPr>
          <w:rFonts w:ascii="Segoe UI" w:eastAsia="Times New Roman" w:hAnsi="Segoe UI" w:cs="Segoe UI"/>
          <w:sz w:val="32"/>
          <w:szCs w:val="32"/>
          <w:lang w:val="es-CO" w:eastAsia="es-ES"/>
        </w:rPr>
      </w:pPr>
      <w:r w:rsidRPr="00276A2E">
        <w:rPr>
          <w:rFonts w:ascii="Segoe UI" w:eastAsia="Times New Roman" w:hAnsi="Segoe UI" w:cs="Segoe UI"/>
          <w:sz w:val="32"/>
          <w:szCs w:val="32"/>
          <w:highlight w:val="green"/>
          <w:lang w:val="es-CO" w:eastAsia="es-CO"/>
        </w:rPr>
        <w:t xml:space="preserve">La Sentencia C-160 de 1998, proferida por la Corte Constitucional, al analizar el prenotado artículo, </w:t>
      </w:r>
      <w:r w:rsidRPr="00276A2E">
        <w:rPr>
          <w:rFonts w:ascii="Segoe UI" w:eastAsia="Times New Roman" w:hAnsi="Segoe UI" w:cs="Segoe UI"/>
          <w:sz w:val="32"/>
          <w:szCs w:val="32"/>
          <w:highlight w:val="green"/>
          <w:lang w:val="es-CO" w:eastAsia="es-ES"/>
        </w:rPr>
        <w:t xml:space="preserve">consideró que la función punitiva de la Administración tributaria se enmarca en criterios de proporcionalidad y razonabilidad, </w:t>
      </w:r>
      <w:r w:rsidRPr="00276A2E">
        <w:rPr>
          <w:rFonts w:ascii="Segoe UI" w:eastAsia="Times New Roman" w:hAnsi="Segoe UI" w:cs="Segoe UI"/>
          <w:b/>
          <w:bCs/>
          <w:sz w:val="32"/>
          <w:szCs w:val="32"/>
          <w:highlight w:val="green"/>
          <w:lang w:val="es-CO" w:eastAsia="es-ES"/>
        </w:rPr>
        <w:t>de suerte que la imposición de la sanción por no informar debe graduarse en proporción a la magnitud del daño producido con la infracción.</w:t>
      </w:r>
    </w:p>
    <w:p w14:paraId="0DFE83BF" w14:textId="77777777" w:rsidR="00CD63EB" w:rsidRPr="00CD63EB" w:rsidRDefault="00CD63EB" w:rsidP="00276A2E">
      <w:pPr>
        <w:widowControl w:val="0"/>
        <w:shd w:val="clear" w:color="auto" w:fill="FFFFFF"/>
        <w:rPr>
          <w:rFonts w:ascii="Segoe UI" w:eastAsia="Times New Roman" w:hAnsi="Segoe UI" w:cs="Segoe UI"/>
          <w:bCs/>
          <w:szCs w:val="24"/>
          <w:lang w:val="es-CO" w:eastAsia="es-CO"/>
        </w:rPr>
      </w:pPr>
    </w:p>
    <w:p w14:paraId="7810F3D3" w14:textId="77777777" w:rsidR="00CD63EB" w:rsidRPr="00276A2E" w:rsidRDefault="00CD63EB" w:rsidP="00276A2E">
      <w:pPr>
        <w:widowControl w:val="0"/>
        <w:shd w:val="clear" w:color="auto" w:fill="FFFFFF"/>
        <w:rPr>
          <w:rFonts w:ascii="Segoe UI" w:eastAsia="Times New Roman" w:hAnsi="Segoe UI" w:cs="Segoe UI"/>
          <w:sz w:val="28"/>
          <w:szCs w:val="28"/>
          <w:lang w:val="es-CO" w:eastAsia="es-CO"/>
        </w:rPr>
      </w:pPr>
      <w:r w:rsidRPr="00276A2E">
        <w:rPr>
          <w:rFonts w:ascii="Segoe UI" w:eastAsia="Times New Roman" w:hAnsi="Segoe UI" w:cs="Segoe UI"/>
          <w:bCs/>
          <w:sz w:val="28"/>
          <w:szCs w:val="28"/>
          <w:highlight w:val="green"/>
          <w:lang w:val="es-CO" w:eastAsia="es-CO"/>
        </w:rPr>
        <w:t>Este imperativo constitucional también ha</w:t>
      </w:r>
      <w:r w:rsidRPr="00276A2E">
        <w:rPr>
          <w:rFonts w:ascii="Segoe UI" w:eastAsia="Times New Roman" w:hAnsi="Segoe UI" w:cs="Segoe UI"/>
          <w:sz w:val="28"/>
          <w:szCs w:val="28"/>
          <w:highlight w:val="green"/>
          <w:lang w:val="es-CO" w:eastAsia="es-CO"/>
        </w:rPr>
        <w:t xml:space="preserve"> sido reconocido por esta Sección en numerosos pronunciamientos, dentro de los que caben destacar las sentencias del 20 de abril de 2001, del 20 de febrero de 2003, del 4 de abril de 2003, del 15 de junio de 2006 y del 30 de agosto de 2007 (expedientes 11658, CP: Ligia López Díaz; 12736 y 12897 CP: María Inés Ortiz Barbosa, y 15181, CP: Héctor J. Romero Díaz)</w:t>
      </w:r>
      <w:r w:rsidRPr="00276A2E">
        <w:rPr>
          <w:rFonts w:ascii="Segoe UI" w:eastAsia="Times New Roman" w:hAnsi="Segoe UI" w:cs="Segoe UI"/>
          <w:sz w:val="28"/>
          <w:szCs w:val="28"/>
          <w:highlight w:val="green"/>
          <w:lang w:val="es-CO" w:eastAsia="es-CO"/>
        </w:rPr>
        <w:footnoteRef/>
      </w:r>
      <w:r w:rsidRPr="00276A2E">
        <w:rPr>
          <w:rFonts w:ascii="Segoe UI" w:eastAsia="Times New Roman" w:hAnsi="Segoe UI" w:cs="Segoe UI"/>
          <w:sz w:val="28"/>
          <w:szCs w:val="28"/>
          <w:highlight w:val="green"/>
          <w:lang w:val="es-CO" w:eastAsia="es-CO"/>
        </w:rPr>
        <w:t>[1].</w:t>
      </w:r>
    </w:p>
    <w:p w14:paraId="3D66E3C2" w14:textId="77777777" w:rsidR="00CD63EB" w:rsidRPr="00CD63EB" w:rsidRDefault="00CD63EB" w:rsidP="00276A2E">
      <w:pPr>
        <w:widowControl w:val="0"/>
        <w:shd w:val="clear" w:color="auto" w:fill="FFFFFF"/>
        <w:rPr>
          <w:rFonts w:ascii="Segoe UI" w:eastAsia="Times New Roman" w:hAnsi="Segoe UI" w:cs="Segoe UI"/>
          <w:szCs w:val="24"/>
          <w:lang w:val="es-CO" w:eastAsia="es-CO"/>
        </w:rPr>
      </w:pPr>
    </w:p>
    <w:p w14:paraId="2F3C57EE" w14:textId="77777777" w:rsidR="00CD63EB" w:rsidRPr="00CD63EB" w:rsidRDefault="00CD63EB" w:rsidP="00276A2E">
      <w:pPr>
        <w:widowControl w:val="0"/>
        <w:shd w:val="clear" w:color="auto" w:fill="FFFFFF"/>
        <w:rPr>
          <w:rFonts w:ascii="Segoe UI" w:eastAsia="Times New Roman" w:hAnsi="Segoe UI" w:cs="Segoe UI"/>
          <w:szCs w:val="24"/>
          <w:lang w:val="es-CO" w:eastAsia="es-ES"/>
        </w:rPr>
      </w:pPr>
      <w:r w:rsidRPr="00CD63EB">
        <w:rPr>
          <w:rFonts w:ascii="Segoe UI" w:eastAsia="Times New Roman" w:hAnsi="Segoe UI" w:cs="Segoe UI"/>
          <w:szCs w:val="24"/>
          <w:lang w:val="es-CO" w:eastAsia="es-CO"/>
        </w:rPr>
        <w:t xml:space="preserve">De acuerdo con esa jurisprudencia, </w:t>
      </w:r>
      <w:r w:rsidRPr="00CD63EB">
        <w:rPr>
          <w:rFonts w:ascii="Segoe UI" w:eastAsia="Times New Roman" w:hAnsi="Segoe UI" w:cs="Segoe UI"/>
          <w:szCs w:val="24"/>
          <w:lang w:val="es-CO" w:eastAsia="es-ES"/>
        </w:rPr>
        <w:t>la expresión «</w:t>
      </w:r>
      <w:r w:rsidRPr="00CD63EB">
        <w:rPr>
          <w:rFonts w:ascii="Segoe UI" w:eastAsia="Times New Roman" w:hAnsi="Segoe UI" w:cs="Segoe UI"/>
          <w:i/>
          <w:szCs w:val="24"/>
          <w:lang w:val="es-CO" w:eastAsia="es-ES"/>
        </w:rPr>
        <w:t>hasta el 5%</w:t>
      </w:r>
      <w:r w:rsidRPr="00CD63EB">
        <w:rPr>
          <w:rFonts w:ascii="Segoe UI" w:eastAsia="Times New Roman" w:hAnsi="Segoe UI" w:cs="Segoe UI"/>
          <w:szCs w:val="24"/>
          <w:lang w:val="es-CO" w:eastAsia="es-ES"/>
        </w:rPr>
        <w:t>», utilizada por el artículo 651 del ET, le otorga a la Administración un margen para graduar la sanción por no informar. No obstante, «</w:t>
      </w:r>
      <w:r w:rsidRPr="00CD63EB">
        <w:rPr>
          <w:rFonts w:ascii="Segoe UI" w:eastAsia="Times New Roman" w:hAnsi="Segoe UI" w:cs="Segoe UI"/>
          <w:i/>
          <w:szCs w:val="24"/>
          <w:lang w:val="es-CO" w:eastAsia="es-ES"/>
        </w:rPr>
        <w:t>esta facultad no puede ser utilizada de forma arbitraria</w:t>
      </w:r>
      <w:r w:rsidRPr="00CD63EB">
        <w:rPr>
          <w:rFonts w:ascii="Segoe UI" w:eastAsia="Times New Roman" w:hAnsi="Segoe UI" w:cs="Segoe UI"/>
          <w:szCs w:val="24"/>
          <w:lang w:val="es-CO" w:eastAsia="es-ES"/>
        </w:rPr>
        <w:t xml:space="preserve">»; de manera que corresponde al funcionario fundamentar su decisión de imponer el tope </w:t>
      </w:r>
      <w:r w:rsidRPr="00CD63EB">
        <w:rPr>
          <w:rFonts w:ascii="Segoe UI" w:eastAsia="Times New Roman" w:hAnsi="Segoe UI" w:cs="Segoe UI"/>
          <w:szCs w:val="24"/>
          <w:lang w:val="es-CO" w:eastAsia="es-ES"/>
        </w:rPr>
        <w:lastRenderedPageBreak/>
        <w:t>máximo con argumentos que deben atender los criterios de justicia, razonabilidad y proporcionalidad de la sanción</w:t>
      </w:r>
      <w:r w:rsidRPr="00CD63EB">
        <w:rPr>
          <w:rFonts w:ascii="Segoe UI" w:eastAsia="Times New Roman" w:hAnsi="Segoe UI" w:cs="Segoe UI"/>
          <w:szCs w:val="24"/>
          <w:lang w:val="es-CO" w:eastAsia="es-ES"/>
        </w:rPr>
        <w:footnoteRef/>
      </w:r>
      <w:r w:rsidRPr="00CD63EB">
        <w:rPr>
          <w:rFonts w:ascii="Segoe UI" w:eastAsia="Calibri" w:hAnsi="Segoe UI" w:cs="Segoe UI"/>
          <w:sz w:val="22"/>
          <w:lang w:val="es-CO"/>
        </w:rPr>
        <w:t>[2]</w:t>
      </w:r>
      <w:r w:rsidRPr="00CD63EB">
        <w:rPr>
          <w:rFonts w:ascii="Segoe UI" w:eastAsia="Times New Roman" w:hAnsi="Segoe UI" w:cs="Segoe UI"/>
          <w:szCs w:val="24"/>
          <w:lang w:val="es-CO" w:eastAsia="es-ES"/>
        </w:rPr>
        <w:t>.</w:t>
      </w:r>
    </w:p>
    <w:p w14:paraId="3905FFC2" w14:textId="77777777" w:rsidR="00CD63EB" w:rsidRPr="00CD63EB" w:rsidRDefault="00CD63EB" w:rsidP="00276A2E">
      <w:pPr>
        <w:widowControl w:val="0"/>
        <w:shd w:val="clear" w:color="auto" w:fill="FFFFFF"/>
        <w:rPr>
          <w:rFonts w:ascii="Segoe UI" w:eastAsia="Times New Roman" w:hAnsi="Segoe UI" w:cs="Segoe UI"/>
          <w:szCs w:val="24"/>
          <w:lang w:val="es-CO" w:eastAsia="es-ES"/>
        </w:rPr>
      </w:pPr>
    </w:p>
    <w:p w14:paraId="36317517" w14:textId="77777777" w:rsidR="00CD63EB" w:rsidRPr="00276A2E" w:rsidRDefault="00CD63EB" w:rsidP="00276A2E">
      <w:pPr>
        <w:widowControl w:val="0"/>
        <w:shd w:val="clear" w:color="auto" w:fill="FFFFFF"/>
        <w:rPr>
          <w:rFonts w:ascii="Segoe UI" w:eastAsia="Times New Roman" w:hAnsi="Segoe UI" w:cs="Segoe UI"/>
          <w:sz w:val="32"/>
          <w:szCs w:val="32"/>
          <w:lang w:val="es-CO" w:eastAsia="es-ES"/>
        </w:rPr>
      </w:pPr>
      <w:r w:rsidRPr="00276A2E">
        <w:rPr>
          <w:rFonts w:ascii="Segoe UI" w:eastAsia="Times New Roman" w:hAnsi="Segoe UI" w:cs="Segoe UI"/>
          <w:sz w:val="32"/>
          <w:szCs w:val="32"/>
          <w:highlight w:val="green"/>
          <w:lang w:val="es-CO" w:eastAsia="es-ES"/>
        </w:rPr>
        <w:t>En ese contexto, aunque potencialmente las infracciones al deber de informar le puedan generar un daño al fisco, la jurisprudencia de esta Sección tiene establecido que tales omisiones no pueden medirse con el mismo baremo (sentencia del 3 de junio de 2015, expediente 20476, CP: Carmen Teresa Ortiz de Rodríguez).</w:t>
      </w:r>
    </w:p>
    <w:p w14:paraId="2265D55D" w14:textId="77777777" w:rsidR="00CD63EB" w:rsidRPr="00CD63EB" w:rsidRDefault="00CD63EB" w:rsidP="00276A2E">
      <w:pPr>
        <w:widowControl w:val="0"/>
        <w:shd w:val="clear" w:color="auto" w:fill="FFFFFF"/>
        <w:rPr>
          <w:rFonts w:ascii="Segoe UI" w:eastAsia="Times New Roman" w:hAnsi="Segoe UI" w:cs="Segoe UI"/>
          <w:szCs w:val="24"/>
          <w:lang w:val="es-CO" w:eastAsia="es-ES"/>
        </w:rPr>
      </w:pPr>
    </w:p>
    <w:p w14:paraId="37B71ABD" w14:textId="77777777" w:rsidR="00CD63EB" w:rsidRPr="00CD63EB" w:rsidRDefault="00CD63EB" w:rsidP="00276A2E">
      <w:pPr>
        <w:widowControl w:val="0"/>
        <w:shd w:val="clear" w:color="auto" w:fill="FFFFFF"/>
        <w:rPr>
          <w:rFonts w:ascii="Segoe UI" w:eastAsia="Times New Roman" w:hAnsi="Segoe UI" w:cs="Segoe UI"/>
          <w:sz w:val="36"/>
          <w:szCs w:val="36"/>
          <w:lang w:val="es-CO" w:eastAsia="es-ES"/>
        </w:rPr>
      </w:pPr>
      <w:r w:rsidRPr="00CD63EB">
        <w:rPr>
          <w:rFonts w:ascii="Segoe UI" w:eastAsia="Times New Roman" w:hAnsi="Segoe UI" w:cs="Segoe UI"/>
          <w:sz w:val="36"/>
          <w:szCs w:val="36"/>
          <w:lang w:val="es-CO" w:eastAsia="es-ES"/>
        </w:rPr>
        <w:t xml:space="preserve">Ello, por cuanto la falta de presentación de información afecta considerablemente la efectividad en la gestión tributaria y, en ocasiones, imposibilita su ejercicio, mientras que la remisión extemporánea impacta la oportunidad para el desarrollo de las competencias de la Administración. </w:t>
      </w:r>
      <w:r w:rsidRPr="00CD63EB">
        <w:rPr>
          <w:rFonts w:ascii="Segoe UI" w:eastAsia="Times New Roman" w:hAnsi="Segoe UI" w:cs="Segoe UI"/>
          <w:sz w:val="36"/>
          <w:szCs w:val="36"/>
          <w:highlight w:val="green"/>
          <w:lang w:val="es-CO" w:eastAsia="es-ES"/>
        </w:rPr>
        <w:t>De manera que, si el retardo en el suministro de la información es mínimo, no se obstruye el ejercicio de la fiscalización definitivamente;</w:t>
      </w:r>
      <w:r w:rsidRPr="00CD63EB">
        <w:rPr>
          <w:rFonts w:ascii="Segoe UI" w:eastAsia="Times New Roman" w:hAnsi="Segoe UI" w:cs="Segoe UI"/>
          <w:sz w:val="36"/>
          <w:szCs w:val="36"/>
          <w:lang w:val="es-CO" w:eastAsia="es-ES"/>
        </w:rPr>
        <w:t xml:space="preserve"> </w:t>
      </w:r>
      <w:r w:rsidRPr="00CD63EB">
        <w:rPr>
          <w:rFonts w:ascii="Segoe UI" w:eastAsia="Times New Roman" w:hAnsi="Segoe UI" w:cs="Segoe UI"/>
          <w:sz w:val="36"/>
          <w:szCs w:val="36"/>
          <w:highlight w:val="yellow"/>
          <w:lang w:val="es-CO" w:eastAsia="es-ES"/>
        </w:rPr>
        <w:t>pero, si la mora es prolongada, puede producir el mismo efecto de una falta absoluta, toda vez que los términos con los que cuenta la Administración para el ejercicio de sus funciones son preclusivos en la mayoría de los casos (sentencia del 12 de octubre de 2017, expediente 21976, CP: Milton Chaves García).</w:t>
      </w:r>
    </w:p>
    <w:p w14:paraId="0689A938" w14:textId="77777777" w:rsidR="00CD63EB" w:rsidRPr="00CD63EB" w:rsidRDefault="00CD63EB" w:rsidP="00276A2E">
      <w:pPr>
        <w:widowControl w:val="0"/>
        <w:shd w:val="clear" w:color="auto" w:fill="FFFFFF"/>
        <w:rPr>
          <w:rFonts w:ascii="Segoe UI" w:eastAsia="Times New Roman" w:hAnsi="Segoe UI" w:cs="Segoe UI"/>
          <w:szCs w:val="24"/>
          <w:lang w:val="es-CO" w:eastAsia="es-ES"/>
        </w:rPr>
      </w:pPr>
    </w:p>
    <w:p w14:paraId="6A2D73AD" w14:textId="77777777" w:rsidR="00CD63EB" w:rsidRPr="00CD63EB" w:rsidRDefault="00CD63EB" w:rsidP="00276A2E">
      <w:pPr>
        <w:widowControl w:val="0"/>
        <w:shd w:val="clear" w:color="auto" w:fill="FFFFFF"/>
        <w:rPr>
          <w:rFonts w:ascii="Segoe UI" w:eastAsia="Times New Roman" w:hAnsi="Segoe UI" w:cs="Segoe UI"/>
          <w:sz w:val="36"/>
          <w:szCs w:val="36"/>
          <w:lang w:val="es-CO" w:eastAsia="es-ES"/>
        </w:rPr>
      </w:pPr>
      <w:r w:rsidRPr="00CD63EB">
        <w:rPr>
          <w:rFonts w:ascii="Segoe UI" w:eastAsia="Times New Roman" w:hAnsi="Segoe UI" w:cs="Segoe UI"/>
          <w:sz w:val="36"/>
          <w:szCs w:val="36"/>
          <w:highlight w:val="green"/>
          <w:lang w:val="es-CO" w:eastAsia="es-ES"/>
        </w:rPr>
        <w:t xml:space="preserve">Esa medición de tiempos en el cumplimiento de la obligación de informar permite evidenciar, igualmente, la </w:t>
      </w:r>
      <w:r w:rsidRPr="00CD63EB">
        <w:rPr>
          <w:rFonts w:ascii="Segoe UI" w:eastAsia="Times New Roman" w:hAnsi="Segoe UI" w:cs="Segoe UI"/>
          <w:sz w:val="36"/>
          <w:szCs w:val="36"/>
          <w:highlight w:val="green"/>
          <w:lang w:val="es-CO" w:eastAsia="es-ES"/>
        </w:rPr>
        <w:lastRenderedPageBreak/>
        <w:t>actitud de colaboración de la contribuyente para que, de una parte, la autoridad tributaria reciba la información precisa para determinar las obligaciones impositivas sustanciales y, más allá de ello, para que pueda satisfacerse el objeto de las mismas, con el recaudo de los tributos debidos por la realización de los presupuestos previstos en la ley como generadores de aquéllos, lo cual constituye la razón primordial para poner en marcha el aparato administrativo y su potestad fiscalizadora (sentencia del 19 de julio de 2017, expediente 20387, CP(E): Stella Jeannette Carvajal Basto).</w:t>
      </w:r>
    </w:p>
    <w:p w14:paraId="6CBBA5BC" w14:textId="77777777" w:rsidR="00CD63EB" w:rsidRPr="00CD63EB" w:rsidRDefault="00CD63EB" w:rsidP="00276A2E">
      <w:pPr>
        <w:widowControl w:val="0"/>
        <w:shd w:val="clear" w:color="auto" w:fill="FFFFFF"/>
        <w:rPr>
          <w:rFonts w:ascii="Segoe UI" w:eastAsia="Times New Roman" w:hAnsi="Segoe UI" w:cs="Segoe UI"/>
          <w:sz w:val="36"/>
          <w:szCs w:val="36"/>
          <w:lang w:val="es-CO" w:eastAsia="es-ES"/>
        </w:rPr>
      </w:pPr>
    </w:p>
    <w:p w14:paraId="75D22118" w14:textId="77777777" w:rsidR="00CD63EB" w:rsidRPr="00CD63EB" w:rsidRDefault="00CD63EB" w:rsidP="00276A2E">
      <w:pPr>
        <w:widowControl w:val="0"/>
        <w:shd w:val="clear" w:color="auto" w:fill="FFFFFF"/>
        <w:rPr>
          <w:rFonts w:ascii="Segoe UI" w:eastAsia="Times New Roman" w:hAnsi="Segoe UI" w:cs="Segoe UI"/>
          <w:szCs w:val="24"/>
          <w:lang w:val="es-CO" w:eastAsia="es-ES"/>
        </w:rPr>
      </w:pPr>
      <w:r w:rsidRPr="00CD63EB">
        <w:rPr>
          <w:rFonts w:ascii="Segoe UI" w:eastAsia="Times New Roman" w:hAnsi="Segoe UI" w:cs="Segoe UI"/>
          <w:szCs w:val="24"/>
          <w:lang w:val="es-CO" w:eastAsia="es-ES"/>
        </w:rPr>
        <w:t xml:space="preserve">De ahí que, dependiendo del momento en que se entregue la información, la Sala, al resolver casos concretos, ha resuelto graduar la tarifa haciendo uso de los siguientes criterios indicados en las citadas sentencias. Sin embargo, si la información se entrega vencido el término para interponer el recurso de reconsideración o definitivamente no se entrega, la Sala ha considerado que se aplica la máxima sanción (sentencia del 25 de septiembre de 2017, </w:t>
      </w:r>
      <w:proofErr w:type="spellStart"/>
      <w:r w:rsidRPr="00CD63EB">
        <w:rPr>
          <w:rFonts w:ascii="Segoe UI" w:eastAsia="Times New Roman" w:hAnsi="Segoe UI" w:cs="Segoe UI"/>
          <w:szCs w:val="24"/>
          <w:lang w:val="es-CO" w:eastAsia="es-ES"/>
        </w:rPr>
        <w:t>exp</w:t>
      </w:r>
      <w:proofErr w:type="spellEnd"/>
      <w:r w:rsidRPr="00CD63EB">
        <w:rPr>
          <w:rFonts w:ascii="Segoe UI" w:eastAsia="Times New Roman" w:hAnsi="Segoe UI" w:cs="Segoe UI"/>
          <w:szCs w:val="24"/>
          <w:lang w:val="es-CO" w:eastAsia="es-ES"/>
        </w:rPr>
        <w:t>. 20910, CP: Stella Jeannette Carvajal Basto).</w:t>
      </w:r>
    </w:p>
    <w:p w14:paraId="194C830B" w14:textId="77777777" w:rsidR="00CD63EB" w:rsidRPr="00CD63EB" w:rsidRDefault="00CD63EB" w:rsidP="00276A2E">
      <w:pPr>
        <w:widowControl w:val="0"/>
        <w:shd w:val="clear" w:color="auto" w:fill="FFFFFF"/>
        <w:rPr>
          <w:rFonts w:ascii="Segoe UI" w:eastAsia="Times New Roman" w:hAnsi="Segoe UI" w:cs="Segoe UI"/>
          <w:szCs w:val="24"/>
          <w:lang w:val="es-CO" w:eastAsia="es-ES"/>
        </w:rPr>
      </w:pPr>
    </w:p>
    <w:p w14:paraId="274BF113" w14:textId="77777777" w:rsidR="00CD63EB" w:rsidRPr="00CD63EB" w:rsidRDefault="00CD63EB" w:rsidP="00276A2E">
      <w:pPr>
        <w:widowControl w:val="0"/>
        <w:overflowPunct w:val="0"/>
        <w:adjustRightInd w:val="0"/>
        <w:textAlignment w:val="baseline"/>
        <w:rPr>
          <w:rFonts w:ascii="Segoe UI" w:eastAsia="Times New Roman" w:hAnsi="Segoe UI" w:cs="Segoe UI"/>
          <w:szCs w:val="24"/>
          <w:lang w:val="es-CO" w:eastAsia="es-ES"/>
        </w:rPr>
      </w:pPr>
      <w:r w:rsidRPr="00CD63EB">
        <w:rPr>
          <w:rFonts w:ascii="Segoe UI" w:eastAsia="Times New Roman" w:hAnsi="Segoe UI" w:cs="Segoe UI"/>
          <w:szCs w:val="24"/>
          <w:lang w:val="es-CO" w:eastAsia="es-ES"/>
        </w:rPr>
        <w:t>Ahora bien, se observa que la contribuyente afirmó en el escrito de demanda, que, previo a la presentación de la misma, concretamente, el 1 de septiembre de 2014, entregó la información requerida. Es decir, que cumplió con su deber formal después de la notificación de la Resolución 900.132, del 26 de mayo de 2014, que resolvió el recurso de reconsideración.</w:t>
      </w:r>
    </w:p>
    <w:p w14:paraId="276C2299" w14:textId="77777777" w:rsidR="00CD63EB" w:rsidRPr="00CD63EB" w:rsidRDefault="00CD63EB" w:rsidP="00276A2E">
      <w:pPr>
        <w:widowControl w:val="0"/>
        <w:overflowPunct w:val="0"/>
        <w:adjustRightInd w:val="0"/>
        <w:textAlignment w:val="baseline"/>
        <w:rPr>
          <w:rFonts w:ascii="Segoe UI" w:eastAsia="Times New Roman" w:hAnsi="Segoe UI" w:cs="Segoe UI"/>
          <w:szCs w:val="24"/>
          <w:lang w:val="es-CO" w:eastAsia="es-ES"/>
        </w:rPr>
      </w:pPr>
    </w:p>
    <w:p w14:paraId="7A780000" w14:textId="77777777" w:rsidR="00CD63EB" w:rsidRPr="00CD63EB" w:rsidRDefault="00CD63EB" w:rsidP="00276A2E">
      <w:pPr>
        <w:widowControl w:val="0"/>
        <w:overflowPunct w:val="0"/>
        <w:adjustRightInd w:val="0"/>
        <w:textAlignment w:val="baseline"/>
        <w:rPr>
          <w:rFonts w:ascii="Segoe UI" w:eastAsia="Times New Roman" w:hAnsi="Segoe UI" w:cs="Segoe UI"/>
          <w:szCs w:val="24"/>
          <w:lang w:val="es-CO" w:eastAsia="es-ES"/>
        </w:rPr>
      </w:pPr>
      <w:r w:rsidRPr="00CD63EB">
        <w:rPr>
          <w:rFonts w:ascii="Segoe UI" w:eastAsia="Times New Roman" w:hAnsi="Segoe UI" w:cs="Segoe UI"/>
          <w:szCs w:val="24"/>
          <w:lang w:val="es-CO" w:eastAsia="es-ES"/>
        </w:rPr>
        <w:t xml:space="preserve">Por su parte, la DIAN, en el escrito de contestación de la demanda (f. 82) y en el recurso de apelación (f. 163), reconoció que la parte actora sí entregó la información en medios magnéticos en la fecha señalada, pero que, en todo caso, procede la sanción del 5 %, </w:t>
      </w:r>
      <w:r w:rsidRPr="00CD63EB">
        <w:rPr>
          <w:rFonts w:ascii="Segoe UI" w:eastAsia="Times New Roman" w:hAnsi="Segoe UI" w:cs="Segoe UI"/>
          <w:szCs w:val="24"/>
          <w:lang w:val="es-CO" w:eastAsia="es-ES"/>
        </w:rPr>
        <w:lastRenderedPageBreak/>
        <w:t>debido que la entregó después de que finalizó el proceso sancionatorio, además de que presentaba errores (f. 82).</w:t>
      </w:r>
    </w:p>
    <w:p w14:paraId="68A4F795" w14:textId="77777777" w:rsidR="00CD63EB" w:rsidRPr="00CD63EB" w:rsidRDefault="00CD63EB" w:rsidP="00276A2E">
      <w:pPr>
        <w:widowControl w:val="0"/>
        <w:overflowPunct w:val="0"/>
        <w:adjustRightInd w:val="0"/>
        <w:textAlignment w:val="baseline"/>
        <w:rPr>
          <w:rFonts w:ascii="Segoe UI" w:eastAsia="Times New Roman" w:hAnsi="Segoe UI" w:cs="Segoe UI"/>
          <w:szCs w:val="24"/>
          <w:lang w:val="es-CO" w:eastAsia="es-ES"/>
        </w:rPr>
      </w:pPr>
    </w:p>
    <w:p w14:paraId="1BBB0B70" w14:textId="77777777" w:rsidR="00CD63EB" w:rsidRPr="00CD63EB" w:rsidRDefault="00CD63EB" w:rsidP="00276A2E">
      <w:pPr>
        <w:widowControl w:val="0"/>
        <w:overflowPunct w:val="0"/>
        <w:adjustRightInd w:val="0"/>
        <w:textAlignment w:val="baseline"/>
        <w:rPr>
          <w:rFonts w:ascii="Segoe UI" w:eastAsia="Times New Roman" w:hAnsi="Segoe UI" w:cs="Segoe UI"/>
          <w:szCs w:val="24"/>
          <w:lang w:val="es-CO" w:eastAsia="es-ES"/>
        </w:rPr>
      </w:pPr>
      <w:r w:rsidRPr="00276A2E">
        <w:rPr>
          <w:rFonts w:ascii="Segoe UI" w:eastAsia="Times New Roman" w:hAnsi="Segoe UI" w:cs="Segoe UI"/>
          <w:szCs w:val="24"/>
          <w:highlight w:val="green"/>
          <w:lang w:val="es-CO" w:eastAsia="es-ES"/>
        </w:rPr>
        <w:t>De acuerdo con lo anterior, no existe discrepancia entre las partes, frente a que la actora presentó la información con anterioridad a la radicación de la presente demanda, pero posterior al acto que desató el recurso de reconsideración.</w:t>
      </w:r>
    </w:p>
    <w:p w14:paraId="71B28846" w14:textId="77777777" w:rsidR="00CD63EB" w:rsidRPr="00CD63EB" w:rsidRDefault="00CD63EB" w:rsidP="00276A2E">
      <w:pPr>
        <w:widowControl w:val="0"/>
        <w:overflowPunct w:val="0"/>
        <w:adjustRightInd w:val="0"/>
        <w:textAlignment w:val="baseline"/>
        <w:rPr>
          <w:rFonts w:ascii="Segoe UI" w:eastAsia="Times New Roman" w:hAnsi="Segoe UI" w:cs="Segoe UI"/>
          <w:szCs w:val="24"/>
          <w:lang w:val="es-CO" w:eastAsia="es-ES"/>
        </w:rPr>
      </w:pPr>
    </w:p>
    <w:p w14:paraId="6922D54C" w14:textId="77777777" w:rsidR="00CD63EB" w:rsidRPr="00CD63EB" w:rsidRDefault="00CD63EB" w:rsidP="00276A2E">
      <w:pPr>
        <w:widowControl w:val="0"/>
        <w:overflowPunct w:val="0"/>
        <w:adjustRightInd w:val="0"/>
        <w:textAlignment w:val="baseline"/>
        <w:rPr>
          <w:rFonts w:ascii="Segoe UI" w:eastAsia="Times New Roman" w:hAnsi="Segoe UI" w:cs="Segoe UI"/>
          <w:szCs w:val="24"/>
          <w:lang w:val="es-CO" w:eastAsia="es-ES"/>
        </w:rPr>
      </w:pPr>
      <w:r w:rsidRPr="00276A2E">
        <w:rPr>
          <w:rFonts w:ascii="Segoe UI" w:eastAsia="Times New Roman" w:hAnsi="Segoe UI" w:cs="Segoe UI"/>
          <w:szCs w:val="24"/>
          <w:highlight w:val="green"/>
          <w:lang w:val="es-CO" w:eastAsia="es-ES"/>
        </w:rPr>
        <w:t>En este contexto, la Sala considera que, contrario a lo expuesto por el tribunal de primera instancia, el retardo en el suministro de información fue prologado en el tiempo y produjo efectos de una falta absoluta, puesto que los programas de control de la Administración toman como fuente principal la información en medios magnéticos, a fin de detectar inexactitudes en las declaraciones de terceros. Asimismo, el término con el que contaba la autoridad tributaria para fiscalizar las declaraciones del año gravable 2009, en principio, se cumplió en el año 2012.</w:t>
      </w:r>
    </w:p>
    <w:p w14:paraId="785DA5CA" w14:textId="77777777" w:rsidR="00CD63EB" w:rsidRPr="00CD63EB" w:rsidRDefault="00CD63EB" w:rsidP="00276A2E">
      <w:pPr>
        <w:widowControl w:val="0"/>
        <w:overflowPunct w:val="0"/>
        <w:adjustRightInd w:val="0"/>
        <w:textAlignment w:val="baseline"/>
        <w:rPr>
          <w:rFonts w:ascii="Segoe UI" w:eastAsia="Times New Roman" w:hAnsi="Segoe UI" w:cs="Segoe UI"/>
          <w:szCs w:val="24"/>
          <w:lang w:val="es-CO" w:eastAsia="es-ES"/>
        </w:rPr>
      </w:pPr>
    </w:p>
    <w:p w14:paraId="3BAE26C7" w14:textId="77777777" w:rsidR="00CD63EB" w:rsidRPr="00CD63EB" w:rsidRDefault="00CD63EB" w:rsidP="00276A2E">
      <w:pPr>
        <w:widowControl w:val="0"/>
        <w:rPr>
          <w:rFonts w:ascii="Segoe UI" w:eastAsia="Times New Roman" w:hAnsi="Segoe UI" w:cs="Segoe UI"/>
          <w:szCs w:val="24"/>
          <w:lang w:val="es-CO" w:eastAsia="es-ES"/>
        </w:rPr>
      </w:pPr>
      <w:r w:rsidRPr="00276A2E">
        <w:rPr>
          <w:rFonts w:ascii="Segoe UI" w:eastAsia="Times New Roman" w:hAnsi="Segoe UI" w:cs="Segoe UI"/>
          <w:szCs w:val="24"/>
          <w:highlight w:val="green"/>
          <w:lang w:val="es-CO" w:eastAsia="es-ES"/>
        </w:rPr>
        <w:t>En efecto, la determinación del daño al momento de imponer la sanción, ha sido reconocida por la jurisprudencia de esta Sección, en el sentido de que esta debe graduarse en proporción a la magnitud del perjuicio producido con la infracción (sentencia del 3 de junio de 2015, expediente 20476, CP: Carmen Teresa Ortiz Rodríguez; sentencia del 8 de febrero de 2018, expediente 22060, CP: Stella Jeannette Carvajal Basto, y sentencia del 1 de marzo de 2018, expediente 22460, CP: Milton Chaves García).</w:t>
      </w:r>
    </w:p>
    <w:p w14:paraId="23126574" w14:textId="77777777" w:rsidR="00CD63EB" w:rsidRPr="00CD63EB" w:rsidRDefault="00CD63EB" w:rsidP="00276A2E">
      <w:pPr>
        <w:widowControl w:val="0"/>
        <w:overflowPunct w:val="0"/>
        <w:adjustRightInd w:val="0"/>
        <w:textAlignment w:val="baseline"/>
        <w:rPr>
          <w:rFonts w:ascii="Segoe UI" w:eastAsia="Times New Roman" w:hAnsi="Segoe UI" w:cs="Segoe UI"/>
          <w:szCs w:val="24"/>
          <w:lang w:val="es-CO" w:eastAsia="es-ES"/>
        </w:rPr>
      </w:pPr>
    </w:p>
    <w:p w14:paraId="13CADFB8" w14:textId="77777777" w:rsidR="00CD63EB" w:rsidRPr="00CD63EB" w:rsidRDefault="00CD63EB" w:rsidP="00276A2E">
      <w:pPr>
        <w:widowControl w:val="0"/>
        <w:overflowPunct w:val="0"/>
        <w:adjustRightInd w:val="0"/>
        <w:textAlignment w:val="baseline"/>
        <w:rPr>
          <w:rFonts w:ascii="Segoe UI" w:eastAsia="Times New Roman" w:hAnsi="Segoe UI" w:cs="Segoe UI"/>
          <w:szCs w:val="24"/>
          <w:lang w:val="es-CO" w:eastAsia="es-ES"/>
        </w:rPr>
      </w:pPr>
      <w:r w:rsidRPr="00CD63EB">
        <w:rPr>
          <w:rFonts w:ascii="Segoe UI" w:eastAsia="Times New Roman" w:hAnsi="Segoe UI" w:cs="Segoe UI"/>
          <w:szCs w:val="24"/>
          <w:lang w:val="es-CO" w:eastAsia="es-ES"/>
        </w:rPr>
        <w:t>Así, se evidencia la falta de colaboración de la contribuyente para que la autoridad tributaria recibiera la información exigida, de conformidad con la Resolución 7935, del 28 de julio de 2009 y el artículo 631 del ET.</w:t>
      </w:r>
    </w:p>
    <w:p w14:paraId="68F561BE" w14:textId="77777777" w:rsidR="00CD63EB" w:rsidRPr="00CD63EB" w:rsidRDefault="00CD63EB" w:rsidP="00276A2E">
      <w:pPr>
        <w:widowControl w:val="0"/>
        <w:overflowPunct w:val="0"/>
        <w:adjustRightInd w:val="0"/>
        <w:textAlignment w:val="baseline"/>
        <w:rPr>
          <w:rFonts w:ascii="Segoe UI" w:eastAsia="Times New Roman" w:hAnsi="Segoe UI" w:cs="Segoe UI"/>
          <w:szCs w:val="24"/>
          <w:lang w:val="es-CO" w:eastAsia="es-ES"/>
        </w:rPr>
      </w:pPr>
    </w:p>
    <w:p w14:paraId="28B3B64D" w14:textId="77777777" w:rsidR="00CD63EB" w:rsidRPr="00CD63EB" w:rsidRDefault="00CD63EB" w:rsidP="00276A2E">
      <w:pPr>
        <w:widowControl w:val="0"/>
        <w:shd w:val="clear" w:color="auto" w:fill="FFFFFF"/>
        <w:rPr>
          <w:rFonts w:ascii="Segoe UI" w:eastAsia="Times New Roman" w:hAnsi="Segoe UI" w:cs="Segoe UI"/>
          <w:szCs w:val="24"/>
          <w:lang w:val="es-CO" w:eastAsia="es-ES"/>
        </w:rPr>
      </w:pPr>
      <w:r w:rsidRPr="00276A2E">
        <w:rPr>
          <w:rFonts w:ascii="Segoe UI" w:eastAsia="Times New Roman" w:hAnsi="Segoe UI" w:cs="Segoe UI"/>
          <w:szCs w:val="24"/>
          <w:highlight w:val="green"/>
          <w:lang w:val="es-CO" w:eastAsia="es-ES"/>
        </w:rPr>
        <w:t>Por ello, teniendo en cuenta el momento en el que la memorialista cumplió con el deber omitido, la Sala, reiterará la sentencia del 25 de septiembre de 2017 (expediente 20910, CP(E): Stella Jeannette Carvajal Basto) y mantendrá la sanción impuesta, en el equivalente al 5 % sobre la suma de la información no suministrada, ya que esta se entregó una vez estaban vencidos los plazos para formular el recurso de reconsideración, por lo que, la magnitud del daño producido con la infracción debe ser la máxima posible.</w:t>
      </w:r>
    </w:p>
    <w:p w14:paraId="1165809E" w14:textId="77777777" w:rsidR="00CD63EB" w:rsidRPr="00CD63EB" w:rsidRDefault="00CD63EB" w:rsidP="00276A2E">
      <w:pPr>
        <w:widowControl w:val="0"/>
        <w:overflowPunct w:val="0"/>
        <w:adjustRightInd w:val="0"/>
        <w:textAlignment w:val="baseline"/>
        <w:rPr>
          <w:rFonts w:ascii="Segoe UI" w:eastAsia="Times New Roman" w:hAnsi="Segoe UI" w:cs="Segoe UI"/>
          <w:szCs w:val="24"/>
          <w:lang w:val="es-CO" w:eastAsia="es-ES"/>
        </w:rPr>
      </w:pPr>
    </w:p>
    <w:p w14:paraId="7E03DC4D" w14:textId="77777777" w:rsidR="00CD63EB" w:rsidRPr="00CD63EB" w:rsidRDefault="00CD63EB" w:rsidP="00276A2E">
      <w:pPr>
        <w:widowControl w:val="0"/>
        <w:overflowPunct w:val="0"/>
        <w:adjustRightInd w:val="0"/>
        <w:textAlignment w:val="baseline"/>
        <w:rPr>
          <w:rFonts w:ascii="Segoe UI" w:eastAsia="Times New Roman" w:hAnsi="Segoe UI" w:cs="Segoe UI"/>
          <w:szCs w:val="24"/>
          <w:lang w:val="es-CO" w:eastAsia="es-ES"/>
        </w:rPr>
      </w:pPr>
      <w:r w:rsidRPr="00CD63EB">
        <w:rPr>
          <w:rFonts w:ascii="Segoe UI" w:eastAsia="Times New Roman" w:hAnsi="Segoe UI" w:cs="Segoe UI"/>
          <w:szCs w:val="24"/>
          <w:lang w:val="es-CO" w:eastAsia="es-ES"/>
        </w:rPr>
        <w:t xml:space="preserve">En estos términos, no será procedente graduar la sanción inicialmente liquidada por la </w:t>
      </w:r>
      <w:r w:rsidRPr="00CD63EB">
        <w:rPr>
          <w:rFonts w:ascii="Segoe UI" w:eastAsia="Times New Roman" w:hAnsi="Segoe UI" w:cs="Segoe UI"/>
          <w:szCs w:val="24"/>
          <w:lang w:val="es-CO" w:eastAsia="es-ES"/>
        </w:rPr>
        <w:lastRenderedPageBreak/>
        <w:t>DIAN, puesto que, se insiste, la contribuyente presentó la información 4 años después de la fecha en la que se encontraba obligada y con posterioridad a la notificación de la resolución que resolvió el recurso de reconsideración.</w:t>
      </w:r>
    </w:p>
    <w:p w14:paraId="75276AEF" w14:textId="77777777" w:rsidR="00CD63EB" w:rsidRPr="00CD63EB" w:rsidRDefault="00CD63EB" w:rsidP="00276A2E">
      <w:pPr>
        <w:widowControl w:val="0"/>
        <w:overflowPunct w:val="0"/>
        <w:adjustRightInd w:val="0"/>
        <w:textAlignment w:val="baseline"/>
        <w:rPr>
          <w:rFonts w:ascii="Segoe UI" w:eastAsia="Times New Roman" w:hAnsi="Segoe UI" w:cs="Segoe UI"/>
          <w:szCs w:val="24"/>
          <w:lang w:val="es-CO" w:eastAsia="es-ES"/>
        </w:rPr>
      </w:pPr>
    </w:p>
    <w:p w14:paraId="043E417F" w14:textId="77777777" w:rsidR="00CD63EB" w:rsidRPr="00CD63EB" w:rsidRDefault="00CD63EB" w:rsidP="00276A2E">
      <w:pPr>
        <w:widowControl w:val="0"/>
        <w:rPr>
          <w:rFonts w:ascii="Segoe UI" w:eastAsia="Arial Unicode MS" w:hAnsi="Segoe UI" w:cs="Segoe UI"/>
          <w:szCs w:val="24"/>
          <w:lang w:val="es-CO" w:eastAsia="es-ES"/>
        </w:rPr>
      </w:pPr>
      <w:r w:rsidRPr="00CD63EB">
        <w:rPr>
          <w:rFonts w:ascii="Segoe UI" w:eastAsia="Arial Unicode MS" w:hAnsi="Segoe UI" w:cs="Segoe UI"/>
          <w:szCs w:val="24"/>
          <w:lang w:val="es-CO" w:eastAsia="es-ES"/>
        </w:rPr>
        <w:t>Por los motivos expuestos, se impone revocar la sentencia apelada y, en su lugar, se negarán las pretensiones de la demanda.</w:t>
      </w:r>
    </w:p>
    <w:p w14:paraId="6363638D" w14:textId="77777777" w:rsidR="00CD63EB" w:rsidRPr="00CD63EB" w:rsidRDefault="00CD63EB" w:rsidP="00276A2E">
      <w:pPr>
        <w:widowControl w:val="0"/>
        <w:rPr>
          <w:rFonts w:ascii="Segoe UI" w:eastAsia="Times New Roman" w:hAnsi="Segoe UI" w:cs="Segoe UI"/>
          <w:szCs w:val="24"/>
          <w:lang w:val="es-CO" w:eastAsia="es-ES"/>
        </w:rPr>
      </w:pPr>
    </w:p>
    <w:p w14:paraId="76EEFDD3" w14:textId="77777777" w:rsidR="00CD63EB" w:rsidRPr="00CD63EB" w:rsidRDefault="00CD63EB" w:rsidP="00276A2E">
      <w:pPr>
        <w:widowControl w:val="0"/>
        <w:rPr>
          <w:rFonts w:ascii="Segoe UI" w:eastAsia="Times New Roman" w:hAnsi="Segoe UI" w:cs="Segoe UI"/>
          <w:szCs w:val="24"/>
          <w:lang w:val="es-CO" w:eastAsia="es-ES"/>
        </w:rPr>
      </w:pPr>
      <w:r w:rsidRPr="00CD63EB">
        <w:rPr>
          <w:rFonts w:ascii="Segoe UI" w:eastAsia="Times New Roman" w:hAnsi="Segoe UI" w:cs="Segoe UI"/>
          <w:szCs w:val="24"/>
          <w:lang w:val="es-CO" w:eastAsia="es-ES"/>
        </w:rPr>
        <w:t>7- Finalmente, para decidir sobre las costas en segunda instancia, se considera lo siguiente:</w:t>
      </w:r>
    </w:p>
    <w:p w14:paraId="498C6D2E" w14:textId="77777777" w:rsidR="00CD63EB" w:rsidRPr="00CD63EB" w:rsidRDefault="00CD63EB" w:rsidP="00276A2E">
      <w:pPr>
        <w:widowControl w:val="0"/>
        <w:rPr>
          <w:rFonts w:ascii="Segoe UI" w:eastAsia="Times New Roman" w:hAnsi="Segoe UI" w:cs="Segoe UI"/>
          <w:szCs w:val="24"/>
          <w:lang w:val="es-CO" w:eastAsia="es-ES"/>
        </w:rPr>
      </w:pPr>
    </w:p>
    <w:p w14:paraId="2B455C59" w14:textId="77777777" w:rsidR="00CD63EB" w:rsidRPr="00CD63EB" w:rsidRDefault="00CD63EB" w:rsidP="00276A2E">
      <w:pPr>
        <w:widowControl w:val="0"/>
        <w:rPr>
          <w:rFonts w:ascii="Segoe UI" w:eastAsia="Times New Roman" w:hAnsi="Segoe UI" w:cs="Segoe UI"/>
          <w:szCs w:val="24"/>
          <w:lang w:val="es-CO" w:eastAsia="es-ES"/>
        </w:rPr>
      </w:pPr>
      <w:r w:rsidRPr="00CD63EB">
        <w:rPr>
          <w:rFonts w:ascii="Segoe UI" w:eastAsia="Times New Roman" w:hAnsi="Segoe UI" w:cs="Segoe UI"/>
          <w:szCs w:val="24"/>
          <w:lang w:val="es-CO" w:eastAsia="es-ES"/>
        </w:rPr>
        <w:t>El artículo 188 del CPACA determina que la liquidación y ejecución de la eventual condena en costas se regirá por lo dispuesto en el Código de Procedimiento Civil.</w:t>
      </w:r>
    </w:p>
    <w:p w14:paraId="1EF4859F" w14:textId="77777777" w:rsidR="00CD63EB" w:rsidRPr="00CD63EB" w:rsidRDefault="00CD63EB" w:rsidP="00276A2E">
      <w:pPr>
        <w:widowControl w:val="0"/>
        <w:suppressAutoHyphens/>
        <w:rPr>
          <w:rFonts w:ascii="Segoe UI" w:eastAsia="Times New Roman" w:hAnsi="Segoe UI" w:cs="Segoe UI"/>
          <w:szCs w:val="24"/>
          <w:lang w:val="es-CO" w:eastAsia="es-ES"/>
        </w:rPr>
      </w:pPr>
    </w:p>
    <w:p w14:paraId="25B6DC96" w14:textId="77777777" w:rsidR="00CD63EB" w:rsidRPr="00CD63EB" w:rsidRDefault="00CD63EB" w:rsidP="00276A2E">
      <w:pPr>
        <w:widowControl w:val="0"/>
        <w:suppressAutoHyphens/>
        <w:rPr>
          <w:rFonts w:ascii="Segoe UI" w:eastAsia="Times New Roman" w:hAnsi="Segoe UI" w:cs="Segoe UI"/>
          <w:szCs w:val="24"/>
          <w:lang w:val="es-CO" w:eastAsia="es-ES"/>
        </w:rPr>
      </w:pPr>
      <w:r w:rsidRPr="00CD63EB">
        <w:rPr>
          <w:rFonts w:ascii="Segoe UI" w:eastAsia="Times New Roman" w:hAnsi="Segoe UI" w:cs="Segoe UI"/>
          <w:szCs w:val="24"/>
          <w:lang w:val="es-CO" w:eastAsia="es-ES"/>
        </w:rPr>
        <w:t>Por su parte, la Ley 1564 de 2012 (Código General del Proceso), dispone en el ordinal octavo del artículo 365, entre otras que:</w:t>
      </w:r>
    </w:p>
    <w:p w14:paraId="73392654" w14:textId="77777777" w:rsidR="00CD63EB" w:rsidRPr="00CD63EB" w:rsidRDefault="00CD63EB" w:rsidP="00276A2E">
      <w:pPr>
        <w:widowControl w:val="0"/>
        <w:suppressAutoHyphens/>
        <w:ind w:left="420"/>
        <w:rPr>
          <w:rFonts w:ascii="Segoe UI" w:eastAsia="Times New Roman" w:hAnsi="Segoe UI" w:cs="Segoe UI"/>
          <w:szCs w:val="24"/>
          <w:lang w:val="es-CO" w:eastAsia="es-ES"/>
        </w:rPr>
      </w:pPr>
    </w:p>
    <w:p w14:paraId="72805B6D" w14:textId="77777777" w:rsidR="00CD63EB" w:rsidRPr="00CD63EB" w:rsidRDefault="00CD63EB" w:rsidP="00276A2E">
      <w:pPr>
        <w:widowControl w:val="0"/>
        <w:ind w:left="420"/>
        <w:rPr>
          <w:rFonts w:ascii="Segoe UI" w:eastAsia="Times New Roman" w:hAnsi="Segoe UI" w:cs="Segoe UI"/>
          <w:szCs w:val="24"/>
          <w:lang w:val="es-CO" w:eastAsia="es-ES"/>
        </w:rPr>
      </w:pPr>
      <w:r w:rsidRPr="00CD63EB">
        <w:rPr>
          <w:rFonts w:ascii="Segoe UI" w:eastAsia="Times New Roman" w:hAnsi="Segoe UI" w:cs="Segoe UI"/>
          <w:szCs w:val="24"/>
          <w:lang w:val="es-CO" w:eastAsia="es-ES"/>
        </w:rPr>
        <w:t>8. Solo habrá lugar a costas cuando en el expediente aparezca que se causaron y en la medida de su comprobación.</w:t>
      </w:r>
    </w:p>
    <w:p w14:paraId="414048A1" w14:textId="77777777" w:rsidR="00CD63EB" w:rsidRPr="00CD63EB" w:rsidRDefault="00CD63EB" w:rsidP="00276A2E">
      <w:pPr>
        <w:widowControl w:val="0"/>
        <w:suppressAutoHyphens/>
        <w:rPr>
          <w:rFonts w:ascii="Segoe UI" w:eastAsia="Times New Roman" w:hAnsi="Segoe UI" w:cs="Segoe UI"/>
          <w:szCs w:val="24"/>
          <w:lang w:val="es-CO" w:eastAsia="es-ES"/>
        </w:rPr>
      </w:pPr>
    </w:p>
    <w:p w14:paraId="5A2F0ED8" w14:textId="77777777" w:rsidR="00CD63EB" w:rsidRPr="00CD63EB" w:rsidRDefault="00CD63EB" w:rsidP="00276A2E">
      <w:pPr>
        <w:widowControl w:val="0"/>
        <w:suppressAutoHyphens/>
        <w:rPr>
          <w:rFonts w:ascii="Segoe UI" w:eastAsia="Times New Roman" w:hAnsi="Segoe UI" w:cs="Segoe UI"/>
          <w:szCs w:val="24"/>
          <w:lang w:val="es-CO" w:eastAsia="es-ES"/>
        </w:rPr>
      </w:pPr>
      <w:r w:rsidRPr="00CD63EB">
        <w:rPr>
          <w:rFonts w:ascii="Segoe UI" w:eastAsia="Times New Roman" w:hAnsi="Segoe UI" w:cs="Segoe UI"/>
          <w:szCs w:val="24"/>
          <w:lang w:val="es-CO" w:eastAsia="es-ES"/>
        </w:rPr>
        <w:t>En el caso concreto, no aparece ningún elemento de prueba en esta instancia de las costas solicitadas. En consecuencia, no existe fundamento para su imposición.</w:t>
      </w:r>
    </w:p>
    <w:p w14:paraId="5A5963D0" w14:textId="77777777" w:rsidR="00CD63EB" w:rsidRPr="00CD63EB" w:rsidRDefault="00CD63EB" w:rsidP="00276A2E">
      <w:pPr>
        <w:widowControl w:val="0"/>
        <w:rPr>
          <w:rFonts w:ascii="Segoe UI" w:eastAsia="Arial Unicode MS" w:hAnsi="Segoe UI" w:cs="Segoe UI"/>
          <w:szCs w:val="24"/>
          <w:lang w:val="es-CO" w:eastAsia="es-ES"/>
        </w:rPr>
      </w:pPr>
    </w:p>
    <w:p w14:paraId="3256F941" w14:textId="77777777" w:rsidR="00CD63EB" w:rsidRPr="00CD63EB" w:rsidRDefault="00CD63EB" w:rsidP="00276A2E">
      <w:pPr>
        <w:widowControl w:val="0"/>
        <w:rPr>
          <w:rFonts w:ascii="Segoe UI" w:eastAsia="Arial Unicode MS" w:hAnsi="Segoe UI" w:cs="Segoe UI"/>
          <w:szCs w:val="24"/>
          <w:lang w:val="es-CO" w:eastAsia="es-ES"/>
        </w:rPr>
      </w:pPr>
      <w:r w:rsidRPr="00CD63EB">
        <w:rPr>
          <w:rFonts w:ascii="Segoe UI" w:eastAsia="Arial Unicode MS" w:hAnsi="Segoe UI" w:cs="Segoe UI"/>
          <w:szCs w:val="24"/>
          <w:lang w:val="es-CO" w:eastAsia="es-ES"/>
        </w:rPr>
        <w:t>En mérito de lo expuesto, el Consejo de Estado, Sala de lo Contencioso Administrativo, Sección Cuarta, administrando justicia en nombre de la República de Colombia y por autoridad de la ley,</w:t>
      </w:r>
    </w:p>
    <w:p w14:paraId="4DA51285" w14:textId="77777777" w:rsidR="00CD63EB" w:rsidRPr="00CD63EB" w:rsidRDefault="00CD63EB" w:rsidP="00276A2E">
      <w:pPr>
        <w:widowControl w:val="0"/>
        <w:jc w:val="center"/>
        <w:rPr>
          <w:rFonts w:ascii="Segoe UI" w:eastAsia="Arial Unicode MS" w:hAnsi="Segoe UI" w:cs="Segoe UI"/>
          <w:szCs w:val="24"/>
          <w:lang w:val="es-CO" w:eastAsia="es-ES"/>
        </w:rPr>
      </w:pPr>
    </w:p>
    <w:p w14:paraId="50C46556" w14:textId="77777777" w:rsidR="00CD63EB" w:rsidRPr="00CD63EB" w:rsidRDefault="00CD63EB" w:rsidP="00276A2E">
      <w:pPr>
        <w:widowControl w:val="0"/>
        <w:jc w:val="center"/>
        <w:rPr>
          <w:rFonts w:ascii="Segoe UI" w:eastAsia="Times New Roman" w:hAnsi="Segoe UI" w:cs="Segoe UI"/>
          <w:b/>
          <w:szCs w:val="24"/>
          <w:lang w:val="es-CO" w:eastAsia="es-ES"/>
        </w:rPr>
      </w:pPr>
      <w:r w:rsidRPr="00CD63EB">
        <w:rPr>
          <w:rFonts w:ascii="Segoe UI" w:eastAsia="Times New Roman" w:hAnsi="Segoe UI" w:cs="Segoe UI"/>
          <w:b/>
          <w:szCs w:val="24"/>
          <w:lang w:val="es-CO" w:eastAsia="es-ES"/>
        </w:rPr>
        <w:t>FALLA:</w:t>
      </w:r>
    </w:p>
    <w:p w14:paraId="19707919" w14:textId="77777777" w:rsidR="00CD63EB" w:rsidRPr="00CD63EB" w:rsidRDefault="00CD63EB" w:rsidP="00276A2E">
      <w:pPr>
        <w:widowControl w:val="0"/>
        <w:rPr>
          <w:rFonts w:ascii="Segoe UI" w:eastAsia="Arial Unicode MS" w:hAnsi="Segoe UI" w:cs="Segoe UI"/>
          <w:szCs w:val="24"/>
          <w:lang w:val="es-CO" w:eastAsia="es-ES"/>
        </w:rPr>
      </w:pPr>
    </w:p>
    <w:p w14:paraId="0AE27A4B" w14:textId="77777777" w:rsidR="00CD63EB" w:rsidRPr="00CD63EB" w:rsidRDefault="00CD63EB" w:rsidP="00276A2E">
      <w:pPr>
        <w:widowControl w:val="0"/>
        <w:rPr>
          <w:rFonts w:ascii="Segoe UI" w:eastAsia="Arial Unicode MS" w:hAnsi="Segoe UI" w:cs="Segoe UI"/>
          <w:szCs w:val="24"/>
          <w:lang w:val="es-CO" w:eastAsia="es-ES"/>
        </w:rPr>
      </w:pPr>
      <w:r w:rsidRPr="00CD63EB">
        <w:rPr>
          <w:rFonts w:ascii="Segoe UI" w:eastAsia="Arial Unicode MS" w:hAnsi="Segoe UI" w:cs="Segoe UI"/>
          <w:b/>
          <w:szCs w:val="24"/>
          <w:lang w:val="es-CO" w:eastAsia="es-ES"/>
        </w:rPr>
        <w:t xml:space="preserve">1. Revocar </w:t>
      </w:r>
      <w:r w:rsidRPr="00CD63EB">
        <w:rPr>
          <w:rFonts w:ascii="Segoe UI" w:eastAsia="Arial Unicode MS" w:hAnsi="Segoe UI" w:cs="Segoe UI"/>
          <w:szCs w:val="24"/>
          <w:lang w:val="es-CO" w:eastAsia="es-ES"/>
        </w:rPr>
        <w:t>la sentencia del 11 de febrero de 2016, proferida por el Tribunal Administrativo de Cundinamarca, Sección Cuarta, Subsección B, por los motivos expuesto en la parte motiva de esta providencia.</w:t>
      </w:r>
      <w:r w:rsidRPr="00CD63EB">
        <w:rPr>
          <w:rFonts w:ascii="Segoe UI" w:eastAsia="Arial Unicode MS" w:hAnsi="Segoe UI" w:cs="Segoe UI"/>
          <w:b/>
          <w:szCs w:val="24"/>
          <w:lang w:val="es-CO" w:eastAsia="es-ES"/>
        </w:rPr>
        <w:t xml:space="preserve"> </w:t>
      </w:r>
      <w:r w:rsidRPr="00CD63EB">
        <w:rPr>
          <w:rFonts w:ascii="Segoe UI" w:eastAsia="Arial Unicode MS" w:hAnsi="Segoe UI" w:cs="Segoe UI"/>
          <w:szCs w:val="24"/>
          <w:lang w:val="es-CO" w:eastAsia="es-ES"/>
        </w:rPr>
        <w:t>En su lugar,</w:t>
      </w:r>
    </w:p>
    <w:p w14:paraId="2D7A4A4B" w14:textId="77777777" w:rsidR="00CD63EB" w:rsidRPr="00CD63EB" w:rsidRDefault="00CD63EB" w:rsidP="00276A2E">
      <w:pPr>
        <w:widowControl w:val="0"/>
        <w:ind w:left="420"/>
        <w:rPr>
          <w:rFonts w:ascii="Segoe UI" w:eastAsia="Arial Unicode MS" w:hAnsi="Segoe UI" w:cs="Segoe UI"/>
          <w:szCs w:val="24"/>
          <w:lang w:val="es-CO" w:eastAsia="es-ES"/>
        </w:rPr>
      </w:pPr>
    </w:p>
    <w:p w14:paraId="4780D7D1" w14:textId="77777777" w:rsidR="00CD63EB" w:rsidRPr="00CD63EB" w:rsidRDefault="00CD63EB" w:rsidP="00276A2E">
      <w:pPr>
        <w:widowControl w:val="0"/>
        <w:ind w:left="420"/>
        <w:rPr>
          <w:rFonts w:ascii="Segoe UI" w:eastAsia="Arial Unicode MS" w:hAnsi="Segoe UI" w:cs="Segoe UI"/>
          <w:i/>
          <w:szCs w:val="24"/>
          <w:lang w:val="es-CO" w:eastAsia="es-ES"/>
        </w:rPr>
      </w:pPr>
      <w:r w:rsidRPr="00CD63EB">
        <w:rPr>
          <w:rFonts w:ascii="Segoe UI" w:eastAsia="Arial Unicode MS" w:hAnsi="Segoe UI" w:cs="Segoe UI"/>
          <w:b/>
          <w:i/>
          <w:szCs w:val="24"/>
          <w:lang w:val="es-CO" w:eastAsia="es-ES"/>
        </w:rPr>
        <w:t>Negar</w:t>
      </w:r>
      <w:r w:rsidRPr="00CD63EB">
        <w:rPr>
          <w:rFonts w:ascii="Segoe UI" w:eastAsia="Arial Unicode MS" w:hAnsi="Segoe UI" w:cs="Segoe UI"/>
          <w:i/>
          <w:szCs w:val="24"/>
          <w:lang w:val="es-CO" w:eastAsia="es-ES"/>
        </w:rPr>
        <w:t xml:space="preserve"> las pretensiones de la demanda.</w:t>
      </w:r>
    </w:p>
    <w:p w14:paraId="34E44C16" w14:textId="77777777" w:rsidR="00CD63EB" w:rsidRPr="00CD63EB" w:rsidRDefault="00CD63EB" w:rsidP="00276A2E">
      <w:pPr>
        <w:widowControl w:val="0"/>
        <w:rPr>
          <w:rFonts w:ascii="Segoe UI" w:eastAsia="Arial Unicode MS" w:hAnsi="Segoe UI" w:cs="Segoe UI"/>
          <w:i/>
          <w:szCs w:val="24"/>
          <w:lang w:val="es-CO" w:eastAsia="es-ES"/>
        </w:rPr>
      </w:pPr>
    </w:p>
    <w:p w14:paraId="3547B5B2" w14:textId="77777777" w:rsidR="00CD63EB" w:rsidRPr="00CD63EB" w:rsidRDefault="00CD63EB" w:rsidP="00276A2E">
      <w:pPr>
        <w:widowControl w:val="0"/>
        <w:rPr>
          <w:rFonts w:ascii="Segoe UI" w:eastAsia="Arial Unicode MS" w:hAnsi="Segoe UI" w:cs="Segoe UI"/>
          <w:szCs w:val="24"/>
          <w:lang w:val="es-CO" w:eastAsia="es-ES"/>
        </w:rPr>
      </w:pPr>
      <w:r w:rsidRPr="00CD63EB">
        <w:rPr>
          <w:rFonts w:ascii="Segoe UI" w:eastAsia="Arial Unicode MS" w:hAnsi="Segoe UI" w:cs="Segoe UI"/>
          <w:b/>
          <w:szCs w:val="24"/>
          <w:lang w:val="es-CO" w:eastAsia="es-ES"/>
        </w:rPr>
        <w:lastRenderedPageBreak/>
        <w:t xml:space="preserve">2. </w:t>
      </w:r>
      <w:r w:rsidRPr="00CD63EB">
        <w:rPr>
          <w:rFonts w:ascii="Segoe UI" w:eastAsia="Arial Unicode MS" w:hAnsi="Segoe UI" w:cs="Segoe UI"/>
          <w:szCs w:val="24"/>
          <w:lang w:val="es-CO" w:eastAsia="es-ES"/>
        </w:rPr>
        <w:t>Sin condena en costas.</w:t>
      </w:r>
    </w:p>
    <w:p w14:paraId="1B122F01" w14:textId="77777777" w:rsidR="00CD63EB" w:rsidRPr="00CD63EB" w:rsidRDefault="00CD63EB" w:rsidP="00276A2E">
      <w:pPr>
        <w:widowControl w:val="0"/>
        <w:rPr>
          <w:rFonts w:ascii="Segoe UI" w:eastAsia="Arial Unicode MS" w:hAnsi="Segoe UI" w:cs="Segoe UI"/>
          <w:szCs w:val="24"/>
          <w:lang w:val="es-CO" w:eastAsia="es-ES"/>
        </w:rPr>
      </w:pPr>
    </w:p>
    <w:p w14:paraId="23A1FBD4" w14:textId="77777777" w:rsidR="00CD63EB" w:rsidRPr="00CD63EB" w:rsidRDefault="00CD63EB" w:rsidP="00276A2E">
      <w:pPr>
        <w:widowControl w:val="0"/>
        <w:rPr>
          <w:rFonts w:ascii="Segoe UI" w:eastAsia="Arial Unicode MS" w:hAnsi="Segoe UI" w:cs="Segoe UI"/>
          <w:b/>
          <w:szCs w:val="24"/>
          <w:lang w:val="es-CO" w:eastAsia="es-ES"/>
        </w:rPr>
      </w:pPr>
      <w:r w:rsidRPr="00CD63EB">
        <w:rPr>
          <w:rFonts w:ascii="Segoe UI" w:eastAsia="Arial Unicode MS" w:hAnsi="Segoe UI" w:cs="Segoe UI"/>
          <w:b/>
          <w:szCs w:val="24"/>
          <w:lang w:val="es-CO" w:eastAsia="es-ES"/>
        </w:rPr>
        <w:t>Cópiese, notifíquese, comuníquese. Devuélvase al tribunal de origen. Cúmplase.</w:t>
      </w:r>
    </w:p>
    <w:p w14:paraId="1846ABEA" w14:textId="77777777" w:rsidR="00CD63EB" w:rsidRPr="00CD63EB" w:rsidRDefault="00CD63EB" w:rsidP="00276A2E">
      <w:pPr>
        <w:widowControl w:val="0"/>
        <w:rPr>
          <w:rFonts w:ascii="Segoe UI" w:eastAsia="Arial Unicode MS" w:hAnsi="Segoe UI" w:cs="Segoe UI"/>
          <w:b/>
          <w:szCs w:val="24"/>
          <w:lang w:val="es-CO" w:eastAsia="es-ES"/>
        </w:rPr>
      </w:pPr>
    </w:p>
    <w:p w14:paraId="6A3DF6D0" w14:textId="77777777" w:rsidR="00CD63EB" w:rsidRPr="00CD63EB" w:rsidRDefault="00CD63EB" w:rsidP="00276A2E">
      <w:pPr>
        <w:widowControl w:val="0"/>
        <w:rPr>
          <w:rFonts w:ascii="Segoe UI" w:eastAsia="Arial Unicode MS" w:hAnsi="Segoe UI" w:cs="Segoe UI"/>
          <w:bCs/>
          <w:szCs w:val="24"/>
          <w:lang w:val="es-CO" w:eastAsia="es-ES"/>
        </w:rPr>
      </w:pPr>
      <w:r w:rsidRPr="00CD63EB">
        <w:rPr>
          <w:rFonts w:ascii="Segoe UI" w:eastAsia="Arial Unicode MS" w:hAnsi="Segoe UI" w:cs="Segoe UI"/>
          <w:bCs/>
          <w:szCs w:val="24"/>
          <w:lang w:val="es-CO" w:eastAsia="es-ES"/>
        </w:rPr>
        <w:t>La anterior providencia se estudió y aprobó en la sesión de la fecha.</w:t>
      </w:r>
    </w:p>
    <w:p w14:paraId="66327C5A" w14:textId="77777777" w:rsidR="00CD63EB" w:rsidRPr="00CD63EB" w:rsidRDefault="00CD63EB" w:rsidP="00276A2E">
      <w:pPr>
        <w:widowControl w:val="0"/>
        <w:suppressAutoHyphens/>
        <w:rPr>
          <w:rFonts w:ascii="Segoe UI" w:eastAsia="Times New Roman" w:hAnsi="Segoe UI" w:cs="Segoe UI"/>
          <w:b/>
          <w:szCs w:val="24"/>
          <w:lang w:val="es-CO" w:eastAsia="es-ES"/>
        </w:rPr>
      </w:pPr>
    </w:p>
    <w:p w14:paraId="39D96D06" w14:textId="77777777" w:rsidR="00CD63EB" w:rsidRPr="00CD63EB" w:rsidRDefault="00CD63EB" w:rsidP="00276A2E">
      <w:pPr>
        <w:widowControl w:val="0"/>
        <w:suppressAutoHyphens/>
        <w:rPr>
          <w:rFonts w:ascii="Segoe UI" w:eastAsia="Times New Roman" w:hAnsi="Segoe UI" w:cs="Segoe UI"/>
          <w:b/>
          <w:szCs w:val="24"/>
          <w:lang w:val="es-CO" w:eastAsia="es-ES"/>
        </w:rPr>
      </w:pPr>
    </w:p>
    <w:p w14:paraId="65386155" w14:textId="77777777" w:rsidR="00CD63EB" w:rsidRPr="00CD63EB" w:rsidRDefault="00CD63EB" w:rsidP="00276A2E">
      <w:pPr>
        <w:widowControl w:val="0"/>
        <w:suppressAutoHyphens/>
        <w:rPr>
          <w:rFonts w:ascii="Segoe UI" w:eastAsia="Times New Roman" w:hAnsi="Segoe UI" w:cs="Segoe UI"/>
          <w:b/>
          <w:szCs w:val="24"/>
          <w:lang w:val="es-CO" w:eastAsia="es-ES"/>
        </w:rPr>
      </w:pPr>
      <w:r w:rsidRPr="00CD63EB">
        <w:rPr>
          <w:rFonts w:ascii="Segoe UI" w:eastAsia="Times New Roman" w:hAnsi="Segoe UI" w:cs="Segoe UI"/>
          <w:b/>
          <w:szCs w:val="24"/>
          <w:lang w:val="es-CO" w:eastAsia="es-ES"/>
        </w:rPr>
        <w:t>MILTON CHAVES GARCÍA</w:t>
      </w:r>
    </w:p>
    <w:p w14:paraId="3EFAF822" w14:textId="77777777" w:rsidR="00CD63EB" w:rsidRPr="00CD63EB" w:rsidRDefault="00CD63EB" w:rsidP="00276A2E">
      <w:pPr>
        <w:widowControl w:val="0"/>
        <w:suppressAutoHyphens/>
        <w:rPr>
          <w:rFonts w:ascii="Segoe UI" w:eastAsia="Times New Roman" w:hAnsi="Segoe UI" w:cs="Segoe UI"/>
          <w:szCs w:val="24"/>
          <w:lang w:val="es-CO" w:eastAsia="es-ES"/>
        </w:rPr>
      </w:pPr>
      <w:r w:rsidRPr="00CD63EB">
        <w:rPr>
          <w:rFonts w:ascii="Segoe UI" w:eastAsia="Times New Roman" w:hAnsi="Segoe UI" w:cs="Segoe UI"/>
          <w:szCs w:val="24"/>
          <w:lang w:val="es-CO" w:eastAsia="es-ES"/>
        </w:rPr>
        <w:t>Presidente de la Sala</w:t>
      </w:r>
    </w:p>
    <w:p w14:paraId="3D0E0CAA" w14:textId="77777777" w:rsidR="00CD63EB" w:rsidRPr="00CD63EB" w:rsidRDefault="00CD63EB" w:rsidP="00276A2E">
      <w:pPr>
        <w:widowControl w:val="0"/>
        <w:suppressAutoHyphens/>
        <w:rPr>
          <w:rFonts w:ascii="Segoe UI" w:eastAsia="Times New Roman" w:hAnsi="Segoe UI" w:cs="Segoe UI"/>
          <w:b/>
          <w:szCs w:val="24"/>
          <w:lang w:val="es-CO" w:eastAsia="es-ES"/>
        </w:rPr>
      </w:pPr>
    </w:p>
    <w:p w14:paraId="5F08A734" w14:textId="77777777" w:rsidR="00CD63EB" w:rsidRPr="00CD63EB" w:rsidRDefault="00CD63EB" w:rsidP="00276A2E">
      <w:pPr>
        <w:widowControl w:val="0"/>
        <w:suppressAutoHyphens/>
        <w:rPr>
          <w:rFonts w:ascii="Segoe UI" w:eastAsia="Times New Roman" w:hAnsi="Segoe UI" w:cs="Segoe UI"/>
          <w:b/>
          <w:szCs w:val="24"/>
          <w:lang w:val="es-CO" w:eastAsia="es-ES"/>
        </w:rPr>
      </w:pPr>
    </w:p>
    <w:p w14:paraId="6A0360BC" w14:textId="77777777" w:rsidR="00CD63EB" w:rsidRPr="00CD63EB" w:rsidRDefault="00CD63EB" w:rsidP="00276A2E">
      <w:pPr>
        <w:widowControl w:val="0"/>
        <w:suppressAutoHyphens/>
        <w:rPr>
          <w:rFonts w:ascii="Segoe UI" w:eastAsia="Times New Roman" w:hAnsi="Segoe UI" w:cs="Segoe UI"/>
          <w:szCs w:val="24"/>
          <w:lang w:val="es-CO" w:eastAsia="es-ES"/>
        </w:rPr>
      </w:pPr>
      <w:r w:rsidRPr="00CD63EB">
        <w:rPr>
          <w:rFonts w:ascii="Segoe UI" w:eastAsia="Times New Roman" w:hAnsi="Segoe UI" w:cs="Segoe UI"/>
          <w:b/>
          <w:szCs w:val="24"/>
          <w:lang w:val="es-CO" w:eastAsia="es-ES"/>
        </w:rPr>
        <w:t>STELLA JEANNETTE CARVAJAL BASTO</w:t>
      </w:r>
    </w:p>
    <w:p w14:paraId="1EA30D40" w14:textId="77777777" w:rsidR="00CD63EB" w:rsidRPr="00CD63EB" w:rsidRDefault="00CD63EB" w:rsidP="00276A2E">
      <w:pPr>
        <w:widowControl w:val="0"/>
        <w:suppressAutoHyphens/>
        <w:rPr>
          <w:rFonts w:ascii="Segoe UI" w:eastAsia="Times New Roman" w:hAnsi="Segoe UI" w:cs="Segoe UI"/>
          <w:b/>
          <w:szCs w:val="24"/>
          <w:lang w:val="es-CO" w:eastAsia="es-ES"/>
        </w:rPr>
      </w:pPr>
    </w:p>
    <w:p w14:paraId="70401AE0" w14:textId="77777777" w:rsidR="00CD63EB" w:rsidRPr="00CD63EB" w:rsidRDefault="00CD63EB" w:rsidP="00276A2E">
      <w:pPr>
        <w:widowControl w:val="0"/>
        <w:suppressAutoHyphens/>
        <w:rPr>
          <w:rFonts w:ascii="Segoe UI" w:eastAsia="Times New Roman" w:hAnsi="Segoe UI" w:cs="Segoe UI"/>
          <w:szCs w:val="24"/>
          <w:lang w:val="es-CO" w:eastAsia="es-ES"/>
        </w:rPr>
      </w:pPr>
    </w:p>
    <w:p w14:paraId="66540047" w14:textId="77777777" w:rsidR="00CD63EB" w:rsidRPr="00CD63EB" w:rsidRDefault="00CD63EB" w:rsidP="00276A2E">
      <w:pPr>
        <w:widowControl w:val="0"/>
        <w:suppressAutoHyphens/>
        <w:rPr>
          <w:rFonts w:ascii="Segoe UI" w:eastAsia="Times New Roman" w:hAnsi="Segoe UI" w:cs="Segoe UI"/>
          <w:szCs w:val="24"/>
          <w:lang w:val="es-CO" w:eastAsia="es-ES"/>
        </w:rPr>
      </w:pPr>
      <w:r w:rsidRPr="00CD63EB">
        <w:rPr>
          <w:rFonts w:ascii="Segoe UI" w:eastAsia="Times New Roman" w:hAnsi="Segoe UI" w:cs="Segoe UI"/>
          <w:b/>
          <w:szCs w:val="24"/>
          <w:lang w:val="es-CO" w:eastAsia="es-ES"/>
        </w:rPr>
        <w:t>JULIO ROBERTO PIZA RODRÍGUEZ</w:t>
      </w:r>
    </w:p>
    <w:p w14:paraId="3F9B9C34" w14:textId="77777777" w:rsidR="00CD63EB" w:rsidRPr="00CD63EB" w:rsidRDefault="00CD63EB" w:rsidP="00276A2E">
      <w:pPr>
        <w:widowControl w:val="0"/>
        <w:suppressAutoHyphens/>
        <w:rPr>
          <w:rFonts w:ascii="Segoe UI" w:eastAsia="Times New Roman" w:hAnsi="Segoe UI" w:cs="Segoe UI"/>
          <w:szCs w:val="24"/>
          <w:lang w:val="es-CO" w:eastAsia="es-ES"/>
        </w:rPr>
      </w:pPr>
    </w:p>
    <w:p w14:paraId="4FC44CC2" w14:textId="77777777" w:rsidR="00CD63EB" w:rsidRPr="00CD63EB" w:rsidRDefault="00CD63EB" w:rsidP="00276A2E">
      <w:pPr>
        <w:widowControl w:val="0"/>
        <w:suppressAutoHyphens/>
        <w:rPr>
          <w:rFonts w:ascii="Segoe UI" w:eastAsia="Times New Roman" w:hAnsi="Segoe UI" w:cs="Segoe UI"/>
          <w:szCs w:val="24"/>
          <w:lang w:val="es-CO" w:eastAsia="es-ES"/>
        </w:rPr>
      </w:pPr>
    </w:p>
    <w:p w14:paraId="38C18E76" w14:textId="77777777" w:rsidR="00CD63EB" w:rsidRPr="00CD63EB" w:rsidRDefault="00CD63EB" w:rsidP="00276A2E">
      <w:pPr>
        <w:widowControl w:val="0"/>
        <w:rPr>
          <w:rFonts w:ascii="Segoe UI" w:eastAsia="Times New Roman" w:hAnsi="Segoe UI" w:cs="Segoe UI"/>
          <w:szCs w:val="24"/>
          <w:lang w:val="es-CO" w:eastAsia="es-ES"/>
        </w:rPr>
      </w:pPr>
      <w:r w:rsidRPr="00CD63EB">
        <w:rPr>
          <w:rFonts w:ascii="Segoe UI" w:eastAsia="Times New Roman" w:hAnsi="Segoe UI" w:cs="Segoe UI"/>
          <w:b/>
          <w:szCs w:val="24"/>
          <w:lang w:val="es-CO" w:eastAsia="es-ES"/>
        </w:rPr>
        <w:t xml:space="preserve">JORGE OCTAVIO RAMÍREZ </w:t>
      </w:r>
      <w:proofErr w:type="spellStart"/>
      <w:r w:rsidRPr="00CD63EB">
        <w:rPr>
          <w:rFonts w:ascii="Segoe UI" w:eastAsia="Times New Roman" w:hAnsi="Segoe UI" w:cs="Segoe UI"/>
          <w:b/>
          <w:szCs w:val="24"/>
          <w:lang w:val="es-CO" w:eastAsia="es-ES"/>
        </w:rPr>
        <w:t>RAMÍREZ</w:t>
      </w:r>
      <w:proofErr w:type="spellEnd"/>
    </w:p>
    <w:p w14:paraId="7483127D" w14:textId="77777777" w:rsidR="00CD63EB" w:rsidRPr="00CD63EB" w:rsidRDefault="00CD63EB" w:rsidP="00276A2E">
      <w:pPr>
        <w:jc w:val="left"/>
        <w:rPr>
          <w:rFonts w:eastAsia="Times New Roman" w:cs="Times New Roman"/>
          <w:szCs w:val="24"/>
          <w:lang w:eastAsia="es-ES"/>
        </w:rPr>
      </w:pPr>
      <w:r w:rsidRPr="00CD63EB">
        <w:rPr>
          <w:rFonts w:eastAsia="Times New Roman" w:cs="Times New Roman"/>
          <w:szCs w:val="24"/>
          <w:lang w:eastAsia="es-ES"/>
        </w:rPr>
        <w:br w:type="textWrapping" w:clear="all"/>
      </w:r>
    </w:p>
    <w:p w14:paraId="63694C81" w14:textId="77777777" w:rsidR="00CD63EB" w:rsidRPr="00CD63EB" w:rsidRDefault="00693CF3" w:rsidP="00276A2E">
      <w:pPr>
        <w:jc w:val="left"/>
        <w:rPr>
          <w:rFonts w:eastAsia="Times New Roman" w:cs="Times New Roman"/>
          <w:szCs w:val="24"/>
          <w:lang w:eastAsia="es-ES"/>
        </w:rPr>
      </w:pPr>
      <w:r>
        <w:rPr>
          <w:rFonts w:eastAsia="Times New Roman" w:cs="Times New Roman"/>
          <w:szCs w:val="24"/>
          <w:lang w:eastAsia="es-ES"/>
        </w:rPr>
        <w:pict w14:anchorId="3F4BDB9A">
          <v:rect id="_x0000_i1025" style="width:145.85pt;height:.6pt" o:hrpct="330" o:hrstd="t" o:hr="t" fillcolor="#a0a0a0" stroked="f"/>
        </w:pict>
      </w:r>
    </w:p>
    <w:p w14:paraId="59A8DDE2" w14:textId="77777777" w:rsidR="00CD63EB" w:rsidRPr="00CD63EB" w:rsidRDefault="00CD63EB" w:rsidP="00276A2E">
      <w:pPr>
        <w:rPr>
          <w:rFonts w:ascii="Segoe UI" w:eastAsia="Times New Roman" w:hAnsi="Segoe UI" w:cs="Segoe UI"/>
          <w:sz w:val="20"/>
          <w:szCs w:val="20"/>
          <w:lang w:val="es-CO" w:eastAsia="es-ES"/>
        </w:rPr>
      </w:pPr>
      <w:r w:rsidRPr="00CD63EB">
        <w:rPr>
          <w:rFonts w:ascii="Segoe UI" w:eastAsia="Times New Roman" w:hAnsi="Segoe UI" w:cs="Segoe UI"/>
          <w:szCs w:val="24"/>
          <w:lang w:val="es-CO" w:eastAsia="es-ES"/>
        </w:rPr>
        <w:footnoteRef/>
      </w:r>
      <w:r w:rsidRPr="00CD63EB">
        <w:rPr>
          <w:rFonts w:ascii="Segoe UI" w:eastAsia="Calibri" w:hAnsi="Segoe UI" w:cs="Segoe UI"/>
          <w:sz w:val="20"/>
          <w:szCs w:val="20"/>
          <w:lang w:val="es-CO"/>
        </w:rPr>
        <w:t>[1]</w:t>
      </w:r>
      <w:r w:rsidRPr="00CD63EB">
        <w:rPr>
          <w:rFonts w:ascii="Segoe UI" w:eastAsia="Times New Roman" w:hAnsi="Segoe UI" w:cs="Segoe UI"/>
          <w:sz w:val="20"/>
          <w:szCs w:val="20"/>
          <w:lang w:val="es-CO" w:eastAsia="es-ES"/>
        </w:rPr>
        <w:t xml:space="preserve"> Reiteradas entre otras muchas en las sentencias del 26 de marzo de 2009, expediente 16169, CP: Héctor J. Romero Díaz; 24 de octubre de 2013, expediente 19454, CP: Carmen Teresa Ortiz de Rodríguez; del 6 de noviembre de 2014, expediente 20344, CP: Martha Teresa Briceño de Valencia; del 5 de febrero de 2015, expediente 20441, CP: Martha Teresa Briceño de Valencia; de 9 de abril de 2015, expediente 20243, CP: Hugo Fernando Bastidas Bárcenas; del 3 de junio de 2015, expediente 20476, CP: Carmen Teresa Ortiz de Rodríguez; del 29 de septiembre de 2015, expediente 20440, CP: Hugo Fernando Bastidas Bárcenas; del 26 de mayo de 2016, CP: Martha Teresa Briceño de Valencia, expediente 20479; 1° de junio de 2016, CP: Jorge Octavio Ramírez </w:t>
      </w:r>
      <w:proofErr w:type="spellStart"/>
      <w:r w:rsidRPr="00CD63EB">
        <w:rPr>
          <w:rFonts w:ascii="Segoe UI" w:eastAsia="Times New Roman" w:hAnsi="Segoe UI" w:cs="Segoe UI"/>
          <w:sz w:val="20"/>
          <w:szCs w:val="20"/>
          <w:lang w:val="es-CO" w:eastAsia="es-ES"/>
        </w:rPr>
        <w:t>Ramírez</w:t>
      </w:r>
      <w:proofErr w:type="spellEnd"/>
      <w:r w:rsidRPr="00CD63EB">
        <w:rPr>
          <w:rFonts w:ascii="Segoe UI" w:eastAsia="Times New Roman" w:hAnsi="Segoe UI" w:cs="Segoe UI"/>
          <w:sz w:val="20"/>
          <w:szCs w:val="20"/>
          <w:lang w:val="es-CO" w:eastAsia="es-ES"/>
        </w:rPr>
        <w:t>, expediente 21128; del 20 de septiembre de 2017, expediente 21878, CP: Milton Chaves García, del 25 de septiembre de 2017, expedientes 20800, 20910 y 20909, CP: Stella Jeannette Carvajal Basto, entre otras.</w:t>
      </w:r>
    </w:p>
    <w:p w14:paraId="3E550BF5" w14:textId="77777777" w:rsidR="00CD63EB" w:rsidRPr="00CD63EB" w:rsidRDefault="00CD63EB" w:rsidP="00276A2E">
      <w:pPr>
        <w:rPr>
          <w:rFonts w:ascii="Segoe UI" w:eastAsia="Times New Roman" w:hAnsi="Segoe UI" w:cs="Segoe UI"/>
          <w:szCs w:val="24"/>
          <w:lang w:val="es-CO" w:eastAsia="es-ES"/>
        </w:rPr>
      </w:pPr>
    </w:p>
    <w:p w14:paraId="5FB87C36" w14:textId="77777777" w:rsidR="00CD63EB" w:rsidRPr="00CD63EB" w:rsidRDefault="00CD63EB" w:rsidP="00276A2E">
      <w:pPr>
        <w:rPr>
          <w:rFonts w:ascii="Segoe UI" w:eastAsia="Times New Roman" w:hAnsi="Segoe UI" w:cs="Segoe UI"/>
          <w:szCs w:val="24"/>
          <w:lang w:val="es-CO" w:eastAsia="es-ES"/>
        </w:rPr>
      </w:pPr>
      <w:r w:rsidRPr="00CD63EB">
        <w:rPr>
          <w:rFonts w:ascii="Segoe UI" w:eastAsia="Times New Roman" w:hAnsi="Segoe UI" w:cs="Segoe UI"/>
          <w:szCs w:val="24"/>
          <w:lang w:val="es-CO" w:eastAsia="es-ES"/>
        </w:rPr>
        <w:footnoteRef/>
      </w:r>
      <w:r w:rsidRPr="00CD63EB">
        <w:rPr>
          <w:rFonts w:ascii="Segoe UI" w:eastAsia="Calibri" w:hAnsi="Segoe UI" w:cs="Segoe UI"/>
          <w:sz w:val="20"/>
          <w:szCs w:val="20"/>
          <w:lang w:val="es-CO"/>
        </w:rPr>
        <w:t>[2]</w:t>
      </w:r>
      <w:r w:rsidRPr="00CD63EB">
        <w:rPr>
          <w:rFonts w:ascii="Segoe UI" w:eastAsia="Times New Roman" w:hAnsi="Segoe UI" w:cs="Segoe UI"/>
          <w:sz w:val="20"/>
          <w:szCs w:val="20"/>
          <w:lang w:val="es-CO" w:eastAsia="es-ES"/>
        </w:rPr>
        <w:t xml:space="preserve"> Sentencias de 20 de abril del 2001, expediente 11658, 20 de febrero y 4 de abril del 2003, expediente 12736 y 12897, 15 de junio del 2006, expediente 2003-00453-01, 26 de marzo del 2009, expediente 16169, 24 de octubre de 2013, expediente 19454 y 26 de marzo de 2015, expediente 20219.</w:t>
      </w:r>
    </w:p>
    <w:p w14:paraId="43820506" w14:textId="77777777" w:rsidR="00CD63EB" w:rsidRPr="00CD63EB" w:rsidRDefault="00CD63EB" w:rsidP="00276A2E">
      <w:pPr>
        <w:spacing w:after="285"/>
        <w:jc w:val="left"/>
        <w:rPr>
          <w:rFonts w:eastAsia="Times New Roman" w:cs="Times New Roman"/>
          <w:szCs w:val="24"/>
          <w:lang w:eastAsia="es-ES"/>
        </w:rPr>
      </w:pPr>
      <w:r w:rsidRPr="00CD63EB">
        <w:rPr>
          <w:rFonts w:eastAsia="Times New Roman" w:cs="Times New Roman"/>
          <w:szCs w:val="24"/>
          <w:lang w:eastAsia="es-ES"/>
        </w:rPr>
        <w:t> </w:t>
      </w:r>
    </w:p>
    <w:p w14:paraId="17099442" w14:textId="77777777" w:rsidR="007F5CC8" w:rsidRDefault="007F5CC8" w:rsidP="00276A2E"/>
    <w:sectPr w:rsidR="007F5CC8" w:rsidSect="00434AE6">
      <w:headerReference w:type="default" r:id="rId6"/>
      <w:type w:val="continuous"/>
      <w:pgSz w:w="12191" w:h="18711"/>
      <w:pgMar w:top="1134" w:right="1134" w:bottom="1134" w:left="1701" w:header="720" w:footer="720"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79223B" w14:textId="77777777" w:rsidR="00693CF3" w:rsidRDefault="00693CF3" w:rsidP="00440908">
      <w:pPr>
        <w:spacing w:line="240" w:lineRule="auto"/>
      </w:pPr>
      <w:r>
        <w:separator/>
      </w:r>
    </w:p>
  </w:endnote>
  <w:endnote w:type="continuationSeparator" w:id="0">
    <w:p w14:paraId="4B495B8D" w14:textId="77777777" w:rsidR="00693CF3" w:rsidRDefault="00693CF3" w:rsidP="0044090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BB09B8" w14:textId="77777777" w:rsidR="00693CF3" w:rsidRDefault="00693CF3" w:rsidP="00440908">
      <w:pPr>
        <w:spacing w:line="240" w:lineRule="auto"/>
      </w:pPr>
      <w:r>
        <w:separator/>
      </w:r>
    </w:p>
  </w:footnote>
  <w:footnote w:type="continuationSeparator" w:id="0">
    <w:p w14:paraId="542A1D1A" w14:textId="77777777" w:rsidR="00693CF3" w:rsidRDefault="00693CF3" w:rsidP="0044090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8776872"/>
      <w:docPartObj>
        <w:docPartGallery w:val="Page Numbers (Top of Page)"/>
        <w:docPartUnique/>
      </w:docPartObj>
    </w:sdtPr>
    <w:sdtEndPr/>
    <w:sdtContent>
      <w:p w14:paraId="7D6B11E4" w14:textId="2BB4E4BF" w:rsidR="00440908" w:rsidRDefault="00440908">
        <w:pPr>
          <w:pStyle w:val="Encabezado"/>
          <w:jc w:val="right"/>
        </w:pPr>
        <w:r>
          <w:fldChar w:fldCharType="begin"/>
        </w:r>
        <w:r>
          <w:instrText>PAGE   \* MERGEFORMAT</w:instrText>
        </w:r>
        <w:r>
          <w:fldChar w:fldCharType="separate"/>
        </w:r>
        <w:r>
          <w:t>2</w:t>
        </w:r>
        <w:r>
          <w:fldChar w:fldCharType="end"/>
        </w:r>
      </w:p>
    </w:sdtContent>
  </w:sdt>
  <w:p w14:paraId="584D5CB3" w14:textId="77777777" w:rsidR="00440908" w:rsidRDefault="00440908">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rawingGridVerticalSpacing w:val="163"/>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63EB"/>
    <w:rsid w:val="0007492E"/>
    <w:rsid w:val="001E311E"/>
    <w:rsid w:val="00276A2E"/>
    <w:rsid w:val="00434AE6"/>
    <w:rsid w:val="00440908"/>
    <w:rsid w:val="00693CF3"/>
    <w:rsid w:val="007F5CC8"/>
    <w:rsid w:val="008779BE"/>
    <w:rsid w:val="009C4162"/>
    <w:rsid w:val="00CD63EB"/>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4CDAD"/>
  <w15:chartTrackingRefBased/>
  <w15:docId w15:val="{CE43D13F-D727-4233-A7A1-B5CD72796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s-ES"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40908"/>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440908"/>
  </w:style>
  <w:style w:type="paragraph" w:styleId="Piedepgina">
    <w:name w:val="footer"/>
    <w:basedOn w:val="Normal"/>
    <w:link w:val="PiedepginaCar"/>
    <w:uiPriority w:val="99"/>
    <w:unhideWhenUsed/>
    <w:rsid w:val="00440908"/>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4409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0879014">
      <w:bodyDiv w:val="1"/>
      <w:marLeft w:val="240"/>
      <w:marRight w:val="240"/>
      <w:marTop w:val="240"/>
      <w:marBottom w:val="240"/>
      <w:divBdr>
        <w:top w:val="none" w:sz="0" w:space="0" w:color="auto"/>
        <w:left w:val="none" w:sz="0" w:space="0" w:color="auto"/>
        <w:bottom w:val="none" w:sz="0" w:space="0" w:color="auto"/>
        <w:right w:val="none" w:sz="0" w:space="0" w:color="auto"/>
      </w:divBdr>
      <w:divsChild>
        <w:div w:id="1923878108">
          <w:marLeft w:val="0"/>
          <w:marRight w:val="0"/>
          <w:marTop w:val="0"/>
          <w:marBottom w:val="0"/>
          <w:divBdr>
            <w:top w:val="none" w:sz="0" w:space="0" w:color="auto"/>
            <w:left w:val="none" w:sz="0" w:space="0" w:color="auto"/>
            <w:bottom w:val="none" w:sz="0" w:space="0" w:color="auto"/>
            <w:right w:val="none" w:sz="0" w:space="0" w:color="auto"/>
          </w:divBdr>
          <w:divsChild>
            <w:div w:id="172958603">
              <w:marLeft w:val="0"/>
              <w:marRight w:val="0"/>
              <w:marTop w:val="0"/>
              <w:marBottom w:val="0"/>
              <w:divBdr>
                <w:top w:val="none" w:sz="0" w:space="0" w:color="auto"/>
                <w:left w:val="none" w:sz="0" w:space="0" w:color="auto"/>
                <w:bottom w:val="none" w:sz="0" w:space="0" w:color="auto"/>
                <w:right w:val="none" w:sz="0" w:space="0" w:color="auto"/>
              </w:divBdr>
            </w:div>
            <w:div w:id="434253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18</Pages>
  <Words>4862</Words>
  <Characters>26745</Characters>
  <Application>Microsoft Office Word</Application>
  <DocSecurity>0</DocSecurity>
  <Lines>222</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CNETCO</dc:creator>
  <cp:keywords/>
  <dc:description/>
  <cp:lastModifiedBy>Guillermo Alzate Duque</cp:lastModifiedBy>
  <cp:revision>3</cp:revision>
  <dcterms:created xsi:type="dcterms:W3CDTF">2020-06-30T21:16:00Z</dcterms:created>
  <dcterms:modified xsi:type="dcterms:W3CDTF">2022-06-07T21:43:00Z</dcterms:modified>
</cp:coreProperties>
</file>