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2634" w14:textId="1A7824F3" w:rsidR="00040629" w:rsidRPr="00EC2670" w:rsidRDefault="00EC2670" w:rsidP="003708E1">
      <w:pPr>
        <w:pStyle w:val="Sinespaciado"/>
        <w:spacing w:line="360" w:lineRule="auto"/>
        <w:jc w:val="both"/>
        <w:rPr>
          <w:rFonts w:ascii="Verdana" w:hAnsi="Verdana"/>
          <w:b/>
          <w:bCs/>
        </w:rPr>
      </w:pPr>
      <w:r w:rsidRPr="00EC2670">
        <w:rPr>
          <w:rFonts w:ascii="Verdana" w:hAnsi="Verdana"/>
          <w:b/>
          <w:bCs/>
        </w:rPr>
        <w:t>CONCEPTO 95 DEL 29 DE ENERO DE 2021</w:t>
      </w:r>
    </w:p>
    <w:p w14:paraId="0E2E2DEF" w14:textId="1540AA80" w:rsidR="00EC2670" w:rsidRPr="00EC2670" w:rsidRDefault="00EC2670" w:rsidP="003708E1">
      <w:pPr>
        <w:pStyle w:val="Sinespaciado"/>
        <w:spacing w:line="360" w:lineRule="auto"/>
        <w:jc w:val="both"/>
        <w:rPr>
          <w:rFonts w:ascii="Verdana" w:hAnsi="Verdana"/>
          <w:b/>
          <w:bCs/>
        </w:rPr>
      </w:pPr>
      <w:r w:rsidRPr="00EC2670">
        <w:rPr>
          <w:rFonts w:ascii="Verdana" w:hAnsi="Verdana"/>
          <w:b/>
          <w:bCs/>
        </w:rPr>
        <w:t>DIRECCIÓN DE IMPUESTOS Y ADUANAS NACIONALES</w:t>
      </w:r>
    </w:p>
    <w:p w14:paraId="147C74CB" w14:textId="77777777" w:rsidR="00040629" w:rsidRPr="00EC2670" w:rsidRDefault="00040629" w:rsidP="003708E1">
      <w:pPr>
        <w:pStyle w:val="Sinespaciado"/>
        <w:spacing w:line="360" w:lineRule="auto"/>
        <w:jc w:val="both"/>
        <w:rPr>
          <w:rFonts w:ascii="Verdana" w:hAnsi="Verdana"/>
        </w:rPr>
      </w:pPr>
    </w:p>
    <w:p w14:paraId="05994E17" w14:textId="2C3AAD7F" w:rsidR="00040629" w:rsidRPr="00EC2670" w:rsidRDefault="00EC2670" w:rsidP="003708E1">
      <w:pPr>
        <w:pStyle w:val="Sinespaciado"/>
        <w:spacing w:line="360" w:lineRule="auto"/>
        <w:jc w:val="both"/>
        <w:rPr>
          <w:rFonts w:ascii="Verdana" w:hAnsi="Verdana"/>
        </w:rPr>
      </w:pPr>
      <w:r>
        <w:rPr>
          <w:rFonts w:ascii="Verdana" w:hAnsi="Verdana"/>
        </w:rPr>
        <w:t>Bogotá, D.C.</w:t>
      </w:r>
    </w:p>
    <w:p w14:paraId="655580A0" w14:textId="77777777" w:rsidR="00040629" w:rsidRPr="00EC2670" w:rsidRDefault="00040629" w:rsidP="003708E1">
      <w:pPr>
        <w:pStyle w:val="Sinespaciado"/>
        <w:spacing w:line="360" w:lineRule="auto"/>
        <w:jc w:val="both"/>
        <w:rPr>
          <w:rFonts w:ascii="Verdana" w:hAnsi="Verdana"/>
        </w:rPr>
      </w:pPr>
    </w:p>
    <w:p w14:paraId="6FF2C77F" w14:textId="3B86160A" w:rsidR="00040629" w:rsidRPr="00EC2670" w:rsidRDefault="00EC2670" w:rsidP="003708E1">
      <w:pPr>
        <w:pStyle w:val="Sinespaciado"/>
        <w:spacing w:line="360" w:lineRule="auto"/>
        <w:jc w:val="both"/>
        <w:rPr>
          <w:rFonts w:ascii="Verdana" w:hAnsi="Verdana"/>
        </w:rPr>
      </w:pPr>
      <w:r w:rsidRPr="00EC2670">
        <w:rPr>
          <w:rFonts w:ascii="Verdana" w:hAnsi="Verdana"/>
          <w:b/>
          <w:bCs/>
        </w:rPr>
        <w:t>Tema</w:t>
      </w:r>
      <w:r>
        <w:rPr>
          <w:rFonts w:ascii="Verdana" w:hAnsi="Verdana"/>
          <w:b/>
          <w:bCs/>
        </w:rPr>
        <w:tab/>
      </w:r>
      <w:r>
        <w:rPr>
          <w:rFonts w:ascii="Verdana" w:hAnsi="Verdana"/>
          <w:b/>
          <w:bCs/>
        </w:rPr>
        <w:tab/>
      </w:r>
      <w:r>
        <w:rPr>
          <w:rFonts w:ascii="Verdana" w:hAnsi="Verdana"/>
          <w:b/>
          <w:bCs/>
        </w:rPr>
        <w:tab/>
      </w:r>
      <w:r w:rsidRPr="00EC2670">
        <w:rPr>
          <w:rFonts w:ascii="Verdana" w:hAnsi="Verdana"/>
        </w:rPr>
        <w:t>Régimen Unificado de Tributación SIMPLE</w:t>
      </w:r>
    </w:p>
    <w:p w14:paraId="4FDC4C98" w14:textId="5311706E" w:rsidR="00040629" w:rsidRPr="00EC2670" w:rsidRDefault="00EC2670" w:rsidP="003708E1">
      <w:pPr>
        <w:pStyle w:val="Sinespaciado"/>
        <w:spacing w:line="360" w:lineRule="auto"/>
        <w:jc w:val="both"/>
        <w:rPr>
          <w:rFonts w:ascii="Verdana" w:hAnsi="Verdana"/>
        </w:rPr>
      </w:pPr>
      <w:r w:rsidRPr="00EC2670">
        <w:rPr>
          <w:rFonts w:ascii="Verdana" w:hAnsi="Verdana"/>
          <w:b/>
          <w:bCs/>
        </w:rPr>
        <w:t>Descriptores</w:t>
      </w:r>
      <w:r>
        <w:rPr>
          <w:rFonts w:ascii="Verdana" w:hAnsi="Verdana"/>
          <w:b/>
          <w:bCs/>
        </w:rPr>
        <w:tab/>
      </w:r>
      <w:r>
        <w:rPr>
          <w:rFonts w:ascii="Verdana" w:hAnsi="Verdana"/>
          <w:b/>
          <w:bCs/>
        </w:rPr>
        <w:tab/>
      </w:r>
      <w:r w:rsidRPr="00EC2670">
        <w:rPr>
          <w:rFonts w:ascii="Verdana" w:hAnsi="Verdana"/>
        </w:rPr>
        <w:t>Periodo gravable</w:t>
      </w:r>
    </w:p>
    <w:p w14:paraId="51734DFE" w14:textId="77777777" w:rsidR="00040629" w:rsidRPr="00EC2670" w:rsidRDefault="00EC2670" w:rsidP="003708E1">
      <w:pPr>
        <w:pStyle w:val="Sinespaciado"/>
        <w:spacing w:line="360" w:lineRule="auto"/>
        <w:ind w:left="2124" w:firstLine="708"/>
        <w:jc w:val="both"/>
        <w:rPr>
          <w:rFonts w:ascii="Verdana" w:hAnsi="Verdana"/>
        </w:rPr>
      </w:pPr>
      <w:r w:rsidRPr="00EC2670">
        <w:rPr>
          <w:rFonts w:ascii="Verdana" w:hAnsi="Verdana"/>
        </w:rPr>
        <w:t>Sujetos que no pueden optar por el impuesto</w:t>
      </w:r>
    </w:p>
    <w:p w14:paraId="4F83DCE5" w14:textId="773CE1DE" w:rsidR="00040629" w:rsidRPr="00EC2670" w:rsidRDefault="00EC2670" w:rsidP="003708E1">
      <w:pPr>
        <w:pStyle w:val="Sinespaciado"/>
        <w:spacing w:line="360" w:lineRule="auto"/>
        <w:jc w:val="both"/>
        <w:rPr>
          <w:rFonts w:ascii="Verdana" w:hAnsi="Verdana"/>
        </w:rPr>
      </w:pPr>
      <w:r w:rsidRPr="00EC2670">
        <w:rPr>
          <w:rFonts w:ascii="Verdana" w:hAnsi="Verdana"/>
          <w:b/>
          <w:bCs/>
        </w:rPr>
        <w:t>Fuentes formales</w:t>
      </w:r>
      <w:r>
        <w:rPr>
          <w:rFonts w:ascii="Verdana" w:hAnsi="Verdana"/>
          <w:b/>
          <w:bCs/>
        </w:rPr>
        <w:tab/>
      </w:r>
      <w:r w:rsidRPr="00EC2670">
        <w:rPr>
          <w:rFonts w:ascii="Verdana" w:hAnsi="Verdana"/>
        </w:rPr>
        <w:t>Artículos 904, 906, 908 y 910 del Estatuto Tributario.</w:t>
      </w:r>
    </w:p>
    <w:p w14:paraId="10BE0BF2" w14:textId="77777777" w:rsidR="00040629" w:rsidRPr="00EC2670" w:rsidRDefault="00EC2670" w:rsidP="003708E1">
      <w:pPr>
        <w:pStyle w:val="Sinespaciado"/>
        <w:spacing w:line="360" w:lineRule="auto"/>
        <w:ind w:left="2832"/>
        <w:jc w:val="both"/>
        <w:rPr>
          <w:rFonts w:ascii="Verdana" w:hAnsi="Verdana"/>
        </w:rPr>
      </w:pPr>
      <w:r w:rsidRPr="00EC2670">
        <w:rPr>
          <w:rFonts w:ascii="Verdana" w:hAnsi="Verdana"/>
        </w:rPr>
        <w:t>Artículos 1.5.8.1.8, 1.5.8.2.3, 1.5.8.2.4, 1.5.8.2.5, 1.5.8.3.7, 1.5.8.4.1, 1.5.8.4.4 y 1.5.8.4.5 del Decreto 1625 de 2016.</w:t>
      </w:r>
    </w:p>
    <w:p w14:paraId="468B3623" w14:textId="77777777" w:rsidR="00EC2670" w:rsidRDefault="00EC2670" w:rsidP="003708E1">
      <w:pPr>
        <w:pStyle w:val="Sinespaciado"/>
        <w:spacing w:line="360" w:lineRule="auto"/>
        <w:jc w:val="both"/>
        <w:rPr>
          <w:rFonts w:ascii="Verdana" w:hAnsi="Verdana"/>
        </w:rPr>
      </w:pPr>
    </w:p>
    <w:p w14:paraId="65DCF2B7" w14:textId="75B1F183" w:rsidR="00040629" w:rsidRPr="00EC2670" w:rsidRDefault="00EC2670" w:rsidP="003708E1">
      <w:pPr>
        <w:pStyle w:val="Sinespaciado"/>
        <w:spacing w:line="360" w:lineRule="auto"/>
        <w:jc w:val="both"/>
        <w:rPr>
          <w:rFonts w:ascii="Verdana" w:hAnsi="Verdana"/>
        </w:rPr>
      </w:pPr>
      <w:r w:rsidRPr="00EC2670">
        <w:rPr>
          <w:rFonts w:ascii="Verdana" w:hAnsi="Verdana"/>
        </w:rPr>
        <w:t>Cordial saludo,</w:t>
      </w:r>
    </w:p>
    <w:p w14:paraId="1214926B" w14:textId="77777777" w:rsidR="00EC2670" w:rsidRDefault="00EC2670" w:rsidP="003708E1">
      <w:pPr>
        <w:pStyle w:val="Sinespaciado"/>
        <w:spacing w:line="360" w:lineRule="auto"/>
        <w:jc w:val="both"/>
        <w:rPr>
          <w:rFonts w:ascii="Verdana" w:hAnsi="Verdana"/>
        </w:rPr>
      </w:pPr>
    </w:p>
    <w:p w14:paraId="68585256" w14:textId="65A8A6D1" w:rsidR="00040629" w:rsidRPr="00EC2670" w:rsidRDefault="00EC2670" w:rsidP="003708E1">
      <w:pPr>
        <w:pStyle w:val="Sinespaciado"/>
        <w:spacing w:line="360" w:lineRule="auto"/>
        <w:jc w:val="both"/>
        <w:rPr>
          <w:rFonts w:ascii="Verdana" w:hAnsi="Verdana"/>
        </w:rPr>
      </w:pPr>
      <w:r w:rsidRPr="00EC2670">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B87F1CC" w14:textId="77777777" w:rsidR="00EC2670" w:rsidRDefault="00EC2670" w:rsidP="003708E1">
      <w:pPr>
        <w:pStyle w:val="Sinespaciado"/>
        <w:spacing w:line="360" w:lineRule="auto"/>
        <w:jc w:val="both"/>
        <w:rPr>
          <w:rFonts w:ascii="Verdana" w:hAnsi="Verdana"/>
        </w:rPr>
      </w:pPr>
    </w:p>
    <w:p w14:paraId="1F5B90C0" w14:textId="3A41DB54" w:rsidR="00040629" w:rsidRPr="00EC2670" w:rsidRDefault="00EC2670" w:rsidP="003708E1">
      <w:pPr>
        <w:pStyle w:val="Sinespaciado"/>
        <w:spacing w:line="360" w:lineRule="auto"/>
        <w:jc w:val="both"/>
        <w:rPr>
          <w:rFonts w:ascii="Verdana" w:hAnsi="Verdana"/>
        </w:rPr>
      </w:pPr>
      <w:r w:rsidRPr="00EC2670">
        <w:rPr>
          <w:rFonts w:ascii="Verdana" w:hAnsi="Verdana"/>
        </w:rPr>
        <w:t>Mediante el radicado de la referencia, el peticionario textualmente consulta:</w:t>
      </w:r>
    </w:p>
    <w:p w14:paraId="1F3E5C1E" w14:textId="77777777" w:rsidR="00EC2670" w:rsidRDefault="00EC2670" w:rsidP="003708E1">
      <w:pPr>
        <w:pStyle w:val="Sinespaciado"/>
        <w:spacing w:line="360" w:lineRule="auto"/>
        <w:jc w:val="both"/>
        <w:rPr>
          <w:rFonts w:ascii="Verdana" w:hAnsi="Verdana"/>
        </w:rPr>
      </w:pPr>
    </w:p>
    <w:p w14:paraId="16CCD19F" w14:textId="74300C2C" w:rsidR="00040629" w:rsidRPr="00EC2670" w:rsidRDefault="00EC2670" w:rsidP="003708E1">
      <w:pPr>
        <w:pStyle w:val="Sinespaciado"/>
        <w:spacing w:line="360" w:lineRule="auto"/>
        <w:ind w:left="708"/>
        <w:jc w:val="both"/>
        <w:rPr>
          <w:rFonts w:ascii="Verdana" w:hAnsi="Verdana"/>
          <w:i/>
          <w:iCs/>
        </w:rPr>
      </w:pPr>
      <w:r>
        <w:rPr>
          <w:rFonts w:ascii="Verdana" w:hAnsi="Verdana"/>
          <w:i/>
          <w:iCs/>
        </w:rPr>
        <w:t>“</w:t>
      </w:r>
      <w:r w:rsidRPr="00EC2670">
        <w:rPr>
          <w:rFonts w:ascii="Verdana" w:hAnsi="Verdana"/>
          <w:i/>
          <w:iCs/>
        </w:rPr>
        <w:t xml:space="preserve">¿Los contribuyentes del impuesto unificado bajo el régimen simple de tributación, </w:t>
      </w:r>
      <w:r w:rsidRPr="00EC2670">
        <w:rPr>
          <w:rStyle w:val="Cuerpodeltexto610ptoNegrita"/>
          <w:rFonts w:ascii="Verdana" w:hAnsi="Verdana"/>
          <w:sz w:val="24"/>
          <w:szCs w:val="24"/>
        </w:rPr>
        <w:t xml:space="preserve">que obtengan en un determinado bimestre ingresos </w:t>
      </w:r>
      <w:r w:rsidRPr="00EC2670">
        <w:rPr>
          <w:rStyle w:val="Cuerpodeltexto610ptoNegrita"/>
          <w:rFonts w:ascii="Verdana" w:hAnsi="Verdana"/>
          <w:sz w:val="24"/>
          <w:szCs w:val="24"/>
        </w:rPr>
        <w:lastRenderedPageBreak/>
        <w:t>pasivos que representan más del 20% de los ingresos brutos totales</w:t>
      </w:r>
      <w:r w:rsidRPr="00EC2670">
        <w:rPr>
          <w:rStyle w:val="Cuerpodeltexto610ptoNegrita"/>
          <w:rFonts w:ascii="Verdana" w:hAnsi="Verdana"/>
          <w:i w:val="0"/>
          <w:iCs w:val="0"/>
          <w:sz w:val="24"/>
          <w:szCs w:val="24"/>
        </w:rPr>
        <w:t xml:space="preserve"> </w:t>
      </w:r>
      <w:r w:rsidRPr="00EC2670">
        <w:rPr>
          <w:rFonts w:ascii="Verdana" w:hAnsi="Verdana"/>
          <w:i/>
          <w:iCs/>
        </w:rPr>
        <w:t>dejan de pertenecer a este modelo de tributación?"</w:t>
      </w:r>
      <w:r w:rsidRPr="00EC2670">
        <w:rPr>
          <w:rStyle w:val="Cuerpodeltexto695ptoSincursiva"/>
          <w:rFonts w:ascii="Verdana" w:hAnsi="Verdana"/>
          <w:i w:val="0"/>
          <w:iCs w:val="0"/>
          <w:sz w:val="24"/>
          <w:szCs w:val="24"/>
        </w:rPr>
        <w:t xml:space="preserve"> (resaltado fuera de texto).</w:t>
      </w:r>
    </w:p>
    <w:p w14:paraId="7FFBAB52" w14:textId="77777777" w:rsidR="00EC2670" w:rsidRDefault="00EC2670" w:rsidP="003708E1">
      <w:pPr>
        <w:pStyle w:val="Sinespaciado"/>
        <w:spacing w:line="360" w:lineRule="auto"/>
        <w:jc w:val="both"/>
        <w:rPr>
          <w:rFonts w:ascii="Verdana" w:hAnsi="Verdana"/>
        </w:rPr>
      </w:pPr>
    </w:p>
    <w:p w14:paraId="4A927942" w14:textId="724FF1C9" w:rsidR="00040629" w:rsidRPr="00EC2670" w:rsidRDefault="00EC2670" w:rsidP="003708E1">
      <w:pPr>
        <w:pStyle w:val="Sinespaciado"/>
        <w:spacing w:line="360" w:lineRule="auto"/>
        <w:jc w:val="both"/>
        <w:rPr>
          <w:rFonts w:ascii="Verdana" w:hAnsi="Verdana"/>
        </w:rPr>
      </w:pPr>
      <w:r w:rsidRPr="00EC2670">
        <w:rPr>
          <w:rFonts w:ascii="Verdana" w:hAnsi="Verdana"/>
        </w:rPr>
        <w:t>Sobre el particular, este Despacho considera:</w:t>
      </w:r>
    </w:p>
    <w:p w14:paraId="10D1C3E3" w14:textId="77777777" w:rsidR="00EC2670" w:rsidRDefault="00EC2670" w:rsidP="003708E1">
      <w:pPr>
        <w:pStyle w:val="Sinespaciado"/>
        <w:spacing w:line="360" w:lineRule="auto"/>
        <w:jc w:val="both"/>
        <w:rPr>
          <w:rFonts w:ascii="Verdana" w:hAnsi="Verdana"/>
        </w:rPr>
      </w:pPr>
    </w:p>
    <w:p w14:paraId="46FAB05C" w14:textId="77777777" w:rsidR="00EC2670" w:rsidRDefault="00EC2670" w:rsidP="003708E1">
      <w:pPr>
        <w:pStyle w:val="Sinespaciado"/>
        <w:spacing w:line="360" w:lineRule="auto"/>
        <w:jc w:val="both"/>
        <w:rPr>
          <w:rFonts w:ascii="Verdana" w:hAnsi="Verdana"/>
        </w:rPr>
      </w:pPr>
      <w:r w:rsidRPr="00EC2670">
        <w:rPr>
          <w:rFonts w:ascii="Verdana" w:hAnsi="Verdana"/>
        </w:rPr>
        <w:t xml:space="preserve">El artículo 906 del Estatuto Tributario contempla que, de acuerdo con el literal b) de su numeral 8, las personas naturales o jurídicas que se dediquen a </w:t>
      </w:r>
      <w:r w:rsidRPr="00EC2670">
        <w:rPr>
          <w:rStyle w:val="Cuerpodeltexto2105ptoCursiva"/>
          <w:rFonts w:ascii="Verdana" w:hAnsi="Verdana"/>
          <w:sz w:val="24"/>
          <w:szCs w:val="24"/>
        </w:rPr>
        <w:t xml:space="preserve">“actividades que generen ingresos pasivos </w:t>
      </w:r>
      <w:r w:rsidRPr="00EC2670">
        <w:rPr>
          <w:rStyle w:val="Cuerpodeltexto210ptoNegritaCursiva"/>
          <w:rFonts w:ascii="Verdana" w:hAnsi="Verdana"/>
          <w:sz w:val="24"/>
          <w:szCs w:val="24"/>
        </w:rPr>
        <w:t>que representen un 20% o más de los ingresos brutos totales</w:t>
      </w:r>
      <w:r w:rsidRPr="00EC2670">
        <w:rPr>
          <w:rStyle w:val="Cuerpodeltexto2105ptoCursiva"/>
          <w:rFonts w:ascii="Verdana" w:hAnsi="Verdana"/>
          <w:sz w:val="24"/>
          <w:szCs w:val="24"/>
        </w:rPr>
        <w:t xml:space="preserve">" </w:t>
      </w:r>
      <w:r w:rsidRPr="00EC2670">
        <w:rPr>
          <w:rFonts w:ascii="Verdana" w:hAnsi="Verdana"/>
        </w:rPr>
        <w:t>(resaltado fuera de texto), no podrán optar por el impuesto unificado bajo el régimen simple de tributación - SIMPLE.</w:t>
      </w:r>
    </w:p>
    <w:p w14:paraId="069D844F" w14:textId="77777777" w:rsidR="00EC2670" w:rsidRDefault="00EC2670" w:rsidP="003708E1">
      <w:pPr>
        <w:pStyle w:val="Sinespaciado"/>
        <w:spacing w:line="360" w:lineRule="auto"/>
        <w:ind w:left="708"/>
        <w:jc w:val="both"/>
        <w:rPr>
          <w:rFonts w:ascii="Verdana" w:hAnsi="Verdana"/>
        </w:rPr>
      </w:pPr>
    </w:p>
    <w:p w14:paraId="49939071" w14:textId="71B0C101" w:rsidR="00040629" w:rsidRPr="00EC2670" w:rsidRDefault="00EC2670" w:rsidP="003708E1">
      <w:pPr>
        <w:pStyle w:val="Sinespaciado"/>
        <w:spacing w:line="360" w:lineRule="auto"/>
        <w:jc w:val="both"/>
        <w:rPr>
          <w:rFonts w:ascii="Verdana" w:hAnsi="Verdana"/>
        </w:rPr>
      </w:pPr>
      <w:r w:rsidRPr="00EC2670">
        <w:rPr>
          <w:rFonts w:ascii="Verdana" w:hAnsi="Verdana"/>
        </w:rPr>
        <w:t xml:space="preserve">Ahora bien, es necesario tener en cuenta que, de conformidad con el artículo 904 </w:t>
      </w:r>
      <w:r w:rsidRPr="00EC2670">
        <w:rPr>
          <w:rStyle w:val="Cuerpodeltexto2105ptoCursiva"/>
          <w:rFonts w:ascii="Verdana" w:hAnsi="Verdana"/>
          <w:sz w:val="24"/>
          <w:szCs w:val="24"/>
        </w:rPr>
        <w:t xml:space="preserve">ibídem, </w:t>
      </w:r>
      <w:r w:rsidRPr="00EC2670">
        <w:rPr>
          <w:rFonts w:ascii="Verdana" w:hAnsi="Verdana"/>
        </w:rPr>
        <w:t xml:space="preserve">la base gravable del mencionado impuesto unificado </w:t>
      </w:r>
      <w:r w:rsidRPr="00EC2670">
        <w:rPr>
          <w:rStyle w:val="Cuerpodeltexto2105ptoCursiva"/>
          <w:rFonts w:ascii="Verdana" w:hAnsi="Verdana"/>
          <w:sz w:val="24"/>
          <w:szCs w:val="24"/>
        </w:rPr>
        <w:t xml:space="preserve">“está integrada por la totalidad de los ingresos brutos, ordinarios y extraordinarios, </w:t>
      </w:r>
      <w:r w:rsidRPr="00EC2670">
        <w:rPr>
          <w:rStyle w:val="Cuerpodeltexto2105ptoCursiva"/>
          <w:rFonts w:ascii="Verdana" w:hAnsi="Verdana"/>
          <w:b/>
          <w:bCs/>
          <w:sz w:val="24"/>
          <w:szCs w:val="24"/>
        </w:rPr>
        <w:t>percibidos en el respectivo periodo gravable</w:t>
      </w:r>
      <w:r>
        <w:rPr>
          <w:rStyle w:val="Cuerpodeltexto2105ptoCursiva"/>
          <w:rFonts w:ascii="Verdana" w:hAnsi="Verdana"/>
          <w:sz w:val="24"/>
          <w:szCs w:val="24"/>
        </w:rPr>
        <w:t>”</w:t>
      </w:r>
      <w:r w:rsidRPr="00EC2670">
        <w:rPr>
          <w:rFonts w:ascii="Verdana" w:hAnsi="Verdana"/>
        </w:rPr>
        <w:t xml:space="preserve"> (resaltado fuera de texto); el cual, acorde con el artículo 1.5.8.1.8 del Decreto 1625 de 2016, es el mismo año calendario (1° de enero a 31 de diciembre).</w:t>
      </w:r>
    </w:p>
    <w:p w14:paraId="22E06E4A" w14:textId="77777777" w:rsidR="00EC2670" w:rsidRDefault="00EC2670" w:rsidP="003708E1">
      <w:pPr>
        <w:pStyle w:val="Sinespaciado"/>
        <w:spacing w:line="360" w:lineRule="auto"/>
        <w:jc w:val="both"/>
        <w:rPr>
          <w:rFonts w:ascii="Verdana" w:hAnsi="Verdana"/>
        </w:rPr>
      </w:pPr>
    </w:p>
    <w:p w14:paraId="3D192661" w14:textId="24E93D46" w:rsidR="00040629" w:rsidRPr="00EC2670" w:rsidRDefault="00EC2670" w:rsidP="003708E1">
      <w:pPr>
        <w:pStyle w:val="Sinespaciado"/>
        <w:spacing w:line="360" w:lineRule="auto"/>
        <w:jc w:val="both"/>
        <w:rPr>
          <w:rFonts w:ascii="Verdana" w:hAnsi="Verdana"/>
        </w:rPr>
      </w:pPr>
      <w:r w:rsidRPr="00EC2670">
        <w:rPr>
          <w:rFonts w:ascii="Verdana" w:hAnsi="Verdana"/>
        </w:rPr>
        <w:t>Por su parte, los bimestres a los que se hace referencia en los artículos 908 y 910 del Estatuto Tributario y 1.5.8.3.7 del Decreto 1625 de 2016, entre otras disposiciones, corresponden a los periodos definidos para el pago de los anticipos del impuesto unificado a través de los correspondientes recibos electrónicos.</w:t>
      </w:r>
    </w:p>
    <w:p w14:paraId="2143EE4B" w14:textId="77777777" w:rsidR="00EC2670" w:rsidRDefault="00EC2670" w:rsidP="003708E1">
      <w:pPr>
        <w:pStyle w:val="Sinespaciado"/>
        <w:spacing w:line="360" w:lineRule="auto"/>
        <w:jc w:val="both"/>
        <w:rPr>
          <w:rFonts w:ascii="Verdana" w:hAnsi="Verdana"/>
        </w:rPr>
      </w:pPr>
    </w:p>
    <w:p w14:paraId="08E21D3A" w14:textId="16F3C7C7" w:rsidR="00040629" w:rsidRPr="00EC2670" w:rsidRDefault="00EC2670" w:rsidP="003708E1">
      <w:pPr>
        <w:pStyle w:val="Sinespaciado"/>
        <w:spacing w:line="360" w:lineRule="auto"/>
        <w:jc w:val="both"/>
        <w:rPr>
          <w:rFonts w:ascii="Verdana" w:hAnsi="Verdana"/>
        </w:rPr>
      </w:pPr>
      <w:r w:rsidRPr="00EC2670">
        <w:rPr>
          <w:rFonts w:ascii="Verdana" w:hAnsi="Verdana"/>
        </w:rPr>
        <w:t xml:space="preserve">Por lo tanto, la verificación de la proporción que ocupan los ingresos pasivos respecto de la totalidad de los ingresos brutos y, por ende, la determinación sobre la permanencia en el régimen simple de tributación - SIMPLE, se debe </w:t>
      </w:r>
      <w:r w:rsidRPr="00EC2670">
        <w:rPr>
          <w:rFonts w:ascii="Verdana" w:hAnsi="Verdana"/>
        </w:rPr>
        <w:lastRenderedPageBreak/>
        <w:t>realizar tomando en consideración el periodo gravable de manera íntegra, esto es, el año calendario completo.</w:t>
      </w:r>
    </w:p>
    <w:p w14:paraId="598EE178" w14:textId="77777777" w:rsidR="00EC2670" w:rsidRDefault="00EC2670" w:rsidP="003708E1">
      <w:pPr>
        <w:pStyle w:val="Sinespaciado"/>
        <w:spacing w:line="360" w:lineRule="auto"/>
        <w:jc w:val="both"/>
        <w:rPr>
          <w:rFonts w:ascii="Verdana" w:hAnsi="Verdana"/>
        </w:rPr>
      </w:pPr>
    </w:p>
    <w:p w14:paraId="6587E035" w14:textId="46197449" w:rsidR="00040629" w:rsidRPr="00EC2670" w:rsidRDefault="00EC2670" w:rsidP="003708E1">
      <w:pPr>
        <w:pStyle w:val="Sinespaciado"/>
        <w:spacing w:line="360" w:lineRule="auto"/>
        <w:jc w:val="both"/>
        <w:rPr>
          <w:rFonts w:ascii="Verdana" w:hAnsi="Verdana"/>
        </w:rPr>
      </w:pPr>
      <w:r w:rsidRPr="00EC2670">
        <w:rPr>
          <w:rFonts w:ascii="Verdana" w:hAnsi="Verdana"/>
        </w:rPr>
        <w:t>Para mayor ilustración se propone el siguiente ejemplo:</w:t>
      </w:r>
    </w:p>
    <w:p w14:paraId="385C79EA" w14:textId="77777777" w:rsidR="00EC2670" w:rsidRDefault="00EC2670" w:rsidP="003708E1">
      <w:pPr>
        <w:pStyle w:val="Sinespaciado"/>
        <w:spacing w:line="360" w:lineRule="auto"/>
        <w:jc w:val="both"/>
        <w:rPr>
          <w:rFonts w:ascii="Verdana" w:hAnsi="Verdana"/>
        </w:rPr>
      </w:pPr>
    </w:p>
    <w:p w14:paraId="28B13C8E" w14:textId="596CA756" w:rsidR="00040629" w:rsidRPr="00EC2670" w:rsidRDefault="00EC2670" w:rsidP="003708E1">
      <w:pPr>
        <w:pStyle w:val="Sinespaciado"/>
        <w:spacing w:line="360" w:lineRule="auto"/>
        <w:jc w:val="both"/>
        <w:rPr>
          <w:rFonts w:ascii="Verdana" w:hAnsi="Verdana"/>
        </w:rPr>
      </w:pPr>
      <w:r w:rsidRPr="00EC2670">
        <w:rPr>
          <w:rFonts w:ascii="Verdana" w:hAnsi="Verdana"/>
        </w:rPr>
        <w:t>Un contribuyente optó por el régimen simple de tributación - SIMPLE en el año gravable 2020, asumamos que lo realizó de manera oportuna y cumpliendo todas las condiciones para ello. Al cabo del tercer bimestre había obtenido ingresos pasivos que representaban el 50% de los ingresos brutos obtenidos hasta ese momento.</w:t>
      </w:r>
    </w:p>
    <w:p w14:paraId="655B3857" w14:textId="77777777" w:rsidR="00EC2670" w:rsidRDefault="00EC2670" w:rsidP="003708E1">
      <w:pPr>
        <w:pStyle w:val="Sinespaciado"/>
        <w:spacing w:line="360" w:lineRule="auto"/>
        <w:jc w:val="both"/>
        <w:rPr>
          <w:rFonts w:ascii="Verdana" w:hAnsi="Verdana"/>
        </w:rPr>
      </w:pPr>
    </w:p>
    <w:p w14:paraId="326CCB42" w14:textId="4EBDE085" w:rsidR="00040629" w:rsidRPr="00EC2670" w:rsidRDefault="00EC2670" w:rsidP="003708E1">
      <w:pPr>
        <w:pStyle w:val="Sinespaciado"/>
        <w:spacing w:line="360" w:lineRule="auto"/>
        <w:jc w:val="both"/>
        <w:rPr>
          <w:rFonts w:ascii="Verdana" w:hAnsi="Verdana"/>
        </w:rPr>
      </w:pPr>
      <w:r w:rsidRPr="003466CA">
        <w:rPr>
          <w:rFonts w:ascii="Verdana" w:hAnsi="Verdana"/>
          <w:highlight w:val="yellow"/>
        </w:rPr>
        <w:t>Ya que el periodo gravable aún no ha finalizado, esta circunstancia no constituye causal que impida permanecer en el mencionado régimen de tributación; de modo que será hasta la finalización del año 2020 que se deberá examinar y comprobar el límite de que trata el literal b) del numeral 8 del artículo 906 del Estatuto Tributario.</w:t>
      </w:r>
    </w:p>
    <w:p w14:paraId="004DF4AB" w14:textId="77777777" w:rsidR="00EC2670" w:rsidRDefault="00EC2670" w:rsidP="003708E1">
      <w:pPr>
        <w:pStyle w:val="Sinespaciado"/>
        <w:spacing w:line="360" w:lineRule="auto"/>
        <w:jc w:val="both"/>
        <w:rPr>
          <w:rFonts w:ascii="Verdana" w:hAnsi="Verdana"/>
        </w:rPr>
      </w:pPr>
    </w:p>
    <w:p w14:paraId="12BE7B3F" w14:textId="778D3C44" w:rsidR="00040629" w:rsidRPr="00EC2670" w:rsidRDefault="00EC2670" w:rsidP="003708E1">
      <w:pPr>
        <w:pStyle w:val="Sinespaciado"/>
        <w:spacing w:line="360" w:lineRule="auto"/>
        <w:jc w:val="both"/>
        <w:rPr>
          <w:rFonts w:ascii="Verdana" w:hAnsi="Verdana"/>
        </w:rPr>
      </w:pPr>
      <w:r w:rsidRPr="003466CA">
        <w:rPr>
          <w:rFonts w:ascii="Verdana" w:hAnsi="Verdana"/>
          <w:highlight w:val="yellow"/>
        </w:rPr>
        <w:t xml:space="preserve">De encontrarse que a 31 de diciembre el porcentaje de los ingresos pasivos fue igual o superior al 20% de los ingresos brutos totales, se estaría en presencia del incumplimiento de un requisito </w:t>
      </w:r>
      <w:r w:rsidRPr="003466CA">
        <w:rPr>
          <w:rFonts w:ascii="Verdana" w:hAnsi="Verdana"/>
          <w:highlight w:val="yellow"/>
          <w:u w:val="single"/>
        </w:rPr>
        <w:t>no</w:t>
      </w:r>
      <w:r w:rsidRPr="003466CA">
        <w:rPr>
          <w:rFonts w:ascii="Verdana" w:hAnsi="Verdana"/>
          <w:highlight w:val="yellow"/>
        </w:rPr>
        <w:t xml:space="preserve"> subsanable, tal y como lo dispone el artículo 1.5.8.4.1 del Decreto 1625 de 2016; situación que genera, entre otras, las siguientes implicaciones:</w:t>
      </w:r>
    </w:p>
    <w:p w14:paraId="7DA0C6ED" w14:textId="77777777" w:rsidR="00EC2670" w:rsidRDefault="00EC2670" w:rsidP="003708E1">
      <w:pPr>
        <w:pStyle w:val="Sinespaciado"/>
        <w:spacing w:line="360" w:lineRule="auto"/>
        <w:jc w:val="both"/>
        <w:rPr>
          <w:rFonts w:ascii="Verdana" w:hAnsi="Verdana"/>
        </w:rPr>
      </w:pPr>
    </w:p>
    <w:p w14:paraId="11A3B8BF" w14:textId="77777777" w:rsidR="00EC2670" w:rsidRDefault="00EC2670" w:rsidP="003708E1">
      <w:pPr>
        <w:pStyle w:val="Sinespaciado"/>
        <w:numPr>
          <w:ilvl w:val="0"/>
          <w:numId w:val="2"/>
        </w:numPr>
        <w:spacing w:line="360" w:lineRule="auto"/>
        <w:jc w:val="both"/>
        <w:rPr>
          <w:rFonts w:ascii="Verdana" w:hAnsi="Verdana"/>
        </w:rPr>
      </w:pPr>
      <w:r w:rsidRPr="00EC2670">
        <w:rPr>
          <w:rFonts w:ascii="Verdana" w:hAnsi="Verdana"/>
        </w:rPr>
        <w:t xml:space="preserve">El contribuyente debe solicitar la actualización en el RUT de </w:t>
      </w:r>
      <w:r w:rsidRPr="00EC2670">
        <w:rPr>
          <w:rStyle w:val="Cuerpodeltexto2105ptoCursiva"/>
          <w:rFonts w:ascii="Verdana" w:hAnsi="Verdana"/>
          <w:sz w:val="24"/>
          <w:szCs w:val="24"/>
        </w:rPr>
        <w:t>“la responsabilidad en el impuesto sobre la renta y complementarios y la exclusión del SIMPLE</w:t>
      </w:r>
      <w:r>
        <w:rPr>
          <w:rStyle w:val="Cuerpodeltexto2105ptoCursiva"/>
          <w:rFonts w:ascii="Verdana" w:hAnsi="Verdana"/>
          <w:sz w:val="24"/>
          <w:szCs w:val="24"/>
        </w:rPr>
        <w:t>”</w:t>
      </w:r>
      <w:r w:rsidRPr="00EC2670">
        <w:rPr>
          <w:rStyle w:val="Cuerpodeltexto2105ptoCursiva"/>
          <w:rFonts w:ascii="Verdana" w:hAnsi="Verdana"/>
          <w:sz w:val="24"/>
          <w:szCs w:val="24"/>
        </w:rPr>
        <w:t>,</w:t>
      </w:r>
      <w:r w:rsidRPr="00EC2670">
        <w:rPr>
          <w:rFonts w:ascii="Verdana" w:hAnsi="Verdana"/>
        </w:rPr>
        <w:t xml:space="preserve"> en los términos del numeral 3 del artículo 658-3 del Estatuto Tributario y del parágrafo 3° del artículo 1.6.1.2.10 del Decreto 1625 de 2016 (cfr. artículo 1.5.8.4.4 </w:t>
      </w:r>
      <w:r w:rsidRPr="00EC2670">
        <w:rPr>
          <w:rStyle w:val="Cuerpodeltexto2105ptoCursiva"/>
          <w:rFonts w:ascii="Verdana" w:hAnsi="Verdana"/>
          <w:sz w:val="24"/>
          <w:szCs w:val="24"/>
        </w:rPr>
        <w:t>ibídem).</w:t>
      </w:r>
      <w:r w:rsidRPr="00EC2670">
        <w:rPr>
          <w:rFonts w:ascii="Verdana" w:hAnsi="Verdana"/>
        </w:rPr>
        <w:t xml:space="preserve"> Sin perjuicio </w:t>
      </w:r>
      <w:r w:rsidRPr="00EC2670">
        <w:rPr>
          <w:rFonts w:ascii="Verdana" w:hAnsi="Verdana"/>
        </w:rPr>
        <w:lastRenderedPageBreak/>
        <w:t xml:space="preserve">de lo anterior, de oficio la DIAN también podrá actualizar en el RUT del contribuyente </w:t>
      </w:r>
      <w:r w:rsidRPr="00EC2670">
        <w:rPr>
          <w:rStyle w:val="Cuerpodeltexto2105ptoCursiva"/>
          <w:rFonts w:ascii="Verdana" w:hAnsi="Verdana"/>
          <w:sz w:val="24"/>
          <w:szCs w:val="24"/>
        </w:rPr>
        <w:t>“la responsabilidad del impuesto sobre la renta y complementarios y demás responsabilidades que le correspondan y excluirá la responsabilidad del SIMPLE</w:t>
      </w:r>
      <w:r>
        <w:rPr>
          <w:rStyle w:val="Cuerpodeltexto2105ptoCursiva"/>
          <w:rFonts w:ascii="Verdana" w:hAnsi="Verdana"/>
          <w:sz w:val="24"/>
          <w:szCs w:val="24"/>
        </w:rPr>
        <w:t>”</w:t>
      </w:r>
      <w:r w:rsidRPr="00EC2670">
        <w:rPr>
          <w:rFonts w:ascii="Verdana" w:hAnsi="Verdana"/>
        </w:rPr>
        <w:t xml:space="preserve"> (cfr. artículo 1.5.8.4.5 </w:t>
      </w:r>
      <w:r w:rsidRPr="00EC2670">
        <w:rPr>
          <w:rStyle w:val="Cuerpodeltexto2105ptoCursiva"/>
          <w:rFonts w:ascii="Verdana" w:hAnsi="Verdana"/>
          <w:sz w:val="24"/>
          <w:szCs w:val="24"/>
        </w:rPr>
        <w:t>ibídem).</w:t>
      </w:r>
    </w:p>
    <w:p w14:paraId="1D02237A" w14:textId="77777777" w:rsidR="00EC2670" w:rsidRDefault="00EC2670" w:rsidP="003708E1">
      <w:pPr>
        <w:pStyle w:val="Sinespaciado"/>
        <w:spacing w:line="360" w:lineRule="auto"/>
        <w:ind w:left="1080"/>
        <w:jc w:val="both"/>
        <w:rPr>
          <w:rFonts w:ascii="Verdana" w:hAnsi="Verdana"/>
        </w:rPr>
      </w:pPr>
    </w:p>
    <w:p w14:paraId="4A68C87A" w14:textId="77777777" w:rsidR="00EC2670" w:rsidRPr="003466CA" w:rsidRDefault="00EC2670" w:rsidP="003708E1">
      <w:pPr>
        <w:pStyle w:val="Sinespaciado"/>
        <w:numPr>
          <w:ilvl w:val="0"/>
          <w:numId w:val="2"/>
        </w:numPr>
        <w:spacing w:line="360" w:lineRule="auto"/>
        <w:jc w:val="both"/>
        <w:rPr>
          <w:rFonts w:ascii="Verdana" w:hAnsi="Verdana"/>
          <w:highlight w:val="yellow"/>
        </w:rPr>
      </w:pPr>
      <w:r w:rsidRPr="003466CA">
        <w:rPr>
          <w:rFonts w:ascii="Verdana" w:hAnsi="Verdana"/>
          <w:highlight w:val="yellow"/>
        </w:rPr>
        <w:t xml:space="preserve">Los pagos realizados por el contribuyente excluido del SIMPLE por concepto del impuesto SIMPLE, impuestos del orden nacional integrados al SIMPLE e IVA, mediante los respectivos recibos electrónicos o en la declaración del SIMPLE, </w:t>
      </w:r>
      <w:r w:rsidRPr="003466CA">
        <w:rPr>
          <w:rStyle w:val="Cuerpodeltexto6"/>
          <w:rFonts w:ascii="Verdana" w:hAnsi="Verdana"/>
          <w:sz w:val="24"/>
          <w:szCs w:val="24"/>
          <w:highlight w:val="yellow"/>
        </w:rPr>
        <w:t>“se podrán acreditar, según el caso, en las respectivas declaraciones del impuesto sobre la renta y complementarios, impuesto nacional al consumo por expendio de comidas y bebidas y del Impuesto sobre las Ventas (IVA) que se relacionen con el periodo o los periodos gravables objeto de declaración”</w:t>
      </w:r>
      <w:r w:rsidRPr="003466CA">
        <w:rPr>
          <w:rStyle w:val="Cuerpodeltexto695ptoSincursiva"/>
          <w:rFonts w:ascii="Verdana" w:hAnsi="Verdana"/>
          <w:sz w:val="24"/>
          <w:szCs w:val="24"/>
          <w:highlight w:val="yellow"/>
        </w:rPr>
        <w:t xml:space="preserve"> </w:t>
      </w:r>
      <w:r w:rsidRPr="003466CA">
        <w:rPr>
          <w:rStyle w:val="Cuerpodeltexto695ptoSincursiva"/>
          <w:rFonts w:ascii="Verdana" w:hAnsi="Verdana"/>
          <w:i w:val="0"/>
          <w:iCs w:val="0"/>
          <w:sz w:val="24"/>
          <w:szCs w:val="24"/>
          <w:highlight w:val="yellow"/>
        </w:rPr>
        <w:t>(cfr. artículo 1.5.8.2.4</w:t>
      </w:r>
      <w:r w:rsidRPr="003466CA">
        <w:rPr>
          <w:rStyle w:val="Cuerpodeltexto695ptoSincursiva"/>
          <w:rFonts w:ascii="Verdana" w:hAnsi="Verdana"/>
          <w:sz w:val="24"/>
          <w:szCs w:val="24"/>
          <w:highlight w:val="yellow"/>
        </w:rPr>
        <w:t xml:space="preserve"> </w:t>
      </w:r>
      <w:r w:rsidRPr="003466CA">
        <w:rPr>
          <w:rStyle w:val="Cuerpodeltexto6"/>
          <w:rFonts w:ascii="Verdana" w:hAnsi="Verdana"/>
          <w:sz w:val="24"/>
          <w:szCs w:val="24"/>
          <w:highlight w:val="yellow"/>
        </w:rPr>
        <w:t>ibídem</w:t>
      </w:r>
      <w:r w:rsidRPr="003466CA">
        <w:rPr>
          <w:rStyle w:val="Cuerpodeltexto6"/>
          <w:rFonts w:ascii="Verdana" w:hAnsi="Verdana"/>
          <w:i w:val="0"/>
          <w:iCs w:val="0"/>
          <w:sz w:val="24"/>
          <w:szCs w:val="24"/>
          <w:highlight w:val="yellow"/>
        </w:rPr>
        <w:t>).</w:t>
      </w:r>
    </w:p>
    <w:p w14:paraId="30DFD88C" w14:textId="77777777" w:rsidR="00EC2670" w:rsidRDefault="00EC2670" w:rsidP="003708E1">
      <w:pPr>
        <w:pStyle w:val="Prrafodelista"/>
        <w:spacing w:line="360" w:lineRule="auto"/>
        <w:rPr>
          <w:rFonts w:ascii="Verdana" w:hAnsi="Verdana"/>
        </w:rPr>
      </w:pPr>
    </w:p>
    <w:p w14:paraId="0248D966" w14:textId="77777777" w:rsidR="00EC2670" w:rsidRPr="003466CA" w:rsidRDefault="00EC2670" w:rsidP="003708E1">
      <w:pPr>
        <w:pStyle w:val="Sinespaciado"/>
        <w:numPr>
          <w:ilvl w:val="0"/>
          <w:numId w:val="2"/>
        </w:numPr>
        <w:spacing w:line="360" w:lineRule="auto"/>
        <w:jc w:val="both"/>
        <w:rPr>
          <w:rFonts w:ascii="Verdana" w:hAnsi="Verdana"/>
          <w:highlight w:val="yellow"/>
        </w:rPr>
      </w:pPr>
      <w:r w:rsidRPr="003466CA">
        <w:rPr>
          <w:rFonts w:ascii="Verdana" w:hAnsi="Verdana"/>
          <w:highlight w:val="yellow"/>
        </w:rPr>
        <w:t xml:space="preserve">La declaración anual consolidada del SIMPLE y la declaración anual del IVA, de que tratan los artículos 910 y 915 del Estatuto Tributario, presentadas por el contribuyente excluido del SIMPLE, desde el período gravable del incumplimiento de condiciones y requisitos no subsanables para pertenecer al SIMPLE y hasta la actualización del RUT y exclusión del SIMPLE, no producirán efecto legal alguno sin necesidad de acto administrativo que así lo declare (cfr. artículo 1.5.8.2.5 </w:t>
      </w:r>
      <w:r w:rsidRPr="003466CA">
        <w:rPr>
          <w:rStyle w:val="Cuerpodeltexto2105ptoCursiva"/>
          <w:rFonts w:ascii="Verdana" w:hAnsi="Verdana"/>
          <w:sz w:val="24"/>
          <w:szCs w:val="24"/>
          <w:highlight w:val="yellow"/>
        </w:rPr>
        <w:t>ibídem).</w:t>
      </w:r>
    </w:p>
    <w:p w14:paraId="3FC8BDF9" w14:textId="77777777" w:rsidR="00EC2670" w:rsidRDefault="00EC2670" w:rsidP="003708E1">
      <w:pPr>
        <w:pStyle w:val="Prrafodelista"/>
        <w:spacing w:line="360" w:lineRule="auto"/>
        <w:rPr>
          <w:rFonts w:ascii="Verdana" w:hAnsi="Verdana"/>
        </w:rPr>
      </w:pPr>
    </w:p>
    <w:p w14:paraId="217EA194" w14:textId="5CF01B01" w:rsidR="00040629" w:rsidRPr="00EC2670" w:rsidRDefault="00EC2670" w:rsidP="003708E1">
      <w:pPr>
        <w:pStyle w:val="Sinespaciado"/>
        <w:numPr>
          <w:ilvl w:val="0"/>
          <w:numId w:val="2"/>
        </w:numPr>
        <w:spacing w:line="360" w:lineRule="auto"/>
        <w:jc w:val="both"/>
        <w:rPr>
          <w:rFonts w:ascii="Verdana" w:hAnsi="Verdana"/>
        </w:rPr>
      </w:pPr>
      <w:r w:rsidRPr="00EC2670">
        <w:rPr>
          <w:rFonts w:ascii="Verdana" w:hAnsi="Verdana"/>
        </w:rPr>
        <w:t xml:space="preserve">Frente a las obligaciones tributarias por periodos gravables concluidos al momento de la exclusión del SIMPLE, se deberá atender lo señalado en el artículo 1.5.8.2.3 </w:t>
      </w:r>
      <w:r w:rsidRPr="00EC2670">
        <w:rPr>
          <w:rStyle w:val="Cuerpodeltexto2105ptoCursiva"/>
          <w:rFonts w:ascii="Verdana" w:hAnsi="Verdana"/>
          <w:sz w:val="24"/>
          <w:szCs w:val="24"/>
        </w:rPr>
        <w:t>ibídem.</w:t>
      </w:r>
    </w:p>
    <w:p w14:paraId="3BE09A32" w14:textId="77777777" w:rsidR="00EC2670" w:rsidRDefault="00EC2670" w:rsidP="003708E1">
      <w:pPr>
        <w:pStyle w:val="Sinespaciado"/>
        <w:spacing w:line="360" w:lineRule="auto"/>
        <w:jc w:val="both"/>
        <w:rPr>
          <w:rFonts w:ascii="Verdana" w:hAnsi="Verdana"/>
        </w:rPr>
      </w:pPr>
    </w:p>
    <w:p w14:paraId="37BE06EA" w14:textId="77777777" w:rsidR="00EC2670" w:rsidRDefault="00EC2670" w:rsidP="003708E1">
      <w:pPr>
        <w:pStyle w:val="Sinespaciado"/>
        <w:spacing w:line="360" w:lineRule="auto"/>
        <w:jc w:val="both"/>
        <w:rPr>
          <w:rFonts w:ascii="Verdana" w:hAnsi="Verdana"/>
        </w:rPr>
      </w:pPr>
    </w:p>
    <w:p w14:paraId="1D06DBA4" w14:textId="77777777" w:rsidR="00EC2670" w:rsidRDefault="00EC2670" w:rsidP="003708E1">
      <w:pPr>
        <w:pStyle w:val="Sinespaciado"/>
        <w:spacing w:line="360" w:lineRule="auto"/>
        <w:jc w:val="both"/>
        <w:rPr>
          <w:rFonts w:ascii="Verdana" w:hAnsi="Verdana"/>
        </w:rPr>
      </w:pPr>
    </w:p>
    <w:p w14:paraId="11BE0528" w14:textId="101BFEB3" w:rsidR="00040629" w:rsidRPr="00EC2670" w:rsidRDefault="00EC2670" w:rsidP="003708E1">
      <w:pPr>
        <w:pStyle w:val="Sinespaciado"/>
        <w:spacing w:line="360" w:lineRule="auto"/>
        <w:jc w:val="both"/>
        <w:rPr>
          <w:rFonts w:ascii="Verdana" w:hAnsi="Verdana"/>
        </w:rPr>
      </w:pPr>
      <w:r w:rsidRPr="00EC2670">
        <w:rPr>
          <w:rFonts w:ascii="Verdana" w:hAnsi="Verdana"/>
        </w:rPr>
        <w:t>Atentamente,</w:t>
      </w:r>
    </w:p>
    <w:p w14:paraId="32B31B8D" w14:textId="77777777" w:rsidR="00EC2670" w:rsidRDefault="00EC2670" w:rsidP="003708E1">
      <w:pPr>
        <w:pStyle w:val="Sinespaciado"/>
        <w:spacing w:line="360" w:lineRule="auto"/>
        <w:jc w:val="both"/>
        <w:rPr>
          <w:rFonts w:ascii="Verdana" w:hAnsi="Verdana"/>
        </w:rPr>
      </w:pPr>
      <w:bookmarkStart w:id="0" w:name="bookmark0"/>
    </w:p>
    <w:p w14:paraId="2AB0DE33" w14:textId="6B9E4B13" w:rsidR="00040629" w:rsidRPr="00EC2670" w:rsidRDefault="00EC2670" w:rsidP="003708E1">
      <w:pPr>
        <w:pStyle w:val="Sinespaciado"/>
        <w:spacing w:line="360" w:lineRule="auto"/>
        <w:jc w:val="both"/>
        <w:rPr>
          <w:rFonts w:ascii="Verdana" w:hAnsi="Verdana"/>
          <w:b/>
          <w:bCs/>
        </w:rPr>
      </w:pPr>
      <w:r w:rsidRPr="00EC2670">
        <w:rPr>
          <w:rFonts w:ascii="Verdana" w:hAnsi="Verdana"/>
          <w:b/>
          <w:bCs/>
        </w:rPr>
        <w:t>PABLO EMILIO MENDOZA VELILLA</w:t>
      </w:r>
      <w:bookmarkEnd w:id="0"/>
    </w:p>
    <w:p w14:paraId="5E4909FD" w14:textId="77777777" w:rsidR="00040629" w:rsidRPr="00EC2670" w:rsidRDefault="00EC2670" w:rsidP="003708E1">
      <w:pPr>
        <w:pStyle w:val="Sinespaciado"/>
        <w:spacing w:line="360" w:lineRule="auto"/>
        <w:jc w:val="both"/>
        <w:rPr>
          <w:rFonts w:ascii="Verdana" w:hAnsi="Verdana"/>
        </w:rPr>
      </w:pPr>
      <w:r w:rsidRPr="00EC2670">
        <w:rPr>
          <w:rFonts w:ascii="Verdana" w:hAnsi="Verdana"/>
        </w:rPr>
        <w:t>Subdirector de Gestión Normativa y Doctrina</w:t>
      </w:r>
    </w:p>
    <w:p w14:paraId="33112958" w14:textId="77777777" w:rsidR="00040629" w:rsidRPr="00EC2670" w:rsidRDefault="00EC2670" w:rsidP="003708E1">
      <w:pPr>
        <w:pStyle w:val="Sinespaciado"/>
        <w:spacing w:line="360" w:lineRule="auto"/>
        <w:jc w:val="both"/>
        <w:rPr>
          <w:rFonts w:ascii="Verdana" w:hAnsi="Verdana"/>
        </w:rPr>
      </w:pPr>
      <w:r w:rsidRPr="00EC2670">
        <w:rPr>
          <w:rFonts w:ascii="Verdana" w:hAnsi="Verdana"/>
        </w:rPr>
        <w:t>Dirección de Gestión Jurídica</w:t>
      </w:r>
    </w:p>
    <w:p w14:paraId="346BE72B" w14:textId="77777777" w:rsidR="00040629" w:rsidRPr="00EC2670" w:rsidRDefault="00EC2670" w:rsidP="003708E1">
      <w:pPr>
        <w:pStyle w:val="Sinespaciado"/>
        <w:spacing w:line="360" w:lineRule="auto"/>
        <w:jc w:val="both"/>
        <w:rPr>
          <w:rFonts w:ascii="Verdana" w:hAnsi="Verdana"/>
        </w:rPr>
      </w:pPr>
      <w:r w:rsidRPr="00EC2670">
        <w:rPr>
          <w:rFonts w:ascii="Verdana" w:hAnsi="Verdana"/>
        </w:rPr>
        <w:t>UAE-DIAN</w:t>
      </w:r>
    </w:p>
    <w:p w14:paraId="2A901A10" w14:textId="77777777" w:rsidR="00040629" w:rsidRPr="00EC2670" w:rsidRDefault="00EC2670" w:rsidP="003708E1">
      <w:pPr>
        <w:pStyle w:val="Sinespaciado"/>
        <w:spacing w:line="360" w:lineRule="auto"/>
        <w:jc w:val="both"/>
        <w:rPr>
          <w:rFonts w:ascii="Verdana" w:hAnsi="Verdana"/>
        </w:rPr>
      </w:pPr>
      <w:r w:rsidRPr="00EC2670">
        <w:rPr>
          <w:rFonts w:ascii="Verdana" w:hAnsi="Verdana"/>
        </w:rPr>
        <w:t>Car. 8 N° 6C-38 Piso 4, Edificio San Agustín.</w:t>
      </w:r>
    </w:p>
    <w:p w14:paraId="7544AF8D" w14:textId="77777777" w:rsidR="00040629" w:rsidRPr="00EC2670" w:rsidRDefault="00EC2670" w:rsidP="003708E1">
      <w:pPr>
        <w:pStyle w:val="Sinespaciado"/>
        <w:spacing w:line="360" w:lineRule="auto"/>
        <w:jc w:val="both"/>
        <w:rPr>
          <w:rFonts w:ascii="Verdana" w:hAnsi="Verdana"/>
        </w:rPr>
      </w:pPr>
      <w:r w:rsidRPr="00EC2670">
        <w:rPr>
          <w:rFonts w:ascii="Verdana" w:hAnsi="Verdana"/>
        </w:rPr>
        <w:t>Bogotá D.C.</w:t>
      </w:r>
    </w:p>
    <w:sectPr w:rsidR="00040629" w:rsidRPr="00EC2670" w:rsidSect="00EC2670">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2905" w14:textId="77777777" w:rsidR="00790B7D" w:rsidRDefault="00790B7D">
      <w:r>
        <w:separator/>
      </w:r>
    </w:p>
  </w:endnote>
  <w:endnote w:type="continuationSeparator" w:id="0">
    <w:p w14:paraId="204A4B43" w14:textId="77777777" w:rsidR="00790B7D" w:rsidRDefault="0079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CB47" w14:textId="77777777" w:rsidR="00790B7D" w:rsidRDefault="00790B7D"/>
  </w:footnote>
  <w:footnote w:type="continuationSeparator" w:id="0">
    <w:p w14:paraId="79365CD1" w14:textId="77777777" w:rsidR="00790B7D" w:rsidRDefault="00790B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4009"/>
    <w:multiLevelType w:val="multilevel"/>
    <w:tmpl w:val="98D80AE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A7179A"/>
    <w:multiLevelType w:val="hybridMultilevel"/>
    <w:tmpl w:val="E208FD24"/>
    <w:lvl w:ilvl="0" w:tplc="1D8289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29"/>
    <w:rsid w:val="00040629"/>
    <w:rsid w:val="003466CA"/>
    <w:rsid w:val="003708E1"/>
    <w:rsid w:val="00790B7D"/>
    <w:rsid w:val="0086097D"/>
    <w:rsid w:val="00BC6F79"/>
    <w:rsid w:val="00D54C86"/>
    <w:rsid w:val="00EC26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29A1"/>
  <w15:docId w15:val="{0797FE59-7243-4EFF-834F-04DCB333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6">
    <w:name w:val="Cuerpo del texto (6)_"/>
    <w:basedOn w:val="Fuentedeprrafopredeter"/>
    <w:link w:val="Cuerpodeltexto60"/>
    <w:rPr>
      <w:rFonts w:ascii="Arial" w:eastAsia="Arial" w:hAnsi="Arial" w:cs="Arial"/>
      <w:b w:val="0"/>
      <w:bCs w:val="0"/>
      <w:i/>
      <w:iCs/>
      <w:smallCaps w:val="0"/>
      <w:strike w:val="0"/>
      <w:sz w:val="21"/>
      <w:szCs w:val="21"/>
      <w:u w:val="none"/>
    </w:rPr>
  </w:style>
  <w:style w:type="character" w:customStyle="1" w:styleId="Cuerpodeltexto610ptoNegrita">
    <w:name w:val="Cuerpo del texto (6) + 10 pto;Negrita"/>
    <w:basedOn w:val="Cuerpodeltexto6"/>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695ptoSincursiva">
    <w:name w:val="Cuerpo del texto (6) + 9;5 pto;Sin cursiva"/>
    <w:basedOn w:val="Cuerpodeltexto6"/>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2105ptoCursiva">
    <w:name w:val="Cuerpo del texto (2) + 10;5 pto;Cursiva"/>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210ptoNegritaCursiva">
    <w:name w:val="Cuerpo del texto (2) + 10 pto;Negrita;Cursiva"/>
    <w:basedOn w:val="Cuerpodeltexto2"/>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22">
    <w:name w:val="Cuerpo del texto (22)_"/>
    <w:basedOn w:val="Fuentedeprrafopredeter"/>
    <w:link w:val="Cuerpodeltexto220"/>
    <w:rPr>
      <w:rFonts w:ascii="Candara" w:eastAsia="Candara" w:hAnsi="Candara" w:cs="Candara"/>
      <w:b w:val="0"/>
      <w:bCs w:val="0"/>
      <w:i w:val="0"/>
      <w:iCs w:val="0"/>
      <w:smallCaps w:val="0"/>
      <w:strike w:val="0"/>
      <w:sz w:val="13"/>
      <w:szCs w:val="13"/>
      <w:u w:val="none"/>
    </w:rPr>
  </w:style>
  <w:style w:type="character" w:customStyle="1" w:styleId="Cuerpodeltexto22Arial85ptoCursiva">
    <w:name w:val="Cuerpo del texto (22) + Arial;8;5 pto;Cursiva"/>
    <w:basedOn w:val="Cuerpodeltexto22"/>
    <w:rPr>
      <w:rFonts w:ascii="Arial" w:eastAsia="Arial" w:hAnsi="Arial" w:cs="Arial"/>
      <w:b w:val="0"/>
      <w:bCs w:val="0"/>
      <w:i/>
      <w:iCs/>
      <w:smallCaps w:val="0"/>
      <w:strike w:val="0"/>
      <w:color w:val="000000"/>
      <w:spacing w:val="0"/>
      <w:w w:val="100"/>
      <w:position w:val="0"/>
      <w:sz w:val="17"/>
      <w:szCs w:val="17"/>
      <w:u w:val="none"/>
      <w:lang w:val="es-ES" w:eastAsia="es-ES" w:bidi="es-ES"/>
    </w:rPr>
  </w:style>
  <w:style w:type="character" w:customStyle="1" w:styleId="Cuerpodeltexto24">
    <w:name w:val="Cuerpo del texto (24)_"/>
    <w:basedOn w:val="Fuentedeprrafopredeter"/>
    <w:link w:val="Cuerpodeltexto240"/>
    <w:rPr>
      <w:rFonts w:ascii="Arial" w:eastAsia="Arial" w:hAnsi="Arial" w:cs="Arial"/>
      <w:b w:val="0"/>
      <w:bCs w:val="0"/>
      <w:i w:val="0"/>
      <w:iCs w:val="0"/>
      <w:smallCaps w:val="0"/>
      <w:strike w:val="0"/>
      <w:sz w:val="11"/>
      <w:szCs w:val="11"/>
      <w:u w:val="none"/>
    </w:rPr>
  </w:style>
  <w:style w:type="character" w:customStyle="1" w:styleId="Ttulo12">
    <w:name w:val="Título #1 (2)_"/>
    <w:basedOn w:val="Fuentedeprrafopredeter"/>
    <w:link w:val="Ttulo120"/>
    <w:rPr>
      <w:rFonts w:ascii="Arial" w:eastAsia="Arial" w:hAnsi="Arial" w:cs="Arial"/>
      <w:b/>
      <w:bCs/>
      <w:i w:val="0"/>
      <w:iCs w:val="0"/>
      <w:smallCaps w:val="0"/>
      <w:strike w:val="0"/>
      <w:sz w:val="19"/>
      <w:szCs w:val="19"/>
      <w:u w:val="none"/>
    </w:rPr>
  </w:style>
  <w:style w:type="paragraph" w:customStyle="1" w:styleId="Cuerpodeltexto20">
    <w:name w:val="Cuerpo del texto (2)"/>
    <w:basedOn w:val="Normal"/>
    <w:link w:val="Cuerpodeltexto2"/>
    <w:pPr>
      <w:shd w:val="clear" w:color="auto" w:fill="FFFFFF"/>
      <w:spacing w:after="420" w:line="0" w:lineRule="atLeast"/>
      <w:ind w:hanging="400"/>
      <w:jc w:val="both"/>
    </w:pPr>
    <w:rPr>
      <w:rFonts w:ascii="Arial" w:eastAsia="Arial" w:hAnsi="Arial" w:cs="Arial"/>
      <w:sz w:val="19"/>
      <w:szCs w:val="19"/>
    </w:rPr>
  </w:style>
  <w:style w:type="paragraph" w:customStyle="1" w:styleId="Cuerpodeltexto60">
    <w:name w:val="Cuerpo del texto (6)"/>
    <w:basedOn w:val="Normal"/>
    <w:link w:val="Cuerpodeltexto6"/>
    <w:pPr>
      <w:shd w:val="clear" w:color="auto" w:fill="FFFFFF"/>
      <w:spacing w:before="180" w:after="180" w:line="226" w:lineRule="exact"/>
      <w:jc w:val="both"/>
    </w:pPr>
    <w:rPr>
      <w:rFonts w:ascii="Arial" w:eastAsia="Arial" w:hAnsi="Arial" w:cs="Arial"/>
      <w:i/>
      <w:iCs/>
      <w:sz w:val="21"/>
      <w:szCs w:val="21"/>
    </w:rPr>
  </w:style>
  <w:style w:type="paragraph" w:customStyle="1" w:styleId="Cuerpodeltexto220">
    <w:name w:val="Cuerpo del texto (22)"/>
    <w:basedOn w:val="Normal"/>
    <w:link w:val="Cuerpodeltexto22"/>
    <w:pPr>
      <w:shd w:val="clear" w:color="auto" w:fill="FFFFFF"/>
      <w:spacing w:before="180" w:line="173" w:lineRule="exact"/>
      <w:ind w:hanging="800"/>
    </w:pPr>
    <w:rPr>
      <w:rFonts w:ascii="Candara" w:eastAsia="Candara" w:hAnsi="Candara" w:cs="Candara"/>
      <w:sz w:val="13"/>
      <w:szCs w:val="13"/>
    </w:rPr>
  </w:style>
  <w:style w:type="paragraph" w:customStyle="1" w:styleId="Cuerpodeltexto240">
    <w:name w:val="Cuerpo del texto (24)"/>
    <w:basedOn w:val="Normal"/>
    <w:link w:val="Cuerpodeltexto24"/>
    <w:pPr>
      <w:shd w:val="clear" w:color="auto" w:fill="FFFFFF"/>
      <w:spacing w:line="154" w:lineRule="exact"/>
      <w:jc w:val="both"/>
    </w:pPr>
    <w:rPr>
      <w:rFonts w:ascii="Arial" w:eastAsia="Arial" w:hAnsi="Arial" w:cs="Arial"/>
      <w:sz w:val="11"/>
      <w:szCs w:val="11"/>
    </w:rPr>
  </w:style>
  <w:style w:type="paragraph" w:customStyle="1" w:styleId="Ttulo120">
    <w:name w:val="Título #1 (2)"/>
    <w:basedOn w:val="Normal"/>
    <w:link w:val="Ttulo12"/>
    <w:pPr>
      <w:shd w:val="clear" w:color="auto" w:fill="FFFFFF"/>
      <w:spacing w:before="60" w:line="240" w:lineRule="exact"/>
      <w:jc w:val="both"/>
      <w:outlineLvl w:val="0"/>
    </w:pPr>
    <w:rPr>
      <w:rFonts w:ascii="Arial" w:eastAsia="Arial" w:hAnsi="Arial" w:cs="Arial"/>
      <w:b/>
      <w:bCs/>
      <w:sz w:val="19"/>
      <w:szCs w:val="19"/>
    </w:rPr>
  </w:style>
  <w:style w:type="paragraph" w:styleId="Sinespaciado">
    <w:name w:val="No Spacing"/>
    <w:uiPriority w:val="1"/>
    <w:qFormat/>
    <w:rsid w:val="00EC2670"/>
    <w:rPr>
      <w:color w:val="000000"/>
    </w:rPr>
  </w:style>
  <w:style w:type="paragraph" w:styleId="Prrafodelista">
    <w:name w:val="List Paragraph"/>
    <w:basedOn w:val="Normal"/>
    <w:uiPriority w:val="34"/>
    <w:qFormat/>
    <w:rsid w:val="00EC2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916</Words>
  <Characters>5043</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4</cp:revision>
  <dcterms:created xsi:type="dcterms:W3CDTF">2021-03-30T22:07:00Z</dcterms:created>
  <dcterms:modified xsi:type="dcterms:W3CDTF">2022-01-29T12:56:00Z</dcterms:modified>
</cp:coreProperties>
</file>