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1875" w14:textId="77777777" w:rsidR="00F71E74" w:rsidRPr="00F71E74" w:rsidRDefault="00B14054" w:rsidP="00F71E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71E74" w:rsidRPr="00F71E74">
        <w:rPr>
          <w:rFonts w:ascii="Times New Roman" w:hAnsi="Times New Roman" w:cs="Times New Roman"/>
          <w:b/>
          <w:sz w:val="24"/>
          <w:szCs w:val="24"/>
        </w:rPr>
        <w:t>Concepto Jurídico Nº 160007</w:t>
      </w:r>
    </w:p>
    <w:p w14:paraId="27EA2702" w14:textId="77777777" w:rsidR="00F71E74" w:rsidRPr="00F71E74" w:rsidRDefault="00F71E74" w:rsidP="00F71E74">
      <w:pPr>
        <w:spacing w:after="0" w:line="240" w:lineRule="auto"/>
        <w:jc w:val="center"/>
        <w:rPr>
          <w:rFonts w:ascii="Times New Roman" w:hAnsi="Times New Roman" w:cs="Times New Roman"/>
          <w:b/>
          <w:sz w:val="24"/>
          <w:szCs w:val="24"/>
        </w:rPr>
      </w:pPr>
    </w:p>
    <w:p w14:paraId="5CE73DC8" w14:textId="77777777" w:rsidR="00F71E74" w:rsidRPr="00F71E74" w:rsidRDefault="00F71E74" w:rsidP="00F71E74">
      <w:pPr>
        <w:spacing w:after="0" w:line="240" w:lineRule="auto"/>
        <w:jc w:val="center"/>
        <w:rPr>
          <w:rFonts w:ascii="Times New Roman" w:hAnsi="Times New Roman" w:cs="Times New Roman"/>
          <w:b/>
          <w:sz w:val="24"/>
          <w:szCs w:val="24"/>
        </w:rPr>
      </w:pPr>
      <w:r w:rsidRPr="00F71E74">
        <w:rPr>
          <w:rFonts w:ascii="Times New Roman" w:hAnsi="Times New Roman" w:cs="Times New Roman"/>
          <w:b/>
          <w:sz w:val="24"/>
          <w:szCs w:val="24"/>
        </w:rPr>
        <w:t>03-06-2011</w:t>
      </w:r>
    </w:p>
    <w:p w14:paraId="2E3A1B7E" w14:textId="77777777" w:rsidR="00F71E74" w:rsidRPr="00F71E74" w:rsidRDefault="00F71E74" w:rsidP="00F71E74">
      <w:pPr>
        <w:spacing w:after="0" w:line="240" w:lineRule="auto"/>
        <w:jc w:val="center"/>
        <w:rPr>
          <w:rFonts w:ascii="Times New Roman" w:hAnsi="Times New Roman" w:cs="Times New Roman"/>
          <w:b/>
          <w:sz w:val="24"/>
          <w:szCs w:val="24"/>
        </w:rPr>
      </w:pPr>
    </w:p>
    <w:p w14:paraId="063D7197" w14:textId="77777777" w:rsidR="00F71E74" w:rsidRPr="00F71E74" w:rsidRDefault="00F71E74" w:rsidP="00F71E74">
      <w:pPr>
        <w:spacing w:after="0" w:line="240" w:lineRule="auto"/>
        <w:jc w:val="center"/>
        <w:rPr>
          <w:rFonts w:ascii="Times New Roman" w:hAnsi="Times New Roman" w:cs="Times New Roman"/>
          <w:b/>
          <w:sz w:val="24"/>
          <w:szCs w:val="24"/>
        </w:rPr>
      </w:pPr>
      <w:r w:rsidRPr="00F71E74">
        <w:rPr>
          <w:rFonts w:ascii="Times New Roman" w:hAnsi="Times New Roman" w:cs="Times New Roman"/>
          <w:b/>
          <w:sz w:val="24"/>
          <w:szCs w:val="24"/>
        </w:rPr>
        <w:t>Ministerio de la Protección Social</w:t>
      </w:r>
    </w:p>
    <w:p w14:paraId="7E3B65E6" w14:textId="77777777" w:rsidR="00F71E74" w:rsidRPr="00F71E74" w:rsidRDefault="00F71E74" w:rsidP="00F71E74">
      <w:pPr>
        <w:spacing w:after="0" w:line="240" w:lineRule="auto"/>
        <w:jc w:val="both"/>
        <w:rPr>
          <w:rFonts w:ascii="Times New Roman" w:hAnsi="Times New Roman" w:cs="Times New Roman"/>
          <w:b/>
          <w:sz w:val="24"/>
          <w:szCs w:val="24"/>
        </w:rPr>
      </w:pPr>
    </w:p>
    <w:p w14:paraId="47C123A9" w14:textId="77777777" w:rsidR="00F71E74" w:rsidRPr="00F71E74" w:rsidRDefault="00F71E74" w:rsidP="00F71E74">
      <w:pPr>
        <w:spacing w:after="0" w:line="240" w:lineRule="auto"/>
        <w:jc w:val="both"/>
        <w:rPr>
          <w:rFonts w:ascii="Times New Roman" w:hAnsi="Times New Roman" w:cs="Times New Roman"/>
          <w:sz w:val="24"/>
          <w:szCs w:val="24"/>
        </w:rPr>
      </w:pPr>
    </w:p>
    <w:p w14:paraId="5781F504"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Señor</w:t>
      </w:r>
    </w:p>
    <w:p w14:paraId="2FA18680"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JAIME ÁLVAREZ</w:t>
      </w:r>
    </w:p>
    <w:p w14:paraId="62B1B37D" w14:textId="77777777" w:rsidR="00F71E74" w:rsidRPr="00F71E74" w:rsidRDefault="00F71E74" w:rsidP="00F71E74">
      <w:pPr>
        <w:spacing w:after="0" w:line="240" w:lineRule="auto"/>
        <w:jc w:val="both"/>
        <w:rPr>
          <w:rFonts w:ascii="Times New Roman" w:hAnsi="Times New Roman" w:cs="Times New Roman"/>
          <w:sz w:val="24"/>
          <w:szCs w:val="24"/>
        </w:rPr>
      </w:pPr>
    </w:p>
    <w:p w14:paraId="563FBE31" w14:textId="77777777" w:rsidR="00F71E74" w:rsidRPr="00F71E74" w:rsidRDefault="00F71E74" w:rsidP="00F71E74">
      <w:pPr>
        <w:spacing w:after="0" w:line="240" w:lineRule="auto"/>
        <w:jc w:val="both"/>
        <w:rPr>
          <w:rFonts w:ascii="Times New Roman" w:hAnsi="Times New Roman" w:cs="Times New Roman"/>
          <w:b/>
          <w:sz w:val="24"/>
          <w:szCs w:val="24"/>
        </w:rPr>
      </w:pPr>
      <w:r w:rsidRPr="00F71E74">
        <w:rPr>
          <w:rFonts w:ascii="Times New Roman" w:hAnsi="Times New Roman" w:cs="Times New Roman"/>
          <w:b/>
          <w:sz w:val="24"/>
          <w:szCs w:val="24"/>
        </w:rPr>
        <w:t>ASUNTO: Vacaciones compensadas en dinero</w:t>
      </w:r>
    </w:p>
    <w:p w14:paraId="66703A56" w14:textId="77777777" w:rsidR="00F71E74" w:rsidRPr="00F71E74" w:rsidRDefault="00F71E74" w:rsidP="00F71E74">
      <w:pPr>
        <w:spacing w:after="0" w:line="240" w:lineRule="auto"/>
        <w:jc w:val="both"/>
        <w:rPr>
          <w:rFonts w:ascii="Times New Roman" w:hAnsi="Times New Roman" w:cs="Times New Roman"/>
          <w:sz w:val="24"/>
          <w:szCs w:val="24"/>
        </w:rPr>
      </w:pPr>
    </w:p>
    <w:p w14:paraId="7A7ADB97"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Señor Álvarez:</w:t>
      </w:r>
    </w:p>
    <w:p w14:paraId="564734B4" w14:textId="77777777" w:rsidR="00F71E74" w:rsidRPr="00F71E74" w:rsidRDefault="00F71E74" w:rsidP="00F71E74">
      <w:pPr>
        <w:spacing w:after="0" w:line="240" w:lineRule="auto"/>
        <w:jc w:val="both"/>
        <w:rPr>
          <w:rFonts w:ascii="Times New Roman" w:hAnsi="Times New Roman" w:cs="Times New Roman"/>
          <w:sz w:val="24"/>
          <w:szCs w:val="24"/>
        </w:rPr>
      </w:pPr>
    </w:p>
    <w:p w14:paraId="04BDB92F"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Damos respuesta a su solicitud de concepto radicada con el número del asunto, mediante la cual consulta si las vacaciones compensadas en dinero se tienen en cuenta para realizar los aportes al Sistema de Seguridad Social Integral, en los siguientes términos:</w:t>
      </w:r>
    </w:p>
    <w:p w14:paraId="7D75E0BD" w14:textId="77777777" w:rsidR="00F71E74" w:rsidRPr="00F71E74" w:rsidRDefault="00F71E74" w:rsidP="00F71E74">
      <w:pPr>
        <w:spacing w:after="0" w:line="240" w:lineRule="auto"/>
        <w:jc w:val="both"/>
        <w:rPr>
          <w:rFonts w:ascii="Times New Roman" w:hAnsi="Times New Roman" w:cs="Times New Roman"/>
          <w:sz w:val="24"/>
          <w:szCs w:val="24"/>
        </w:rPr>
      </w:pPr>
    </w:p>
    <w:p w14:paraId="2E3BBA5B"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Mediante el concepto emitido por la Sala de Consulta y Servicio Civil del Consejo de Estado, la Alta Corporación se pronunció sobre las vacaciones compensadas en dinero, para efectos de liquidar los aportes parafiscales y aportes al Sistema Integral de Seguridad Social, en cuyos apartes del texto con radicación No. 2027 de octubre 4 de 2010, manifestó lo siguiente:</w:t>
      </w:r>
    </w:p>
    <w:p w14:paraId="44690D19" w14:textId="77777777" w:rsidR="00F71E74" w:rsidRPr="00F71E74" w:rsidRDefault="00F71E74" w:rsidP="00F71E74">
      <w:pPr>
        <w:spacing w:after="0" w:line="240" w:lineRule="auto"/>
        <w:jc w:val="both"/>
        <w:rPr>
          <w:rFonts w:ascii="Times New Roman" w:hAnsi="Times New Roman" w:cs="Times New Roman"/>
          <w:sz w:val="24"/>
          <w:szCs w:val="24"/>
        </w:rPr>
      </w:pPr>
    </w:p>
    <w:p w14:paraId="0D286255"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"La consulta busca determinar si las vacaciones compensadas, especialmente las que se pagan cuando el contrato de trabajo termina, sin que el trabajador las hubiere disfrutado, están comprendidas dentro de los descansos remunerados de que trata el artículo 17 de la Ley 21 de 1982, lo que determinaría a su vez que entrarían a ser parte de la base para la liquidación de los referidos aportes parafiscales por parte de los trabajadores.</w:t>
      </w:r>
    </w:p>
    <w:p w14:paraId="61512015" w14:textId="77777777" w:rsidR="00F71E74" w:rsidRPr="00F71E74" w:rsidRDefault="00F71E74" w:rsidP="00F71E74">
      <w:pPr>
        <w:spacing w:after="0" w:line="240" w:lineRule="auto"/>
        <w:jc w:val="both"/>
        <w:rPr>
          <w:rFonts w:ascii="Times New Roman" w:hAnsi="Times New Roman" w:cs="Times New Roman"/>
          <w:sz w:val="24"/>
          <w:szCs w:val="24"/>
        </w:rPr>
      </w:pPr>
    </w:p>
    <w:p w14:paraId="0048B13B"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Pues bien, el punto ha sido definido afirmativamente por la Sección Cuarta del Consejo de Estado, la cual ha considerado de manera reiterada que las vacaciones pagadas en dinero se encuentran incluidas en la expresión final del referido artículo 17 (aparte subrayado), por la cual son parte integrante del concepto de "nómina mensual" y deben ser tenidas en cuenta para liquidar los aportes al SENA, ICBF y Cajas de Compensación Familiar".</w:t>
      </w:r>
    </w:p>
    <w:p w14:paraId="7FC3D19D" w14:textId="77777777" w:rsidR="00F71E74" w:rsidRDefault="00F71E74" w:rsidP="00F71E74">
      <w:pPr>
        <w:spacing w:after="0" w:line="240" w:lineRule="auto"/>
        <w:jc w:val="both"/>
        <w:rPr>
          <w:rFonts w:ascii="Times New Roman" w:hAnsi="Times New Roman" w:cs="Times New Roman"/>
          <w:sz w:val="24"/>
          <w:szCs w:val="24"/>
        </w:rPr>
      </w:pPr>
    </w:p>
    <w:p w14:paraId="164D622F" w14:textId="77777777" w:rsid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w:t>
      </w:r>
    </w:p>
    <w:p w14:paraId="31BC6763" w14:textId="77777777" w:rsidR="00F71E74" w:rsidRPr="00F71E74" w:rsidRDefault="00F71E74" w:rsidP="00F71E74">
      <w:pPr>
        <w:spacing w:after="0" w:line="240" w:lineRule="auto"/>
        <w:jc w:val="both"/>
        <w:rPr>
          <w:rFonts w:ascii="Times New Roman" w:hAnsi="Times New Roman" w:cs="Times New Roman"/>
          <w:sz w:val="24"/>
          <w:szCs w:val="24"/>
        </w:rPr>
      </w:pPr>
    </w:p>
    <w:p w14:paraId="23D7114A" w14:textId="77777777" w:rsidR="00F71E74" w:rsidRPr="00F71E74" w:rsidRDefault="00F71E74" w:rsidP="00F71E74">
      <w:pPr>
        <w:spacing w:after="0" w:line="240" w:lineRule="auto"/>
        <w:jc w:val="both"/>
        <w:rPr>
          <w:rFonts w:ascii="Times New Roman" w:hAnsi="Times New Roman" w:cs="Times New Roman"/>
          <w:sz w:val="24"/>
          <w:szCs w:val="24"/>
        </w:rPr>
      </w:pPr>
      <w:r w:rsidRPr="00E7369F">
        <w:rPr>
          <w:rFonts w:ascii="Times New Roman" w:hAnsi="Times New Roman" w:cs="Times New Roman"/>
          <w:b/>
          <w:sz w:val="24"/>
          <w:szCs w:val="24"/>
        </w:rPr>
        <w:t>"En síntesis, el Consejo de Estado ha optado por darle un alcance amplio a la expresión descanso remunerados del artículo 17 de la Le 21 de 1982, que comprende tanto las vacaciones disfrutadas como las pagadas en dinero</w:t>
      </w:r>
      <w:r w:rsidRPr="00F71E74">
        <w:rPr>
          <w:rFonts w:ascii="Times New Roman" w:hAnsi="Times New Roman" w:cs="Times New Roman"/>
          <w:sz w:val="24"/>
          <w:szCs w:val="24"/>
        </w:rPr>
        <w:t>. En ambos casos se entiende que el pago se origina en la obligación de remuneración del descanso a que tiene derecho el trabajador, lo que determina su inclusión en la base sobre la cual se liquidan los aportes al SENA, ICBF y Cajas de Compensación Familiar".</w:t>
      </w:r>
    </w:p>
    <w:p w14:paraId="0CBF12F0" w14:textId="77777777" w:rsidR="00F71E74" w:rsidRDefault="00F71E74" w:rsidP="00F71E74">
      <w:pPr>
        <w:spacing w:after="0" w:line="240" w:lineRule="auto"/>
        <w:jc w:val="both"/>
        <w:rPr>
          <w:rFonts w:ascii="Times New Roman" w:hAnsi="Times New Roman" w:cs="Times New Roman"/>
          <w:sz w:val="24"/>
          <w:szCs w:val="24"/>
        </w:rPr>
      </w:pPr>
    </w:p>
    <w:p w14:paraId="19462681"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w:t>
      </w:r>
    </w:p>
    <w:p w14:paraId="333FE7E0" w14:textId="77777777" w:rsidR="00F71E74" w:rsidRDefault="00F71E74" w:rsidP="00F71E74">
      <w:pPr>
        <w:spacing w:after="0" w:line="240" w:lineRule="auto"/>
        <w:jc w:val="both"/>
        <w:rPr>
          <w:rFonts w:ascii="Times New Roman" w:hAnsi="Times New Roman" w:cs="Times New Roman"/>
          <w:sz w:val="24"/>
          <w:szCs w:val="24"/>
        </w:rPr>
      </w:pPr>
    </w:p>
    <w:p w14:paraId="35AF3B04"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lastRenderedPageBreak/>
        <w:t>".... dicha Corporación ha considerado que la naturaleza indemnizatoria de la compensación de vacaciones, asunto que no se discute en ninguna de sus fallos, no es un criterio relevante en el ámbito de la Ley 21 de 1982 para determinar la base de la liquidación de los aportes al SENA, ICBF y Cajas de Compensación Familiar a cargo del empleador"</w:t>
      </w:r>
    </w:p>
    <w:p w14:paraId="1E77DC9A" w14:textId="77777777" w:rsidR="00F71E74" w:rsidRPr="00F71E74" w:rsidRDefault="00F71E74" w:rsidP="00F71E74">
      <w:pPr>
        <w:spacing w:after="0" w:line="240" w:lineRule="auto"/>
        <w:jc w:val="both"/>
        <w:rPr>
          <w:rFonts w:ascii="Times New Roman" w:hAnsi="Times New Roman" w:cs="Times New Roman"/>
          <w:sz w:val="24"/>
          <w:szCs w:val="24"/>
        </w:rPr>
      </w:pPr>
    </w:p>
    <w:p w14:paraId="7756B2BE" w14:textId="77777777" w:rsidR="00F71E74" w:rsidRPr="00E03F9B" w:rsidRDefault="00F71E74" w:rsidP="00F71E74">
      <w:pPr>
        <w:spacing w:after="0" w:line="240" w:lineRule="auto"/>
        <w:jc w:val="both"/>
        <w:rPr>
          <w:rFonts w:ascii="Times New Roman" w:hAnsi="Times New Roman" w:cs="Times New Roman"/>
          <w:sz w:val="32"/>
          <w:szCs w:val="32"/>
        </w:rPr>
      </w:pPr>
      <w:r w:rsidRPr="00E03F9B">
        <w:rPr>
          <w:rFonts w:ascii="Times New Roman" w:hAnsi="Times New Roman" w:cs="Times New Roman"/>
          <w:sz w:val="32"/>
          <w:szCs w:val="32"/>
        </w:rPr>
        <w:t xml:space="preserve">De acuerdo con las consideraciones señaladas en el mencionado concepto, puede concluirse frente a su consulta, </w:t>
      </w:r>
      <w:r w:rsidRPr="00E03F9B">
        <w:rPr>
          <w:rFonts w:ascii="Times New Roman" w:hAnsi="Times New Roman" w:cs="Times New Roman"/>
          <w:sz w:val="32"/>
          <w:szCs w:val="32"/>
          <w:highlight w:val="yellow"/>
        </w:rPr>
        <w:t xml:space="preserve">que las vacaciones pagadas en dinero </w:t>
      </w:r>
      <w:r w:rsidRPr="00E03F9B">
        <w:rPr>
          <w:rFonts w:ascii="Times New Roman" w:hAnsi="Times New Roman" w:cs="Times New Roman"/>
          <w:sz w:val="32"/>
          <w:szCs w:val="32"/>
          <w:highlight w:val="green"/>
        </w:rPr>
        <w:t>hacen parte de la base para la liquidación y pago de los aportes parafiscales al SENA, ICBF y Cajas de Compensación Familiar.</w:t>
      </w:r>
    </w:p>
    <w:p w14:paraId="54142912" w14:textId="77777777" w:rsidR="00F71E74" w:rsidRPr="00E03F9B" w:rsidRDefault="00F71E74" w:rsidP="00F71E74">
      <w:pPr>
        <w:spacing w:after="0" w:line="240" w:lineRule="auto"/>
        <w:jc w:val="both"/>
        <w:rPr>
          <w:rFonts w:ascii="Times New Roman" w:hAnsi="Times New Roman" w:cs="Times New Roman"/>
          <w:sz w:val="32"/>
          <w:szCs w:val="32"/>
        </w:rPr>
      </w:pPr>
    </w:p>
    <w:p w14:paraId="24786FBB" w14:textId="77777777" w:rsidR="00F71E74" w:rsidRPr="00E03F9B" w:rsidRDefault="00F71E74" w:rsidP="00F71E74">
      <w:pPr>
        <w:spacing w:after="0" w:line="240" w:lineRule="auto"/>
        <w:jc w:val="both"/>
        <w:rPr>
          <w:rFonts w:ascii="Times New Roman" w:hAnsi="Times New Roman" w:cs="Times New Roman"/>
          <w:b/>
          <w:sz w:val="32"/>
          <w:szCs w:val="32"/>
          <w:u w:val="single"/>
        </w:rPr>
      </w:pPr>
      <w:r w:rsidRPr="00E03F9B">
        <w:rPr>
          <w:rFonts w:ascii="Times New Roman" w:hAnsi="Times New Roman" w:cs="Times New Roman"/>
          <w:b/>
          <w:sz w:val="32"/>
          <w:szCs w:val="32"/>
          <w:highlight w:val="yellow"/>
          <w:u w:val="single"/>
        </w:rPr>
        <w:t>No obstante, frente a la base para liquidar los aportes al Sistema Integral de Seguridad Social,</w:t>
      </w:r>
      <w:r w:rsidRPr="00E03F9B">
        <w:rPr>
          <w:rFonts w:ascii="Times New Roman" w:hAnsi="Times New Roman" w:cs="Times New Roman"/>
          <w:b/>
          <w:sz w:val="32"/>
          <w:szCs w:val="32"/>
          <w:u w:val="single"/>
        </w:rPr>
        <w:t xml:space="preserve"> esta Oficina reitera el criterio sostenido, en el sentido que las vacaciones compensadas en dinero, </w:t>
      </w:r>
      <w:r w:rsidRPr="00E03F9B">
        <w:rPr>
          <w:rFonts w:ascii="Times New Roman" w:hAnsi="Times New Roman" w:cs="Times New Roman"/>
          <w:b/>
          <w:sz w:val="32"/>
          <w:szCs w:val="32"/>
          <w:highlight w:val="yellow"/>
          <w:u w:val="single"/>
        </w:rPr>
        <w:t>no se incluyen para la liquidación de estos aportes, por cuanto no constituyen factor salarial ni se incluye dentro del salario.</w:t>
      </w:r>
    </w:p>
    <w:p w14:paraId="3B632AC2" w14:textId="77777777" w:rsidR="00F71E74" w:rsidRPr="00E7369F" w:rsidRDefault="00F71E74" w:rsidP="00F71E74">
      <w:pPr>
        <w:spacing w:after="0" w:line="240" w:lineRule="auto"/>
        <w:jc w:val="both"/>
        <w:rPr>
          <w:rFonts w:ascii="Times New Roman" w:hAnsi="Times New Roman" w:cs="Times New Roman"/>
          <w:sz w:val="24"/>
          <w:szCs w:val="24"/>
          <w:u w:val="single"/>
        </w:rPr>
      </w:pPr>
    </w:p>
    <w:p w14:paraId="666C1570"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Lo anterior, se encuentra de conformidad con el Artículo 5 de la Ley 797 de 2003, el Parágrafo 1 del Artículo 204 de la Ley 100 de 1993 y el Articulo 17 del Decreto 1295 de 1994, los cuales establecen que la base para calcular las cotizaciones al Sistema de Seguridad Social en Pensiones, Salud y Riesgos Profesionales respectivamente, será el salario mensual.</w:t>
      </w:r>
    </w:p>
    <w:p w14:paraId="5B7F5608" w14:textId="77777777" w:rsidR="00F71E74" w:rsidRPr="00F71E74" w:rsidRDefault="00F71E74" w:rsidP="00F71E74">
      <w:pPr>
        <w:spacing w:after="0" w:line="240" w:lineRule="auto"/>
        <w:jc w:val="both"/>
        <w:rPr>
          <w:rFonts w:ascii="Times New Roman" w:hAnsi="Times New Roman" w:cs="Times New Roman"/>
          <w:sz w:val="24"/>
          <w:szCs w:val="24"/>
        </w:rPr>
      </w:pPr>
    </w:p>
    <w:p w14:paraId="3F1463C6"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En estos mismos términos lo señaló el Consejo de Estado, en el concepto antes aludido, en el cual manifestó "... los aportes parafiscales al Instituto Colombiano de Bienestar Familiar (ICBF), Servicio Nacional de Aprendizaje (SENA) y Cajas de Compensación Familiar son contribuciones a cargo de los empleadores y no del trabajador; también y por lo mismo, que su referente de cálculo es la nómina mensual de la empresa y no e</w:t>
      </w:r>
      <w:r>
        <w:rPr>
          <w:rFonts w:ascii="Times New Roman" w:hAnsi="Times New Roman" w:cs="Times New Roman"/>
          <w:sz w:val="24"/>
          <w:szCs w:val="24"/>
        </w:rPr>
        <w:t xml:space="preserve">s </w:t>
      </w:r>
      <w:r w:rsidRPr="00F71E74">
        <w:rPr>
          <w:rFonts w:ascii="Times New Roman" w:hAnsi="Times New Roman" w:cs="Times New Roman"/>
          <w:sz w:val="24"/>
          <w:szCs w:val="24"/>
        </w:rPr>
        <w:t>salario como ocurre en la liquidación de aportes a la Seguridad Social en salud y pensiones [1]".</w:t>
      </w:r>
    </w:p>
    <w:p w14:paraId="0C4467DE" w14:textId="77777777" w:rsidR="00F71E74" w:rsidRPr="00F71E74" w:rsidRDefault="00F71E74" w:rsidP="00F71E74">
      <w:pPr>
        <w:spacing w:after="0" w:line="240" w:lineRule="auto"/>
        <w:jc w:val="both"/>
        <w:rPr>
          <w:rFonts w:ascii="Times New Roman" w:hAnsi="Times New Roman" w:cs="Times New Roman"/>
          <w:sz w:val="24"/>
          <w:szCs w:val="24"/>
        </w:rPr>
      </w:pPr>
    </w:p>
    <w:p w14:paraId="37516752"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La presente consulta, se absuelve en los términos del artículo 25 del Código Contencioso Administrativo, en virtud del cual las respuestas dadas no comprometerán la responsabilidad de las entidades que las atienden, ni serán de obligatorio cumplimiento o ejecución, constituyéndose simplemente en un criterio orientador.</w:t>
      </w:r>
    </w:p>
    <w:p w14:paraId="48F58D0E" w14:textId="77777777" w:rsidR="00F71E74" w:rsidRPr="00F71E74" w:rsidRDefault="00F71E74" w:rsidP="00F71E74">
      <w:pPr>
        <w:spacing w:after="0" w:line="240" w:lineRule="auto"/>
        <w:jc w:val="both"/>
        <w:rPr>
          <w:rFonts w:ascii="Times New Roman" w:hAnsi="Times New Roman" w:cs="Times New Roman"/>
          <w:sz w:val="24"/>
          <w:szCs w:val="24"/>
        </w:rPr>
      </w:pPr>
    </w:p>
    <w:p w14:paraId="0F312AE1"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Cordialmente,</w:t>
      </w:r>
    </w:p>
    <w:p w14:paraId="6C46B694" w14:textId="77777777" w:rsidR="00E7369F" w:rsidRDefault="00E7369F" w:rsidP="00F71E74">
      <w:pPr>
        <w:spacing w:after="0" w:line="240" w:lineRule="auto"/>
        <w:jc w:val="both"/>
        <w:rPr>
          <w:rFonts w:ascii="Times New Roman" w:hAnsi="Times New Roman" w:cs="Times New Roman"/>
          <w:sz w:val="24"/>
          <w:szCs w:val="24"/>
        </w:rPr>
      </w:pPr>
    </w:p>
    <w:p w14:paraId="6FD7387C" w14:textId="77777777"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JAVIER ANTONIO VILLARREAL VILLAQUIRÁN</w:t>
      </w:r>
    </w:p>
    <w:p w14:paraId="2E9EDC77" w14:textId="77777777" w:rsidR="00E7369F" w:rsidRDefault="00F71E74" w:rsidP="00F71E74">
      <w:pPr>
        <w:pBdr>
          <w:bottom w:val="single" w:sz="6" w:space="1" w:color="auto"/>
        </w:pBd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Jefe Oficina Jurídica y de Apoyo Legislativo</w:t>
      </w:r>
    </w:p>
    <w:p w14:paraId="1F7C9EF8" w14:textId="77777777" w:rsidR="00E7369F" w:rsidRDefault="00E7369F" w:rsidP="00F71E74">
      <w:pPr>
        <w:spacing w:after="0" w:line="240" w:lineRule="auto"/>
        <w:jc w:val="both"/>
        <w:rPr>
          <w:rFonts w:ascii="Times New Roman" w:hAnsi="Times New Roman" w:cs="Times New Roman"/>
          <w:sz w:val="24"/>
          <w:szCs w:val="24"/>
        </w:rPr>
      </w:pPr>
    </w:p>
    <w:p w14:paraId="0AEB4C7D" w14:textId="77777777" w:rsidR="00E7369F" w:rsidRDefault="00E7369F" w:rsidP="00F71E74">
      <w:pPr>
        <w:spacing w:after="0" w:line="240" w:lineRule="auto"/>
        <w:jc w:val="both"/>
        <w:rPr>
          <w:rFonts w:ascii="Times New Roman" w:hAnsi="Times New Roman" w:cs="Times New Roman"/>
          <w:sz w:val="24"/>
          <w:szCs w:val="24"/>
        </w:rPr>
      </w:pPr>
    </w:p>
    <w:sectPr w:rsidR="00E7369F" w:rsidSect="00B1405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71E74"/>
    <w:rsid w:val="002A5F30"/>
    <w:rsid w:val="003924A4"/>
    <w:rsid w:val="00B14054"/>
    <w:rsid w:val="00E03F9B"/>
    <w:rsid w:val="00E7369F"/>
    <w:rsid w:val="00F71E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9D7F"/>
  <w15:docId w15:val="{428A98A5-28BC-49CF-A57B-A63C4D8A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679</Words>
  <Characters>3737</Characters>
  <Application>Microsoft Office Word</Application>
  <DocSecurity>0</DocSecurity>
  <Lines>31</Lines>
  <Paragraphs>8</Paragraphs>
  <ScaleCrop>false</ScaleCrop>
  <Company>PERSONAL</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 Duque</cp:lastModifiedBy>
  <cp:revision>4</cp:revision>
  <dcterms:created xsi:type="dcterms:W3CDTF">2011-08-15T21:42:00Z</dcterms:created>
  <dcterms:modified xsi:type="dcterms:W3CDTF">2022-01-17T00:01:00Z</dcterms:modified>
</cp:coreProperties>
</file>