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16DE" w14:textId="4A078CDD" w:rsidR="00D735B4" w:rsidRPr="00D735B4" w:rsidRDefault="00D735B4" w:rsidP="00D735B4">
      <w:pPr>
        <w:shd w:val="clear" w:color="auto" w:fill="FFFFFF"/>
        <w:spacing w:after="0" w:line="360" w:lineRule="auto"/>
        <w:jc w:val="center"/>
        <w:outlineLvl w:val="0"/>
        <w:rPr>
          <w:rFonts w:asciiTheme="minorHAnsi" w:eastAsia="Times New Roman" w:hAnsiTheme="minorHAnsi" w:cstheme="minorHAnsi"/>
          <w:b/>
          <w:bCs/>
          <w:color w:val="454545"/>
          <w:kern w:val="36"/>
          <w:szCs w:val="24"/>
          <w:lang w:eastAsia="es-CO"/>
        </w:rPr>
      </w:pPr>
      <w:r w:rsidRPr="00D735B4">
        <w:rPr>
          <w:rFonts w:asciiTheme="minorHAnsi" w:eastAsia="Times New Roman" w:hAnsiTheme="minorHAnsi" w:cstheme="minorHAnsi"/>
          <w:b/>
          <w:bCs/>
          <w:color w:val="454545"/>
          <w:kern w:val="36"/>
          <w:szCs w:val="24"/>
          <w:lang w:eastAsia="es-CO"/>
        </w:rPr>
        <w:t>OFICIO N</w:t>
      </w:r>
      <w:r w:rsidRPr="00FA6177">
        <w:rPr>
          <w:rFonts w:asciiTheme="minorHAnsi" w:eastAsia="Times New Roman" w:hAnsiTheme="minorHAnsi" w:cstheme="minorHAnsi"/>
          <w:b/>
          <w:bCs/>
          <w:color w:val="454545"/>
          <w:kern w:val="36"/>
          <w:szCs w:val="24"/>
          <w:lang w:eastAsia="es-CO"/>
        </w:rPr>
        <w:t>o</w:t>
      </w:r>
      <w:r w:rsidRPr="00D735B4">
        <w:rPr>
          <w:rFonts w:asciiTheme="minorHAnsi" w:eastAsia="Times New Roman" w:hAnsiTheme="minorHAnsi" w:cstheme="minorHAnsi"/>
          <w:b/>
          <w:bCs/>
          <w:color w:val="454545"/>
          <w:kern w:val="36"/>
          <w:szCs w:val="24"/>
          <w:lang w:eastAsia="es-CO"/>
        </w:rPr>
        <w:t xml:space="preserve"> 757</w:t>
      </w:r>
    </w:p>
    <w:p w14:paraId="5B5E0A0E" w14:textId="77777777" w:rsidR="00D735B4" w:rsidRPr="00D735B4" w:rsidRDefault="00D735B4" w:rsidP="00D735B4">
      <w:pPr>
        <w:shd w:val="clear" w:color="auto" w:fill="FFFFFF"/>
        <w:spacing w:after="0" w:line="360" w:lineRule="auto"/>
        <w:jc w:val="center"/>
        <w:outlineLvl w:val="0"/>
        <w:rPr>
          <w:rFonts w:asciiTheme="minorHAnsi" w:eastAsia="Times New Roman" w:hAnsiTheme="minorHAnsi" w:cstheme="minorHAnsi"/>
          <w:b/>
          <w:bCs/>
          <w:color w:val="454545"/>
          <w:kern w:val="36"/>
          <w:szCs w:val="24"/>
          <w:lang w:eastAsia="es-CO"/>
        </w:rPr>
      </w:pPr>
      <w:r w:rsidRPr="00D735B4">
        <w:rPr>
          <w:rFonts w:asciiTheme="minorHAnsi" w:eastAsia="Times New Roman" w:hAnsiTheme="minorHAnsi" w:cstheme="minorHAnsi"/>
          <w:b/>
          <w:bCs/>
          <w:color w:val="454545"/>
          <w:kern w:val="36"/>
          <w:szCs w:val="24"/>
          <w:lang w:eastAsia="es-CO"/>
        </w:rPr>
        <w:t>24-06-2020</w:t>
      </w:r>
    </w:p>
    <w:p w14:paraId="41B498E5" w14:textId="77777777" w:rsidR="00D735B4" w:rsidRPr="00D735B4" w:rsidRDefault="00D735B4" w:rsidP="00D735B4">
      <w:pPr>
        <w:shd w:val="clear" w:color="auto" w:fill="FFFFFF"/>
        <w:spacing w:after="0" w:line="360" w:lineRule="auto"/>
        <w:jc w:val="center"/>
        <w:outlineLvl w:val="0"/>
        <w:rPr>
          <w:rFonts w:asciiTheme="minorHAnsi" w:eastAsia="Times New Roman" w:hAnsiTheme="minorHAnsi" w:cstheme="minorHAnsi"/>
          <w:color w:val="454545"/>
          <w:kern w:val="36"/>
          <w:szCs w:val="24"/>
          <w:lang w:eastAsia="es-CO"/>
        </w:rPr>
      </w:pPr>
      <w:r w:rsidRPr="00D735B4">
        <w:rPr>
          <w:rFonts w:asciiTheme="minorHAnsi" w:eastAsia="Times New Roman" w:hAnsiTheme="minorHAnsi" w:cstheme="minorHAnsi"/>
          <w:b/>
          <w:bCs/>
          <w:color w:val="454545"/>
          <w:kern w:val="36"/>
          <w:szCs w:val="24"/>
          <w:lang w:eastAsia="es-CO"/>
        </w:rPr>
        <w:t>DIAN</w:t>
      </w:r>
    </w:p>
    <w:p w14:paraId="4FDA71CD" w14:textId="77777777" w:rsid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w:t>
      </w:r>
    </w:p>
    <w:p w14:paraId="19E0FA00" w14:textId="2BAABB26" w:rsid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Subdirección de Gestión de Normativa y Doctrina</w:t>
      </w:r>
    </w:p>
    <w:p w14:paraId="3D30E6FA" w14:textId="187D4C33" w:rsidR="00D735B4" w:rsidRP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100208221-757</w:t>
      </w:r>
    </w:p>
    <w:p w14:paraId="1819D5BF" w14:textId="6B7C6A38" w:rsid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Bogotá, D.C.</w:t>
      </w:r>
    </w:p>
    <w:p w14:paraId="1F03C74E" w14:textId="77777777" w:rsidR="00D735B4" w:rsidRP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p>
    <w:tbl>
      <w:tblPr>
        <w:tblW w:w="9591" w:type="dxa"/>
        <w:shd w:val="clear" w:color="auto" w:fill="FFFFFF"/>
        <w:tblCellMar>
          <w:top w:w="15" w:type="dxa"/>
          <w:left w:w="15" w:type="dxa"/>
          <w:bottom w:w="15" w:type="dxa"/>
          <w:right w:w="15" w:type="dxa"/>
        </w:tblCellMar>
        <w:tblLook w:val="04A0" w:firstRow="1" w:lastRow="0" w:firstColumn="1" w:lastColumn="0" w:noHBand="0" w:noVBand="1"/>
      </w:tblPr>
      <w:tblGrid>
        <w:gridCol w:w="2858"/>
        <w:gridCol w:w="6733"/>
      </w:tblGrid>
      <w:tr w:rsidR="00D735B4" w:rsidRPr="00D735B4" w14:paraId="45281998" w14:textId="77777777" w:rsidTr="00F64141">
        <w:trPr>
          <w:trHeight w:val="798"/>
        </w:trPr>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3229BA75" w14:textId="77777777" w:rsidR="00D735B4" w:rsidRPr="00D735B4" w:rsidRDefault="00D735B4" w:rsidP="00D735B4">
            <w:pPr>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color w:val="454545"/>
                <w:szCs w:val="24"/>
                <w:lang w:eastAsia="es-CO"/>
              </w:rPr>
              <w:t>Tema: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22E4F8C3" w14:textId="77777777" w:rsidR="00D735B4" w:rsidRPr="00D735B4" w:rsidRDefault="00D735B4" w:rsidP="00D735B4">
            <w:pPr>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Impuesto sobre la renta y complementarios</w:t>
            </w:r>
          </w:p>
        </w:tc>
      </w:tr>
      <w:tr w:rsidR="00D735B4" w:rsidRPr="00D735B4" w14:paraId="1813A980" w14:textId="77777777" w:rsidTr="00D735B4">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2E6AC45F" w14:textId="77777777" w:rsidR="00D735B4" w:rsidRPr="00D735B4" w:rsidRDefault="00D735B4" w:rsidP="00D735B4">
            <w:pPr>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color w:val="454545"/>
                <w:szCs w:val="24"/>
                <w:lang w:eastAsia="es-CO"/>
              </w:rPr>
              <w:t>Descriptores: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54CB589F" w14:textId="77777777" w:rsidR="00D735B4" w:rsidRPr="00D735B4" w:rsidRDefault="00D735B4" w:rsidP="00D735B4">
            <w:pPr>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Entidades No Contribuyentes</w:t>
            </w:r>
          </w:p>
        </w:tc>
      </w:tr>
      <w:tr w:rsidR="00D735B4" w:rsidRPr="00D735B4" w14:paraId="19DC28DC" w14:textId="77777777" w:rsidTr="00D735B4">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455A4FE4" w14:textId="77777777" w:rsidR="00D735B4" w:rsidRPr="00D735B4" w:rsidRDefault="00D735B4" w:rsidP="00D735B4">
            <w:pPr>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color w:val="454545"/>
                <w:szCs w:val="24"/>
                <w:lang w:eastAsia="es-CO"/>
              </w:rPr>
              <w:t>Fuentes formales: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vAlign w:val="center"/>
            <w:hideMark/>
          </w:tcPr>
          <w:p w14:paraId="78EB369C" w14:textId="77777777" w:rsidR="00D735B4" w:rsidRPr="00D735B4" w:rsidRDefault="00D735B4" w:rsidP="00D735B4">
            <w:pPr>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Artículos 19, 22 y 356-2 del Estatuto Tributario.</w:t>
            </w:r>
          </w:p>
          <w:p w14:paraId="729AF3B5" w14:textId="77777777" w:rsidR="00D735B4" w:rsidRPr="00D735B4" w:rsidRDefault="00D735B4" w:rsidP="00D735B4">
            <w:pPr>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Decreto 1088 de 1993</w:t>
            </w:r>
          </w:p>
          <w:p w14:paraId="3D845C77" w14:textId="77777777" w:rsidR="00D735B4" w:rsidRPr="00D735B4" w:rsidRDefault="00D735B4" w:rsidP="00D735B4">
            <w:pPr>
              <w:spacing w:before="360"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Decreto 1953 de 2014</w:t>
            </w:r>
          </w:p>
        </w:tc>
      </w:tr>
    </w:tbl>
    <w:p w14:paraId="2E183B6B"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w:t>
      </w:r>
    </w:p>
    <w:p w14:paraId="72AC33E3"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AC5724A" w14:textId="4358F5EA"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xml:space="preserve">Mediante el radicado de la referencia, el peticionario pregunta acerca de la aplicación de la retención en la fuente a título de impuesto sobre la renta y complementarios cuando </w:t>
      </w:r>
      <w:r w:rsidRPr="00D735B4">
        <w:rPr>
          <w:rFonts w:asciiTheme="minorHAnsi" w:eastAsia="Times New Roman" w:hAnsiTheme="minorHAnsi" w:cstheme="minorHAnsi"/>
          <w:color w:val="454545"/>
          <w:szCs w:val="24"/>
          <w:highlight w:val="cyan"/>
          <w:lang w:eastAsia="es-CO"/>
        </w:rPr>
        <w:t>un ente territorial celebra un contrato con una unión temporal conformada por asociaciones de cabildos indígenas.</w:t>
      </w:r>
    </w:p>
    <w:p w14:paraId="73BE5373"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w:t>
      </w:r>
    </w:p>
    <w:p w14:paraId="6794696C"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Al respecto, las consideraciones de este Despacho son las siguientes:</w:t>
      </w:r>
    </w:p>
    <w:p w14:paraId="439D3DCF"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lastRenderedPageBreak/>
        <w:t>En primer lugar, debe precisarse que los cabildos indígenas, de acuerdo con el artículo 22 del Estatuto Tributario, son considerados no contribuyentes y no declarantes del impuesto sobre la renta y complementarios.</w:t>
      </w:r>
    </w:p>
    <w:p w14:paraId="2C319DD5" w14:textId="6E0B3808"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De manera que un cabildo indígena -debidamente constituido- no debe ser objeto de retención en la fuente a título de renta, ya que no es contribuyente de este impuesto por expresa disposición legal.</w:t>
      </w:r>
    </w:p>
    <w:p w14:paraId="150153B4" w14:textId="000CB8DB"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color w:val="454545"/>
          <w:szCs w:val="24"/>
          <w:u w:val="single"/>
          <w:lang w:eastAsia="es-CO"/>
        </w:rPr>
        <w:t>Ahora bien, distinto ocurre con las asociaciones, cuyo tratamiento jurídico tributario está dispuesto en el artículo 19 del Estatuto Tributario</w:t>
      </w:r>
      <w:r w:rsidRPr="00D735B4">
        <w:rPr>
          <w:rFonts w:asciiTheme="minorHAnsi" w:eastAsia="Times New Roman" w:hAnsiTheme="minorHAnsi" w:cstheme="minorHAnsi"/>
          <w:color w:val="454545"/>
          <w:szCs w:val="24"/>
          <w:lang w:eastAsia="es-CO"/>
        </w:rPr>
        <w:t>, norma que expresa:</w:t>
      </w:r>
    </w:p>
    <w:p w14:paraId="44F194F8" w14:textId="6F52B4A9"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i/>
          <w:iCs/>
          <w:color w:val="454545"/>
          <w:szCs w:val="24"/>
          <w:lang w:eastAsia="es-CO"/>
        </w:rPr>
        <w:t>“</w:t>
      </w:r>
      <w:r w:rsidRPr="00D735B4">
        <w:rPr>
          <w:rFonts w:asciiTheme="minorHAnsi" w:eastAsia="Times New Roman" w:hAnsiTheme="minorHAnsi" w:cstheme="minorHAnsi"/>
          <w:b/>
          <w:bCs/>
          <w:i/>
          <w:iCs/>
          <w:color w:val="454545"/>
          <w:szCs w:val="24"/>
          <w:lang w:eastAsia="es-CO"/>
        </w:rPr>
        <w:t>ARTÍCULO 19.</w:t>
      </w:r>
      <w:r w:rsidRPr="00D735B4">
        <w:rPr>
          <w:rFonts w:asciiTheme="minorHAnsi" w:eastAsia="Times New Roman" w:hAnsiTheme="minorHAnsi" w:cstheme="minorHAnsi"/>
          <w:i/>
          <w:iCs/>
          <w:color w:val="454545"/>
          <w:szCs w:val="24"/>
          <w:lang w:eastAsia="es-CO"/>
        </w:rPr>
        <w:t> CONTRIBUYENTES DEL RÉGIMEN TRIBUTARIO ESPECIAL. </w:t>
      </w:r>
      <w:r w:rsidRPr="00D735B4">
        <w:rPr>
          <w:rFonts w:asciiTheme="minorHAnsi" w:eastAsia="Times New Roman" w:hAnsiTheme="minorHAnsi" w:cstheme="minorHAnsi"/>
          <w:b/>
          <w:bCs/>
          <w:i/>
          <w:iCs/>
          <w:color w:val="454545"/>
          <w:szCs w:val="24"/>
          <w:lang w:eastAsia="es-CO"/>
        </w:rPr>
        <w:t>Todas las asociaciones</w:t>
      </w:r>
      <w:r w:rsidRPr="00D735B4">
        <w:rPr>
          <w:rFonts w:asciiTheme="minorHAnsi" w:eastAsia="Times New Roman" w:hAnsiTheme="minorHAnsi" w:cstheme="minorHAnsi"/>
          <w:i/>
          <w:iCs/>
          <w:color w:val="454545"/>
          <w:szCs w:val="24"/>
          <w:lang w:eastAsia="es-CO"/>
        </w:rPr>
        <w:t>, fundaciones y corporaciones constituidas como entidades sin ánimo de lucro, serán contribuyentes del impuesto sobre la renta y complementarios, conforme a las normas aplicables a las sociedades nacionales.</w:t>
      </w:r>
    </w:p>
    <w:p w14:paraId="62C6E7D9" w14:textId="56C77B61"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i/>
          <w:iCs/>
          <w:color w:val="454545"/>
          <w:szCs w:val="24"/>
          <w:lang w:eastAsia="es-CO"/>
        </w:rPr>
        <w:t>Excepcionalmente</w:t>
      </w:r>
      <w:r w:rsidRPr="00D735B4">
        <w:rPr>
          <w:rFonts w:asciiTheme="minorHAnsi" w:eastAsia="Times New Roman" w:hAnsiTheme="minorHAnsi" w:cstheme="minorHAnsi"/>
          <w:i/>
          <w:iCs/>
          <w:color w:val="454545"/>
          <w:szCs w:val="24"/>
          <w:lang w:eastAsia="es-CO"/>
        </w:rPr>
        <w:t>, podrán solicitar ante la administración tributaria, de acuerdo con el artículo 356-2, su calificación como contribuyentes del Régimen Tributario Especial, siempre y cuando cumplan con los requisitos que se enumeran a continuación:</w:t>
      </w:r>
    </w:p>
    <w:p w14:paraId="7A347026" w14:textId="0B5FDBB1" w:rsidR="00D735B4" w:rsidRPr="00D735B4" w:rsidRDefault="00D735B4" w:rsidP="00D735B4">
      <w:pPr>
        <w:numPr>
          <w:ilvl w:val="0"/>
          <w:numId w:val="1"/>
        </w:numPr>
        <w:shd w:val="clear" w:color="auto" w:fill="FFFFFF"/>
        <w:spacing w:before="100" w:beforeAutospacing="1" w:after="100" w:afterAutospacing="1"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i/>
          <w:iCs/>
          <w:color w:val="454545"/>
          <w:szCs w:val="24"/>
          <w:lang w:eastAsia="es-CO"/>
        </w:rPr>
        <w:t>Que estén legalmente constituidas</w:t>
      </w:r>
    </w:p>
    <w:p w14:paraId="6EDB1298" w14:textId="58F0DD1F" w:rsidR="00D735B4" w:rsidRPr="00D735B4" w:rsidRDefault="00D735B4" w:rsidP="00D735B4">
      <w:pPr>
        <w:numPr>
          <w:ilvl w:val="0"/>
          <w:numId w:val="2"/>
        </w:numPr>
        <w:shd w:val="clear" w:color="auto" w:fill="FFFFFF"/>
        <w:spacing w:before="100" w:beforeAutospacing="1" w:after="100" w:afterAutospacing="1"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i/>
          <w:iCs/>
          <w:color w:val="454545"/>
          <w:szCs w:val="24"/>
          <w:lang w:eastAsia="es-CO"/>
        </w:rPr>
        <w:t>Que su objeto social sea de interés general en una o varias de las actividades meritorias establecidas en el artículo 359 del presente Estatuto, a las cuales debe tener acceso la comunidad.</w:t>
      </w:r>
    </w:p>
    <w:p w14:paraId="7A30D691" w14:textId="3766C061" w:rsidR="00D735B4" w:rsidRPr="00D735B4" w:rsidRDefault="00D735B4" w:rsidP="00D735B4">
      <w:pPr>
        <w:numPr>
          <w:ilvl w:val="0"/>
          <w:numId w:val="3"/>
        </w:numPr>
        <w:shd w:val="clear" w:color="auto" w:fill="FFFFFF"/>
        <w:spacing w:before="100" w:beforeAutospacing="1" w:after="100" w:afterAutospacing="1"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i/>
          <w:iCs/>
          <w:color w:val="454545"/>
          <w:szCs w:val="24"/>
          <w:lang w:eastAsia="es-CO"/>
        </w:rPr>
        <w:t>Que ni sus aportes sean reembolsados ni sus excedentes distribuidos, bajo ninguna modalidad, cualquiera que sea la denominación que se utilice, ni directa, ni indirectamente, ni durante su existencia, ni en el momento de su disolución y liquidación, de acuerdo con el artículo 356-1.</w:t>
      </w:r>
    </w:p>
    <w:p w14:paraId="3EA47FFF"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i/>
          <w:iCs/>
          <w:color w:val="454545"/>
          <w:szCs w:val="24"/>
          <w:lang w:eastAsia="es-CO"/>
        </w:rPr>
        <w:t>PARÁGRAFO 1.</w:t>
      </w:r>
      <w:r w:rsidRPr="00D735B4">
        <w:rPr>
          <w:rFonts w:asciiTheme="minorHAnsi" w:eastAsia="Times New Roman" w:hAnsiTheme="minorHAnsi" w:cstheme="minorHAnsi"/>
          <w:i/>
          <w:iCs/>
          <w:color w:val="454545"/>
          <w:szCs w:val="24"/>
          <w:lang w:eastAsia="es-CO"/>
        </w:rPr>
        <w:t> La calificación de la que trata el presente artículo no aplica para las entidades enunciadas y determinadas como no contribuyentes, en el artículo 22 y 23 del presente Estatuto, ni a las señaladas en el artículo 19-4 de este Estatuto.</w:t>
      </w:r>
    </w:p>
    <w:p w14:paraId="47CF3546"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i/>
          <w:iCs/>
          <w:color w:val="454545"/>
          <w:szCs w:val="24"/>
          <w:lang w:eastAsia="es-CO"/>
        </w:rPr>
        <w:t> </w:t>
      </w:r>
    </w:p>
    <w:p w14:paraId="733B9DE3"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i/>
          <w:iCs/>
          <w:color w:val="454545"/>
          <w:szCs w:val="24"/>
          <w:lang w:eastAsia="es-CO"/>
        </w:rPr>
        <w:lastRenderedPageBreak/>
        <w:t>PARÁGRAFO 2.</w:t>
      </w:r>
      <w:r w:rsidRPr="00D735B4">
        <w:rPr>
          <w:rFonts w:asciiTheme="minorHAnsi" w:eastAsia="Times New Roman" w:hAnsiTheme="minorHAnsi" w:cstheme="minorHAnsi"/>
          <w:i/>
          <w:iCs/>
          <w:color w:val="454545"/>
          <w:szCs w:val="24"/>
          <w:lang w:eastAsia="es-CO"/>
        </w:rPr>
        <w:t> Para la verificación de la destinación de los excedentes, las entidades que superen las 160.000 UVT de ingresos anuales, deberán presentar ante la Dirección de Gestión de Fiscalización una memoria económica, en los términos del artículo 356-3 del presente Estatuto.</w:t>
      </w:r>
    </w:p>
    <w:p w14:paraId="122611ED" w14:textId="02259B28"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i/>
          <w:iCs/>
          <w:color w:val="454545"/>
          <w:szCs w:val="24"/>
          <w:lang w:eastAsia="es-CO"/>
        </w:rPr>
        <w:t>PARÁGRAFO 3.</w:t>
      </w:r>
      <w:r w:rsidRPr="00D735B4">
        <w:rPr>
          <w:rFonts w:asciiTheme="minorHAnsi" w:eastAsia="Times New Roman" w:hAnsiTheme="minorHAnsi" w:cstheme="minorHAnsi"/>
          <w:i/>
          <w:iCs/>
          <w:color w:val="454545"/>
          <w:szCs w:val="24"/>
          <w:lang w:eastAsia="es-CO"/>
        </w:rPr>
        <w:t xml:space="preserve"> Para gozar de la exención del impuesto sobre la renta de que trata el artículo 358, los contribuyentes contemplados en el presente </w:t>
      </w:r>
      <w:r w:rsidRPr="00D735B4">
        <w:rPr>
          <w:rFonts w:asciiTheme="minorHAnsi" w:eastAsia="Times New Roman" w:hAnsiTheme="minorHAnsi" w:cstheme="minorHAnsi"/>
          <w:i/>
          <w:iCs/>
          <w:color w:val="454545"/>
          <w:szCs w:val="24"/>
          <w:lang w:eastAsia="es-CO"/>
        </w:rPr>
        <w:t>artículo</w:t>
      </w:r>
      <w:r w:rsidRPr="00D735B4">
        <w:rPr>
          <w:rFonts w:asciiTheme="minorHAnsi" w:eastAsia="Times New Roman" w:hAnsiTheme="minorHAnsi" w:cstheme="minorHAnsi"/>
          <w:i/>
          <w:iCs/>
          <w:color w:val="454545"/>
          <w:szCs w:val="24"/>
          <w:lang w:eastAsia="es-CO"/>
        </w:rPr>
        <w:t xml:space="preserve"> deberán cumplir además de las condiciones aquí señaladas, las previstas en el Título VI del presente Libro.</w:t>
      </w:r>
    </w:p>
    <w:p w14:paraId="30C4E499" w14:textId="70F683E9"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i/>
          <w:iCs/>
          <w:color w:val="454545"/>
          <w:szCs w:val="24"/>
          <w:lang w:eastAsia="es-CO"/>
        </w:rPr>
        <w:t>PARÁGRAFO TRANSITORIO 1.</w:t>
      </w:r>
      <w:r w:rsidRPr="00D735B4">
        <w:rPr>
          <w:rFonts w:asciiTheme="minorHAnsi" w:eastAsia="Times New Roman" w:hAnsiTheme="minorHAnsi" w:cstheme="minorHAnsi"/>
          <w:i/>
          <w:iCs/>
          <w:color w:val="454545"/>
          <w:szCs w:val="24"/>
          <w:lang w:eastAsia="es-CO"/>
        </w:rPr>
        <w:t> Las entidades que a 31 de diciembre de 2016 se encuentren clasificadas dentro del Régimen Tributario Especial continuarán en este régimen, y para su permanencia deberán cumplir con el procedimiento establecido en el artículo 356-2 del presente Estatuto y en el decreto reglamentario que para tal efecto expida el Gobierno nacional.</w:t>
      </w:r>
    </w:p>
    <w:p w14:paraId="05EB19F1" w14:textId="4F75D8AF"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i/>
          <w:iCs/>
          <w:color w:val="454545"/>
          <w:szCs w:val="24"/>
          <w:lang w:eastAsia="es-CO"/>
        </w:rPr>
        <w:t>PARÁGRAFO TRANSITORIO 2.</w:t>
      </w:r>
      <w:r w:rsidRPr="00D735B4">
        <w:rPr>
          <w:rFonts w:asciiTheme="minorHAnsi" w:eastAsia="Times New Roman" w:hAnsiTheme="minorHAnsi" w:cstheme="minorHAnsi"/>
          <w:i/>
          <w:iCs/>
          <w:color w:val="454545"/>
          <w:szCs w:val="24"/>
          <w:lang w:eastAsia="es-CO"/>
        </w:rPr>
        <w:t> Las entidades que a 31 de diciembre de 2016 se encuentren legalmente constituidas y determinadas como no contribuyentes del impuesto sobre la renta y complementarios y que a partir del 1o de enero de 2017 son determinadas como contribuyentes del régimen ordinario del impuesto sobre la renta y complementarios que pueden solicitar su calificación al Régimen Tributario Especial, se entenderán automáticamente admitidas y calificadas dentro del mismo. Para su permanencia deberán cumplir con el procedimiento establecido en el presente Estatuto y en el decreto reglamentario que para tal efecto expida el Gobierno nacional”.</w:t>
      </w:r>
    </w:p>
    <w:p w14:paraId="1848D2D0" w14:textId="5307DD32"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Así pues, cualquier asociación, </w:t>
      </w:r>
      <w:r w:rsidRPr="00D735B4">
        <w:rPr>
          <w:rFonts w:asciiTheme="minorHAnsi" w:eastAsia="Times New Roman" w:hAnsiTheme="minorHAnsi" w:cstheme="minorHAnsi"/>
          <w:b/>
          <w:bCs/>
          <w:color w:val="454545"/>
          <w:szCs w:val="24"/>
          <w:u w:val="single"/>
          <w:lang w:eastAsia="es-CO"/>
        </w:rPr>
        <w:t>entre ellas las asociaciones de cabildos indígenas</w:t>
      </w:r>
      <w:r w:rsidRPr="00D735B4">
        <w:rPr>
          <w:rFonts w:asciiTheme="minorHAnsi" w:eastAsia="Times New Roman" w:hAnsiTheme="minorHAnsi" w:cstheme="minorHAnsi"/>
          <w:color w:val="454545"/>
          <w:szCs w:val="24"/>
          <w:u w:val="single"/>
          <w:lang w:eastAsia="es-CO"/>
        </w:rPr>
        <w:t>, </w:t>
      </w:r>
      <w:r w:rsidRPr="00D735B4">
        <w:rPr>
          <w:rFonts w:asciiTheme="minorHAnsi" w:eastAsia="Times New Roman" w:hAnsiTheme="minorHAnsi" w:cstheme="minorHAnsi"/>
          <w:b/>
          <w:bCs/>
          <w:color w:val="454545"/>
          <w:szCs w:val="24"/>
          <w:u w:val="single"/>
          <w:lang w:eastAsia="es-CO"/>
        </w:rPr>
        <w:t>reglamentadas en el Decreto 1088 de 1993, como entidades de Derecho Público de carácter especial, con personería jurídica, patrimonio propio y autonomía administrativa, deberán sujetarse tributariamente a lo dispuesto en la norma precitada</w:t>
      </w:r>
      <w:r w:rsidRPr="00D735B4">
        <w:rPr>
          <w:rFonts w:asciiTheme="minorHAnsi" w:eastAsia="Times New Roman" w:hAnsiTheme="minorHAnsi" w:cstheme="minorHAnsi"/>
          <w:b/>
          <w:bCs/>
          <w:color w:val="454545"/>
          <w:szCs w:val="24"/>
          <w:lang w:eastAsia="es-CO"/>
        </w:rPr>
        <w:t>.</w:t>
      </w:r>
    </w:p>
    <w:p w14:paraId="01FE3766" w14:textId="57440724"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highlight w:val="yellow"/>
          <w:lang w:eastAsia="es-CO"/>
        </w:rPr>
        <w:t xml:space="preserve">Por lo cual, siempre que las asociaciones de cabildos indígenas estén calificadas como contribuyentes del Régimen Tributario Especial del impuesto sobre la renta y complementarios, </w:t>
      </w:r>
      <w:r w:rsidRPr="00D735B4">
        <w:rPr>
          <w:rFonts w:asciiTheme="minorHAnsi" w:eastAsia="Times New Roman" w:hAnsiTheme="minorHAnsi" w:cstheme="minorHAnsi"/>
          <w:color w:val="454545"/>
          <w:szCs w:val="24"/>
          <w:highlight w:val="cyan"/>
          <w:lang w:eastAsia="es-CO"/>
        </w:rPr>
        <w:t>la retención en la fuente a título del mencionado tributo se efectuará atendiendo a lo dispuesto en el artículo 1.2.1.5.1.48. del Decreto 1625 de 2016, que señala:</w:t>
      </w:r>
    </w:p>
    <w:p w14:paraId="65B6B942" w14:textId="1CC70BFA"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 w:val="32"/>
          <w:szCs w:val="32"/>
          <w:highlight w:val="cyan"/>
          <w:lang w:eastAsia="es-CO"/>
        </w:rPr>
      </w:pPr>
      <w:r w:rsidRPr="00D735B4">
        <w:rPr>
          <w:rFonts w:asciiTheme="minorHAnsi" w:eastAsia="Times New Roman" w:hAnsiTheme="minorHAnsi" w:cstheme="minorHAnsi"/>
          <w:i/>
          <w:iCs/>
          <w:color w:val="454545"/>
          <w:sz w:val="32"/>
          <w:szCs w:val="32"/>
          <w:lang w:eastAsia="es-CO"/>
        </w:rPr>
        <w:t>“</w:t>
      </w:r>
      <w:r w:rsidRPr="00D735B4">
        <w:rPr>
          <w:rFonts w:asciiTheme="minorHAnsi" w:eastAsia="Times New Roman" w:hAnsiTheme="minorHAnsi" w:cstheme="minorHAnsi"/>
          <w:b/>
          <w:bCs/>
          <w:i/>
          <w:iCs/>
          <w:color w:val="454545"/>
          <w:sz w:val="32"/>
          <w:szCs w:val="32"/>
          <w:lang w:eastAsia="es-CO"/>
        </w:rPr>
        <w:t>Retención en la fuente a título de impuesto sobre la renta. </w:t>
      </w:r>
      <w:r w:rsidRPr="00D735B4">
        <w:rPr>
          <w:rFonts w:asciiTheme="minorHAnsi" w:eastAsia="Times New Roman" w:hAnsiTheme="minorHAnsi" w:cstheme="minorHAnsi"/>
          <w:i/>
          <w:iCs/>
          <w:color w:val="454545"/>
          <w:sz w:val="32"/>
          <w:szCs w:val="32"/>
          <w:lang w:eastAsia="es-CO"/>
        </w:rPr>
        <w:t xml:space="preserve">Los pagos o abonos en cuenta que se realicen a favor de los contribuyentes pertenecientes al Régimen Tributario Especial a que se refiere el artículo 1.2.1.5.1.2. de este Decreto, correspondientes a las actividades </w:t>
      </w:r>
      <w:r w:rsidRPr="00D735B4">
        <w:rPr>
          <w:rFonts w:asciiTheme="minorHAnsi" w:eastAsia="Times New Roman" w:hAnsiTheme="minorHAnsi" w:cstheme="minorHAnsi"/>
          <w:i/>
          <w:iCs/>
          <w:color w:val="454545"/>
          <w:sz w:val="32"/>
          <w:szCs w:val="32"/>
          <w:lang w:eastAsia="es-CO"/>
        </w:rPr>
        <w:lastRenderedPageBreak/>
        <w:t xml:space="preserve">meritorias del </w:t>
      </w:r>
      <w:r w:rsidRPr="00D735B4">
        <w:rPr>
          <w:rFonts w:asciiTheme="minorHAnsi" w:eastAsia="Times New Roman" w:hAnsiTheme="minorHAnsi" w:cstheme="minorHAnsi"/>
          <w:i/>
          <w:iCs/>
          <w:color w:val="454545"/>
          <w:sz w:val="32"/>
          <w:szCs w:val="32"/>
          <w:highlight w:val="cyan"/>
          <w:lang w:eastAsia="es-CO"/>
        </w:rPr>
        <w:t>objeto social no estarán sometidos a retención en la fuente a título de impuesto sobre la renta”.</w:t>
      </w:r>
    </w:p>
    <w:p w14:paraId="1E383A33" w14:textId="5A72773D"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 w:val="32"/>
          <w:szCs w:val="32"/>
          <w:highlight w:val="cyan"/>
          <w:lang w:eastAsia="es-CO"/>
        </w:rPr>
      </w:pPr>
      <w:r w:rsidRPr="00D735B4">
        <w:rPr>
          <w:rFonts w:asciiTheme="minorHAnsi" w:eastAsia="Times New Roman" w:hAnsiTheme="minorHAnsi" w:cstheme="minorHAnsi"/>
          <w:i/>
          <w:iCs/>
          <w:color w:val="454545"/>
          <w:sz w:val="32"/>
          <w:szCs w:val="32"/>
          <w:highlight w:val="cyan"/>
          <w:lang w:eastAsia="es-CO"/>
        </w:rPr>
        <w:t>Para el efecto, la entidad deberá demostrar la calificación con copia del certificado del Registro Único Tributario -RUT ante el agente retenedor.</w:t>
      </w:r>
    </w:p>
    <w:p w14:paraId="7E804018" w14:textId="34051174"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i/>
          <w:iCs/>
          <w:color w:val="454545"/>
          <w:szCs w:val="24"/>
          <w:lang w:eastAsia="es-CO"/>
        </w:rPr>
        <w:t>Los pagos o abonos en cuenta que reciban las entidades sometidas al Régimen Tributario Especial correspondientes a la ejecución de contratos de obra pública y de interventoría cualquiera que sea la modalidad de los mismos, se sujetan a retención en la fuente por parte de la entidad estatal contratante, a la tarifa general del impuesto sobre la renta y complementario vigente sobre el monto total del pago o abono en cuenta.</w:t>
      </w:r>
    </w:p>
    <w:p w14:paraId="27F63047" w14:textId="36043C08"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i/>
          <w:iCs/>
          <w:color w:val="454545"/>
          <w:szCs w:val="24"/>
          <w:lang w:eastAsia="es-CO"/>
        </w:rPr>
        <w:t>Los contribuyentes pertenecientes al Régimen Tributario Especial a que se refiere el artículo 1.2.1.5.1.2. de este Decreto están sujetos a retención en la fuente de acuerdo con las normas vigentes sobre los ingresos por rendimientos financieros que perciban durante el respectivo ejercicio gravable, según lo previsto en el artículo 19-1 del Estatuto Tributario”</w:t>
      </w:r>
      <w:r w:rsidRPr="00D735B4">
        <w:rPr>
          <w:rFonts w:asciiTheme="minorHAnsi" w:eastAsia="Times New Roman" w:hAnsiTheme="minorHAnsi" w:cstheme="minorHAnsi"/>
          <w:color w:val="454545"/>
          <w:szCs w:val="24"/>
          <w:lang w:eastAsia="es-CO"/>
        </w:rPr>
        <w:t>.</w:t>
      </w:r>
    </w:p>
    <w:p w14:paraId="5DF1F450" w14:textId="4E8ED864"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De igual manera, este Despacho ha explicado en el Concepto Unificado de Entidades Sin Ánimo de Lucro –ESAL del año 2018, sobre la aplicación de la retención en la fuente a título de impuesto sobre la renta, lo siguiente:</w:t>
      </w:r>
    </w:p>
    <w:p w14:paraId="126C2939" w14:textId="6354051E"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 w:val="32"/>
          <w:szCs w:val="32"/>
          <w:highlight w:val="cyan"/>
          <w:lang w:eastAsia="es-CO"/>
        </w:rPr>
      </w:pPr>
      <w:r w:rsidRPr="00D735B4">
        <w:rPr>
          <w:rFonts w:asciiTheme="minorHAnsi" w:eastAsia="Times New Roman" w:hAnsiTheme="minorHAnsi" w:cstheme="minorHAnsi"/>
          <w:i/>
          <w:iCs/>
          <w:color w:val="454545"/>
          <w:sz w:val="32"/>
          <w:szCs w:val="32"/>
          <w:highlight w:val="cyan"/>
          <w:lang w:eastAsia="es-CO"/>
        </w:rPr>
        <w:t>“</w:t>
      </w:r>
      <w:r w:rsidRPr="00D735B4">
        <w:rPr>
          <w:rFonts w:asciiTheme="minorHAnsi" w:eastAsia="Times New Roman" w:hAnsiTheme="minorHAnsi" w:cstheme="minorHAnsi"/>
          <w:b/>
          <w:bCs/>
          <w:i/>
          <w:iCs/>
          <w:color w:val="454545"/>
          <w:sz w:val="32"/>
          <w:szCs w:val="32"/>
          <w:highlight w:val="cyan"/>
          <w:lang w:eastAsia="es-CO"/>
        </w:rPr>
        <w:t>4.72. DESCRIPTOR:</w:t>
      </w:r>
      <w:r w:rsidRPr="00D735B4">
        <w:rPr>
          <w:rFonts w:asciiTheme="minorHAnsi" w:eastAsia="Times New Roman" w:hAnsiTheme="minorHAnsi" w:cstheme="minorHAnsi"/>
          <w:i/>
          <w:iCs/>
          <w:color w:val="454545"/>
          <w:sz w:val="32"/>
          <w:szCs w:val="32"/>
          <w:highlight w:val="cyan"/>
          <w:lang w:eastAsia="es-CO"/>
        </w:rPr>
        <w:t> Régimen tributario especial. Retención en la fuente ¿Cómo se acredita la excepción de retención en la fuente?</w:t>
      </w:r>
    </w:p>
    <w:p w14:paraId="03109E27" w14:textId="44823A12"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 w:val="32"/>
          <w:szCs w:val="32"/>
          <w:highlight w:val="cyan"/>
          <w:lang w:eastAsia="es-CO"/>
        </w:rPr>
      </w:pPr>
      <w:r w:rsidRPr="00D735B4">
        <w:rPr>
          <w:rFonts w:asciiTheme="minorHAnsi" w:eastAsia="Times New Roman" w:hAnsiTheme="minorHAnsi" w:cstheme="minorHAnsi"/>
          <w:i/>
          <w:iCs/>
          <w:color w:val="454545"/>
          <w:sz w:val="32"/>
          <w:szCs w:val="32"/>
          <w:highlight w:val="cyan"/>
          <w:lang w:eastAsia="es-CO"/>
        </w:rPr>
        <w:t>El artículo 1.2.1.5.1.48 del Decreto 1625 de 2016 establece que la forma de acreditar la condición de entidad del Régimen Tributario Especial ante el agente retenedor, para que no se practique la retención en la fuente por los pagos o abonos en cuenta, producto del desarrollo de las actividades meritorias y complementarias, diferentes a la ejecución de contratos de obra pública y de interventoría, es a través del Registro Único Tributario-RUT, el cual deberá reflejar tal condición.</w:t>
      </w:r>
    </w:p>
    <w:p w14:paraId="407DF562" w14:textId="7566AC3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 w:val="32"/>
          <w:szCs w:val="32"/>
          <w:lang w:eastAsia="es-CO"/>
        </w:rPr>
      </w:pPr>
      <w:r w:rsidRPr="00D735B4">
        <w:rPr>
          <w:rFonts w:asciiTheme="minorHAnsi" w:eastAsia="Times New Roman" w:hAnsiTheme="minorHAnsi" w:cstheme="minorHAnsi"/>
          <w:i/>
          <w:iCs/>
          <w:color w:val="454545"/>
          <w:sz w:val="32"/>
          <w:szCs w:val="32"/>
          <w:highlight w:val="cyan"/>
          <w:lang w:eastAsia="es-CO"/>
        </w:rPr>
        <w:t xml:space="preserve">Es importante tener en cuenta que las entidades del Régimen Tributario Especial deben adelantar los procesos de calificación, permanencia </w:t>
      </w:r>
      <w:r w:rsidRPr="00D735B4">
        <w:rPr>
          <w:rFonts w:asciiTheme="minorHAnsi" w:eastAsia="Times New Roman" w:hAnsiTheme="minorHAnsi" w:cstheme="minorHAnsi"/>
          <w:i/>
          <w:iCs/>
          <w:color w:val="454545"/>
          <w:sz w:val="32"/>
          <w:szCs w:val="32"/>
          <w:highlight w:val="cyan"/>
          <w:lang w:eastAsia="es-CO"/>
        </w:rPr>
        <w:lastRenderedPageBreak/>
        <w:t>(según corresponda) y la actualización de forma anual, cuyo resultado debe estar reflejado en el Registro Único Tributario-RUT.</w:t>
      </w:r>
    </w:p>
    <w:p w14:paraId="75AB2930" w14:textId="66733C03"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 w:val="32"/>
          <w:szCs w:val="32"/>
          <w:lang w:eastAsia="es-CO"/>
        </w:rPr>
      </w:pPr>
      <w:r w:rsidRPr="00D735B4">
        <w:rPr>
          <w:rFonts w:asciiTheme="minorHAnsi" w:eastAsia="Times New Roman" w:hAnsiTheme="minorHAnsi" w:cstheme="minorHAnsi"/>
          <w:i/>
          <w:iCs/>
          <w:color w:val="454545"/>
          <w:sz w:val="32"/>
          <w:szCs w:val="32"/>
          <w:highlight w:val="cyan"/>
          <w:lang w:eastAsia="es-CO"/>
        </w:rPr>
        <w:t>En el evento que se haya practicado retención en la fuente por estos conceptos, por parte de los agentes de retención, la entidad tendría las siguientes alternativas para recuperar las sumas sometidas a retención:</w:t>
      </w:r>
    </w:p>
    <w:p w14:paraId="43DC9B5F" w14:textId="63F0CF1B"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w:t>
      </w:r>
      <w:r w:rsidRPr="00D735B4">
        <w:rPr>
          <w:rFonts w:asciiTheme="minorHAnsi" w:eastAsia="Times New Roman" w:hAnsiTheme="minorHAnsi" w:cstheme="minorHAnsi"/>
          <w:i/>
          <w:iCs/>
          <w:color w:val="454545"/>
          <w:szCs w:val="24"/>
          <w:lang w:eastAsia="es-CO"/>
        </w:rPr>
        <w:t>A través de la presentación de la declaración del impuesto de renta y complementario, donde se incorporaría el monto de las retenciones en la fuente practicadas y que podría dar lugar a un saldo a favor, que puede ser solicitado en devolución y/o compensación en los términos del artículo 850 del E.T. o;</w:t>
      </w:r>
      <w:r w:rsidRPr="00D735B4">
        <w:rPr>
          <w:rFonts w:asciiTheme="minorHAnsi" w:eastAsia="Times New Roman" w:hAnsiTheme="minorHAnsi" w:cstheme="minorHAnsi"/>
          <w:color w:val="454545"/>
          <w:szCs w:val="24"/>
          <w:lang w:eastAsia="es-CO"/>
        </w:rPr>
        <w:t> </w:t>
      </w:r>
    </w:p>
    <w:p w14:paraId="01417431" w14:textId="77777777"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highlight w:val="cyan"/>
          <w:lang w:eastAsia="es-CO"/>
        </w:rPr>
        <w:t>– </w:t>
      </w:r>
      <w:r w:rsidRPr="00D735B4">
        <w:rPr>
          <w:rFonts w:asciiTheme="minorHAnsi" w:eastAsia="Times New Roman" w:hAnsiTheme="minorHAnsi" w:cstheme="minorHAnsi"/>
          <w:i/>
          <w:iCs/>
          <w:color w:val="454545"/>
          <w:szCs w:val="24"/>
          <w:highlight w:val="cyan"/>
          <w:lang w:eastAsia="es-CO"/>
        </w:rPr>
        <w:t>Mediante el procedimiento consagrado en el artículo 1.2.4.16. del Decreto 1625 de 2016 (que compila el artículo 6 del Decreto 1189 de 1988)”.</w:t>
      </w:r>
    </w:p>
    <w:p w14:paraId="449C78E4" w14:textId="2C9855A2"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xml:space="preserve">De otro lado, se precisa que deberán ser objeto de retención en la fuente a título del impuesto sobre la renta y complementarios, las asociaciones de cabildos indígenas </w:t>
      </w:r>
      <w:r w:rsidRPr="00D735B4">
        <w:rPr>
          <w:rFonts w:asciiTheme="minorHAnsi" w:eastAsia="Times New Roman" w:hAnsiTheme="minorHAnsi" w:cstheme="minorHAnsi"/>
          <w:color w:val="454545"/>
          <w:szCs w:val="24"/>
          <w:highlight w:val="cyan"/>
          <w:lang w:eastAsia="es-CO"/>
        </w:rPr>
        <w:t>que no estén calificadas como contribuyentes del Régimen Tributario Especial.</w:t>
      </w:r>
    </w:p>
    <w:p w14:paraId="60DDA272" w14:textId="5D4D112A"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xml:space="preserve">Ahora bien, dado que una unión temporal, constituye un contrato de colaboración empresarial que en sí mismo no es contribuyente del impuesto sobre la renta y complementarios, </w:t>
      </w:r>
      <w:r w:rsidRPr="00D735B4">
        <w:rPr>
          <w:rFonts w:asciiTheme="minorHAnsi" w:eastAsia="Times New Roman" w:hAnsiTheme="minorHAnsi" w:cstheme="minorHAnsi"/>
          <w:color w:val="454545"/>
          <w:szCs w:val="24"/>
          <w:highlight w:val="cyan"/>
          <w:lang w:eastAsia="es-CO"/>
        </w:rPr>
        <w:t xml:space="preserve">es obligación del agente retenedor determinar </w:t>
      </w:r>
      <w:r w:rsidRPr="00D735B4">
        <w:rPr>
          <w:rFonts w:asciiTheme="minorHAnsi" w:eastAsia="Times New Roman" w:hAnsiTheme="minorHAnsi" w:cstheme="minorHAnsi"/>
          <w:color w:val="454545"/>
          <w:szCs w:val="24"/>
          <w:highlight w:val="yellow"/>
          <w:lang w:eastAsia="es-CO"/>
        </w:rPr>
        <w:t>con base en lo explicado previamente</w:t>
      </w:r>
      <w:r w:rsidRPr="00D735B4">
        <w:rPr>
          <w:rFonts w:asciiTheme="minorHAnsi" w:eastAsia="Times New Roman" w:hAnsiTheme="minorHAnsi" w:cstheme="minorHAnsi"/>
          <w:color w:val="454545"/>
          <w:szCs w:val="24"/>
          <w:highlight w:val="cyan"/>
          <w:lang w:eastAsia="es-CO"/>
        </w:rPr>
        <w:t>, si los miembros que la conforman son contribuyentes del mencionado impuesto, para así, efectuar la correspondiente retención.</w:t>
      </w:r>
    </w:p>
    <w:p w14:paraId="77F99BA3" w14:textId="0DEC4802" w:rsidR="00D735B4" w:rsidRPr="00D735B4" w:rsidRDefault="00D735B4" w:rsidP="00D735B4">
      <w:pPr>
        <w:shd w:val="clear" w:color="auto" w:fill="FFFFFF"/>
        <w:spacing w:before="360" w:after="36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En los anteriores términos se responde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5" w:history="1">
        <w:r w:rsidRPr="00D735B4">
          <w:rPr>
            <w:rFonts w:asciiTheme="minorHAnsi" w:eastAsia="Times New Roman" w:hAnsiTheme="minorHAnsi" w:cstheme="minorHAnsi"/>
            <w:color w:val="0000FF"/>
            <w:szCs w:val="24"/>
            <w:u w:val="single"/>
            <w:lang w:eastAsia="es-CO"/>
          </w:rPr>
          <w:t>http://www.dian.gov.co</w:t>
        </w:r>
      </w:hyperlink>
      <w:r w:rsidRPr="00D735B4">
        <w:rPr>
          <w:rFonts w:asciiTheme="minorHAnsi" w:eastAsia="Times New Roman" w:hAnsiTheme="minorHAnsi" w:cstheme="minorHAnsi"/>
          <w:color w:val="454545"/>
          <w:szCs w:val="24"/>
          <w:lang w:eastAsia="es-CO"/>
        </w:rPr>
        <w:t> siguiendo los íconos “Normatividad”-“Técnica” y seleccionando los vínculos “Doctrina” y “Dirección de Gestión Jurídica”.</w:t>
      </w:r>
    </w:p>
    <w:p w14:paraId="6299B08E" w14:textId="77777777" w:rsid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 Atentamente,</w:t>
      </w:r>
    </w:p>
    <w:p w14:paraId="03910E04" w14:textId="77777777" w:rsid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b/>
          <w:bCs/>
          <w:color w:val="454545"/>
          <w:szCs w:val="24"/>
          <w:lang w:eastAsia="es-CO"/>
        </w:rPr>
        <w:t>PABLO EMILIO MENDOZA VELILLA</w:t>
      </w:r>
    </w:p>
    <w:p w14:paraId="05757F1D" w14:textId="3B1DDC16" w:rsidR="00D735B4" w:rsidRP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Subdirección de Gestión Normativa y Doctrina</w:t>
      </w:r>
    </w:p>
    <w:p w14:paraId="079A3383" w14:textId="77777777" w:rsidR="00D735B4" w:rsidRP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Dirección de Gestión Jurídica</w:t>
      </w:r>
    </w:p>
    <w:p w14:paraId="41B6D001" w14:textId="77777777" w:rsidR="00D735B4" w:rsidRPr="00D735B4" w:rsidRDefault="00D735B4" w:rsidP="00D735B4">
      <w:pPr>
        <w:shd w:val="clear" w:color="auto" w:fill="FFFFFF"/>
        <w:spacing w:after="0" w:line="360" w:lineRule="auto"/>
        <w:jc w:val="both"/>
        <w:rPr>
          <w:rFonts w:asciiTheme="minorHAnsi" w:eastAsia="Times New Roman" w:hAnsiTheme="minorHAnsi" w:cstheme="minorHAnsi"/>
          <w:color w:val="454545"/>
          <w:szCs w:val="24"/>
          <w:lang w:eastAsia="es-CO"/>
        </w:rPr>
      </w:pPr>
      <w:r w:rsidRPr="00D735B4">
        <w:rPr>
          <w:rFonts w:asciiTheme="minorHAnsi" w:eastAsia="Times New Roman" w:hAnsiTheme="minorHAnsi" w:cstheme="minorHAnsi"/>
          <w:color w:val="454545"/>
          <w:szCs w:val="24"/>
          <w:lang w:eastAsia="es-CO"/>
        </w:rPr>
        <w:t>UAE-Dirección de Impuestos y Aduanas Nacionales</w:t>
      </w:r>
    </w:p>
    <w:p w14:paraId="3E681F72" w14:textId="6CB6CB0B" w:rsidR="007F5CC8" w:rsidRPr="00D735B4" w:rsidRDefault="00D735B4" w:rsidP="00D735B4">
      <w:pPr>
        <w:spacing w:line="360" w:lineRule="auto"/>
        <w:jc w:val="both"/>
        <w:rPr>
          <w:rFonts w:asciiTheme="minorHAnsi" w:hAnsiTheme="minorHAnsi" w:cstheme="minorHAnsi"/>
          <w:szCs w:val="24"/>
        </w:rPr>
      </w:pPr>
      <w:r>
        <w:rPr>
          <w:rFonts w:asciiTheme="minorHAnsi" w:hAnsiTheme="minorHAnsi" w:cstheme="minorHAnsi"/>
          <w:szCs w:val="24"/>
        </w:rPr>
        <w:lastRenderedPageBreak/>
        <w:t>_____________________________________________________________________________</w:t>
      </w:r>
    </w:p>
    <w:sectPr w:rsidR="007F5CC8" w:rsidRPr="00D735B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7DC"/>
    <w:multiLevelType w:val="multilevel"/>
    <w:tmpl w:val="722E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F79F4"/>
    <w:multiLevelType w:val="multilevel"/>
    <w:tmpl w:val="AD040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440364"/>
    <w:multiLevelType w:val="multilevel"/>
    <w:tmpl w:val="A9B87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B4"/>
    <w:rsid w:val="000F3837"/>
    <w:rsid w:val="001E311E"/>
    <w:rsid w:val="00434AE6"/>
    <w:rsid w:val="005651CB"/>
    <w:rsid w:val="007F5CC8"/>
    <w:rsid w:val="008779BE"/>
    <w:rsid w:val="00D735B4"/>
    <w:rsid w:val="00EB5ADB"/>
    <w:rsid w:val="00F64141"/>
    <w:rsid w:val="00FA617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A286"/>
  <w15:chartTrackingRefBased/>
  <w15:docId w15:val="{D89145A3-C09F-4FEF-8F55-7009BADE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1512</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2021-10-27T00:50:00Z</dcterms:created>
  <dcterms:modified xsi:type="dcterms:W3CDTF">2021-10-27T01:03:00Z</dcterms:modified>
</cp:coreProperties>
</file>