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7222" w14:textId="77777777" w:rsidR="00243EF3" w:rsidRPr="00243EF3" w:rsidRDefault="00243EF3" w:rsidP="00243EF3">
      <w:pPr>
        <w:shd w:val="clear" w:color="auto" w:fill="FFFFFF"/>
        <w:spacing w:after="150" w:line="360" w:lineRule="auto"/>
        <w:jc w:val="center"/>
        <w:rPr>
          <w:rFonts w:eastAsia="Times New Roman" w:cs="Times New Roman"/>
          <w:color w:val="555555"/>
          <w:szCs w:val="24"/>
          <w:lang w:eastAsia="es-CO"/>
        </w:rPr>
      </w:pPr>
      <w:r w:rsidRPr="00243EF3">
        <w:rPr>
          <w:rFonts w:eastAsia="Times New Roman" w:cs="Times New Roman"/>
          <w:b/>
          <w:bCs/>
          <w:color w:val="0000FF"/>
          <w:szCs w:val="24"/>
          <w:lang w:eastAsia="es-CO"/>
        </w:rPr>
        <w:t xml:space="preserve">OFICIO </w:t>
      </w:r>
      <w:proofErr w:type="spellStart"/>
      <w:r w:rsidRPr="00243EF3">
        <w:rPr>
          <w:rFonts w:eastAsia="Times New Roman" w:cs="Times New Roman"/>
          <w:b/>
          <w:bCs/>
          <w:color w:val="0000FF"/>
          <w:szCs w:val="24"/>
          <w:lang w:eastAsia="es-CO"/>
        </w:rPr>
        <w:t>Nº</w:t>
      </w:r>
      <w:proofErr w:type="spellEnd"/>
      <w:r w:rsidRPr="00243EF3">
        <w:rPr>
          <w:rFonts w:eastAsia="Times New Roman" w:cs="Times New Roman"/>
          <w:b/>
          <w:bCs/>
          <w:color w:val="0000FF"/>
          <w:szCs w:val="24"/>
          <w:lang w:eastAsia="es-CO"/>
        </w:rPr>
        <w:t xml:space="preserve"> 744 [904821]</w:t>
      </w:r>
    </w:p>
    <w:p w14:paraId="26E1390D" w14:textId="77777777" w:rsidR="00243EF3" w:rsidRPr="00243EF3" w:rsidRDefault="00243EF3" w:rsidP="00243EF3">
      <w:pPr>
        <w:shd w:val="clear" w:color="auto" w:fill="FFFFFF"/>
        <w:spacing w:after="150" w:line="360" w:lineRule="auto"/>
        <w:jc w:val="center"/>
        <w:rPr>
          <w:rFonts w:eastAsia="Times New Roman" w:cs="Times New Roman"/>
          <w:color w:val="555555"/>
          <w:szCs w:val="24"/>
          <w:lang w:eastAsia="es-CO"/>
        </w:rPr>
      </w:pPr>
      <w:r w:rsidRPr="00243EF3">
        <w:rPr>
          <w:rFonts w:eastAsia="Times New Roman" w:cs="Times New Roman"/>
          <w:b/>
          <w:bCs/>
          <w:color w:val="0000FF"/>
          <w:szCs w:val="24"/>
          <w:lang w:eastAsia="es-CO"/>
        </w:rPr>
        <w:t>27-05-2021</w:t>
      </w:r>
    </w:p>
    <w:p w14:paraId="29567221" w14:textId="77777777" w:rsidR="00243EF3" w:rsidRPr="00243EF3" w:rsidRDefault="00243EF3" w:rsidP="00243EF3">
      <w:pPr>
        <w:shd w:val="clear" w:color="auto" w:fill="FFFFFF"/>
        <w:spacing w:after="150" w:line="360" w:lineRule="auto"/>
        <w:jc w:val="center"/>
        <w:rPr>
          <w:rFonts w:eastAsia="Times New Roman" w:cs="Times New Roman"/>
          <w:color w:val="555555"/>
          <w:szCs w:val="24"/>
          <w:lang w:eastAsia="es-CO"/>
        </w:rPr>
      </w:pPr>
      <w:r w:rsidRPr="00243EF3">
        <w:rPr>
          <w:rFonts w:eastAsia="Times New Roman" w:cs="Times New Roman"/>
          <w:b/>
          <w:bCs/>
          <w:color w:val="0000FF"/>
          <w:szCs w:val="24"/>
          <w:lang w:eastAsia="es-CO"/>
        </w:rPr>
        <w:t>DIAN</w:t>
      </w:r>
    </w:p>
    <w:p w14:paraId="662E6175" w14:textId="1D1E9218"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p w14:paraId="1C5DB9B8"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Subdirección de Gestión Normativa y Doctrina</w:t>
      </w:r>
    </w:p>
    <w:p w14:paraId="52AA971E"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100208221-744</w:t>
      </w:r>
    </w:p>
    <w:p w14:paraId="6807EF6D" w14:textId="7B539F32" w:rsid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Bogotá, D.C.</w:t>
      </w:r>
    </w:p>
    <w:p w14:paraId="520F3168"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270"/>
        <w:gridCol w:w="270"/>
        <w:gridCol w:w="6360"/>
      </w:tblGrid>
      <w:tr w:rsidR="00243EF3" w:rsidRPr="00243EF3" w14:paraId="5F7289FD" w14:textId="77777777" w:rsidTr="00243EF3">
        <w:tc>
          <w:tcPr>
            <w:tcW w:w="1830" w:type="dxa"/>
            <w:shd w:val="clear" w:color="auto" w:fill="FFFFFF"/>
            <w:tcMar>
              <w:top w:w="0" w:type="dxa"/>
              <w:left w:w="105" w:type="dxa"/>
              <w:bottom w:w="0" w:type="dxa"/>
              <w:right w:w="105" w:type="dxa"/>
            </w:tcMar>
            <w:hideMark/>
          </w:tcPr>
          <w:p w14:paraId="1379188B"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b/>
                <w:bCs/>
                <w:color w:val="555555"/>
                <w:szCs w:val="24"/>
                <w:lang w:eastAsia="es-CO"/>
              </w:rPr>
              <w:t>Tema</w:t>
            </w:r>
          </w:p>
        </w:tc>
        <w:tc>
          <w:tcPr>
            <w:tcW w:w="240" w:type="dxa"/>
            <w:shd w:val="clear" w:color="auto" w:fill="FFFFFF"/>
            <w:tcMar>
              <w:top w:w="0" w:type="dxa"/>
              <w:left w:w="105" w:type="dxa"/>
              <w:bottom w:w="0" w:type="dxa"/>
              <w:right w:w="105" w:type="dxa"/>
            </w:tcMar>
            <w:hideMark/>
          </w:tcPr>
          <w:p w14:paraId="27AF4E36"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0B582C8F"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tc>
        <w:tc>
          <w:tcPr>
            <w:tcW w:w="6360" w:type="dxa"/>
            <w:shd w:val="clear" w:color="auto" w:fill="FFFFFF"/>
            <w:tcMar>
              <w:top w:w="0" w:type="dxa"/>
              <w:left w:w="105" w:type="dxa"/>
              <w:bottom w:w="0" w:type="dxa"/>
              <w:right w:w="105" w:type="dxa"/>
            </w:tcMar>
            <w:hideMark/>
          </w:tcPr>
          <w:p w14:paraId="50B2339A"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Procedimiento tributario</w:t>
            </w:r>
          </w:p>
        </w:tc>
      </w:tr>
      <w:tr w:rsidR="00243EF3" w:rsidRPr="00243EF3" w14:paraId="3ABFA5C3" w14:textId="77777777" w:rsidTr="00243EF3">
        <w:tc>
          <w:tcPr>
            <w:tcW w:w="1830" w:type="dxa"/>
            <w:shd w:val="clear" w:color="auto" w:fill="FFFFFF"/>
            <w:tcMar>
              <w:top w:w="0" w:type="dxa"/>
              <w:left w:w="105" w:type="dxa"/>
              <w:bottom w:w="0" w:type="dxa"/>
              <w:right w:w="105" w:type="dxa"/>
            </w:tcMar>
            <w:hideMark/>
          </w:tcPr>
          <w:p w14:paraId="48249018"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b/>
                <w:bCs/>
                <w:color w:val="555555"/>
                <w:szCs w:val="24"/>
                <w:lang w:eastAsia="es-CO"/>
              </w:rPr>
              <w:t>Descriptores</w:t>
            </w:r>
          </w:p>
        </w:tc>
        <w:tc>
          <w:tcPr>
            <w:tcW w:w="240" w:type="dxa"/>
            <w:shd w:val="clear" w:color="auto" w:fill="FFFFFF"/>
            <w:tcMar>
              <w:top w:w="0" w:type="dxa"/>
              <w:left w:w="105" w:type="dxa"/>
              <w:bottom w:w="0" w:type="dxa"/>
              <w:right w:w="105" w:type="dxa"/>
            </w:tcMar>
            <w:hideMark/>
          </w:tcPr>
          <w:p w14:paraId="3DB8B2C0"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71AE34E8"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tc>
        <w:tc>
          <w:tcPr>
            <w:tcW w:w="6360" w:type="dxa"/>
            <w:shd w:val="clear" w:color="auto" w:fill="FFFFFF"/>
            <w:tcMar>
              <w:top w:w="0" w:type="dxa"/>
              <w:left w:w="105" w:type="dxa"/>
              <w:bottom w:w="0" w:type="dxa"/>
              <w:right w:w="105" w:type="dxa"/>
            </w:tcMar>
            <w:hideMark/>
          </w:tcPr>
          <w:p w14:paraId="43309B39"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Abuso en materia tributaria</w:t>
            </w:r>
          </w:p>
        </w:tc>
      </w:tr>
      <w:tr w:rsidR="00243EF3" w:rsidRPr="00243EF3" w14:paraId="004BF4E1" w14:textId="77777777" w:rsidTr="00243EF3">
        <w:tc>
          <w:tcPr>
            <w:tcW w:w="1830" w:type="dxa"/>
            <w:shd w:val="clear" w:color="auto" w:fill="FFFFFF"/>
            <w:tcMar>
              <w:top w:w="0" w:type="dxa"/>
              <w:left w:w="105" w:type="dxa"/>
              <w:bottom w:w="0" w:type="dxa"/>
              <w:right w:w="105" w:type="dxa"/>
            </w:tcMar>
            <w:hideMark/>
          </w:tcPr>
          <w:p w14:paraId="6546EB53"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b/>
                <w:bCs/>
                <w:color w:val="555555"/>
                <w:szCs w:val="24"/>
                <w:lang w:eastAsia="es-CO"/>
              </w:rPr>
              <w:t>Fuentes formales</w:t>
            </w:r>
          </w:p>
        </w:tc>
        <w:tc>
          <w:tcPr>
            <w:tcW w:w="240" w:type="dxa"/>
            <w:shd w:val="clear" w:color="auto" w:fill="FFFFFF"/>
            <w:tcMar>
              <w:top w:w="0" w:type="dxa"/>
              <w:left w:w="105" w:type="dxa"/>
              <w:bottom w:w="0" w:type="dxa"/>
              <w:right w:w="105" w:type="dxa"/>
            </w:tcMar>
            <w:hideMark/>
          </w:tcPr>
          <w:p w14:paraId="6CBEC5E9"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6DBB7806"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tc>
        <w:tc>
          <w:tcPr>
            <w:tcW w:w="6360" w:type="dxa"/>
            <w:shd w:val="clear" w:color="auto" w:fill="FFFFFF"/>
            <w:tcMar>
              <w:top w:w="0" w:type="dxa"/>
              <w:left w:w="105" w:type="dxa"/>
              <w:bottom w:w="0" w:type="dxa"/>
              <w:right w:w="105" w:type="dxa"/>
            </w:tcMar>
            <w:hideMark/>
          </w:tcPr>
          <w:p w14:paraId="4BF86C19" w14:textId="77777777" w:rsidR="00243EF3" w:rsidRPr="00243EF3" w:rsidRDefault="00243EF3" w:rsidP="00243EF3">
            <w:pPr>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Artículos 869 y 869-1 del Estatuto Tributario</w:t>
            </w:r>
          </w:p>
          <w:p w14:paraId="1457E6E8" w14:textId="77777777" w:rsidR="00243EF3" w:rsidRPr="00243EF3" w:rsidRDefault="00243EF3" w:rsidP="00243EF3">
            <w:pPr>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Artículo 88 de la Ley 1437 de 2011</w:t>
            </w:r>
          </w:p>
          <w:p w14:paraId="0B42145F" w14:textId="77777777" w:rsidR="00243EF3" w:rsidRPr="00243EF3" w:rsidRDefault="00243EF3" w:rsidP="00243EF3">
            <w:pPr>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xml:space="preserve">Resolución DIAN </w:t>
            </w:r>
            <w:proofErr w:type="spellStart"/>
            <w:r w:rsidRPr="00243EF3">
              <w:rPr>
                <w:rFonts w:eastAsia="Times New Roman" w:cs="Times New Roman"/>
                <w:color w:val="555555"/>
                <w:szCs w:val="24"/>
                <w:lang w:eastAsia="es-CO"/>
              </w:rPr>
              <w:t>N°</w:t>
            </w:r>
            <w:proofErr w:type="spellEnd"/>
            <w:r w:rsidRPr="00243EF3">
              <w:rPr>
                <w:rFonts w:eastAsia="Times New Roman" w:cs="Times New Roman"/>
                <w:color w:val="555555"/>
                <w:szCs w:val="24"/>
                <w:lang w:eastAsia="es-CO"/>
              </w:rPr>
              <w:t xml:space="preserve"> 000004 de 2020</w:t>
            </w:r>
          </w:p>
          <w:p w14:paraId="01143BEF" w14:textId="77777777" w:rsidR="00243EF3" w:rsidRPr="00243EF3" w:rsidRDefault="00243EF3" w:rsidP="00243EF3">
            <w:pPr>
              <w:spacing w:after="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Corte Constitucional, M.P. DIANA FAJARDO RIVERA, Sentencia C-163/19.</w:t>
            </w:r>
          </w:p>
        </w:tc>
      </w:tr>
    </w:tbl>
    <w:p w14:paraId="7CFDFFED"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p w14:paraId="192FE078" w14:textId="61A2EAB5"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Cordial saludo,</w:t>
      </w:r>
    </w:p>
    <w:p w14:paraId="45C0ADB3" w14:textId="6F9AED3F"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191E7D7" w14:textId="4392C15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Mediante el radicado de la referencia, el peticionario formula diferentes interrogantes, los cuales se resolverán cada uno a su turno:</w:t>
      </w:r>
    </w:p>
    <w:p w14:paraId="387D1296" w14:textId="70100A1C" w:rsidR="00243EF3" w:rsidRPr="00243EF3" w:rsidRDefault="00243EF3" w:rsidP="00243EF3">
      <w:pPr>
        <w:shd w:val="clear" w:color="auto" w:fill="FFFFFF"/>
        <w:spacing w:after="150" w:line="360" w:lineRule="auto"/>
        <w:ind w:left="285"/>
        <w:jc w:val="both"/>
        <w:rPr>
          <w:rFonts w:eastAsia="Times New Roman" w:cs="Times New Roman"/>
          <w:color w:val="555555"/>
          <w:szCs w:val="24"/>
          <w:lang w:eastAsia="es-CO"/>
        </w:rPr>
      </w:pPr>
      <w:r w:rsidRPr="00243EF3">
        <w:rPr>
          <w:rFonts w:eastAsia="Times New Roman" w:cs="Times New Roman"/>
          <w:b/>
          <w:bCs/>
          <w:color w:val="000000"/>
          <w:szCs w:val="24"/>
          <w:lang w:eastAsia="es-CO"/>
        </w:rPr>
        <w:t>1. “</w:t>
      </w:r>
      <w:r w:rsidRPr="00243EF3">
        <w:rPr>
          <w:rFonts w:eastAsia="Times New Roman" w:cs="Times New Roman"/>
          <w:b/>
          <w:bCs/>
          <w:i/>
          <w:iCs/>
          <w:color w:val="000000"/>
          <w:szCs w:val="24"/>
          <w:lang w:eastAsia="es-CO"/>
        </w:rPr>
        <w:t xml:space="preserve">¿Puede la autoridad tributaria, al amparo del principio de sustancia sobre la forma, </w:t>
      </w:r>
      <w:proofErr w:type="spellStart"/>
      <w:r w:rsidRPr="00243EF3">
        <w:rPr>
          <w:rFonts w:eastAsia="Times New Roman" w:cs="Times New Roman"/>
          <w:b/>
          <w:bCs/>
          <w:i/>
          <w:iCs/>
          <w:color w:val="000000"/>
          <w:szCs w:val="24"/>
          <w:lang w:eastAsia="es-CO"/>
        </w:rPr>
        <w:t>recaracterizar</w:t>
      </w:r>
      <w:proofErr w:type="spellEnd"/>
      <w:r w:rsidRPr="00243EF3">
        <w:rPr>
          <w:rFonts w:eastAsia="Times New Roman" w:cs="Times New Roman"/>
          <w:b/>
          <w:bCs/>
          <w:i/>
          <w:iCs/>
          <w:color w:val="000000"/>
          <w:szCs w:val="24"/>
          <w:lang w:eastAsia="es-CO"/>
        </w:rPr>
        <w:t>, reconfigurar o desconocer operaciones o serie de operaciones que se enmarquen en el concepto de abuso en materia tributaria sin aplicar el procedimiento descrito en los artículos 869 y 869-1 del Estatuto Tributario?”</w:t>
      </w:r>
      <w:r w:rsidRPr="00243EF3">
        <w:rPr>
          <w:rFonts w:eastAsia="Times New Roman" w:cs="Times New Roman"/>
          <w:color w:val="555555"/>
          <w:szCs w:val="24"/>
          <w:lang w:eastAsia="es-CO"/>
        </w:rPr>
        <w:t> </w:t>
      </w:r>
    </w:p>
    <w:p w14:paraId="313ECC33"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 xml:space="preserve">En el evento en que la Administración Tributaria considere procedente </w:t>
      </w:r>
      <w:proofErr w:type="spellStart"/>
      <w:r w:rsidRPr="00243EF3">
        <w:rPr>
          <w:rFonts w:eastAsia="Times New Roman" w:cs="Times New Roman"/>
          <w:color w:val="000000"/>
          <w:szCs w:val="24"/>
          <w:lang w:eastAsia="es-CO"/>
        </w:rPr>
        <w:t>recaracterizar</w:t>
      </w:r>
      <w:proofErr w:type="spellEnd"/>
      <w:r w:rsidRPr="00243EF3">
        <w:rPr>
          <w:rFonts w:eastAsia="Times New Roman" w:cs="Times New Roman"/>
          <w:color w:val="000000"/>
          <w:szCs w:val="24"/>
          <w:lang w:eastAsia="es-CO"/>
        </w:rPr>
        <w:t xml:space="preserve"> o reconfigurar una operación o serie de operaciones que constituyan abuso en materia tributaria y, consecuentemente, desconocer sus efectos – en los términos del artículo 869 del Estatuto Tributario – debe atender el procedimiento tributario específicamente establecido para ello, el cual </w:t>
      </w:r>
      <w:r w:rsidRPr="00243EF3">
        <w:rPr>
          <w:rFonts w:eastAsia="Times New Roman" w:cs="Times New Roman"/>
          <w:color w:val="000000"/>
          <w:szCs w:val="24"/>
          <w:lang w:eastAsia="es-CO"/>
        </w:rPr>
        <w:lastRenderedPageBreak/>
        <w:t>se encuentra consagrado en el artículo 869-1 </w:t>
      </w:r>
      <w:proofErr w:type="spellStart"/>
      <w:r w:rsidRPr="00243EF3">
        <w:rPr>
          <w:rFonts w:eastAsia="Times New Roman" w:cs="Times New Roman"/>
          <w:i/>
          <w:iCs/>
          <w:color w:val="000000"/>
          <w:szCs w:val="24"/>
          <w:lang w:eastAsia="es-CO"/>
        </w:rPr>
        <w:t>ibídem</w:t>
      </w:r>
      <w:proofErr w:type="spellEnd"/>
      <w:r w:rsidRPr="00243EF3">
        <w:rPr>
          <w:rFonts w:eastAsia="Times New Roman" w:cs="Times New Roman"/>
          <w:i/>
          <w:iCs/>
          <w:color w:val="000000"/>
          <w:szCs w:val="24"/>
          <w:lang w:eastAsia="es-CO"/>
        </w:rPr>
        <w:t> </w:t>
      </w:r>
      <w:r w:rsidRPr="00243EF3">
        <w:rPr>
          <w:rFonts w:eastAsia="Times New Roman" w:cs="Times New Roman"/>
          <w:color w:val="000000"/>
          <w:szCs w:val="24"/>
          <w:lang w:eastAsia="es-CO"/>
        </w:rPr>
        <w:t xml:space="preserve">y desarrollado mediante la Resolución DIAN </w:t>
      </w:r>
      <w:proofErr w:type="spellStart"/>
      <w:r w:rsidRPr="00243EF3">
        <w:rPr>
          <w:rFonts w:eastAsia="Times New Roman" w:cs="Times New Roman"/>
          <w:color w:val="000000"/>
          <w:szCs w:val="24"/>
          <w:lang w:eastAsia="es-CO"/>
        </w:rPr>
        <w:t>N°</w:t>
      </w:r>
      <w:proofErr w:type="spellEnd"/>
      <w:r w:rsidRPr="00243EF3">
        <w:rPr>
          <w:rFonts w:eastAsia="Times New Roman" w:cs="Times New Roman"/>
          <w:color w:val="000000"/>
          <w:szCs w:val="24"/>
          <w:lang w:eastAsia="es-CO"/>
        </w:rPr>
        <w:t xml:space="preserve"> 000004 de 2020.</w:t>
      </w:r>
    </w:p>
    <w:p w14:paraId="3630C513" w14:textId="3260B66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r w:rsidRPr="00243EF3">
        <w:rPr>
          <w:rFonts w:eastAsia="Times New Roman" w:cs="Times New Roman"/>
          <w:color w:val="000000"/>
          <w:szCs w:val="24"/>
          <w:lang w:eastAsia="es-CO"/>
        </w:rPr>
        <w:t>Precisamente, el parágrafo 2° del citado artículo 869-1 señala: </w:t>
      </w:r>
      <w:r w:rsidRPr="00243EF3">
        <w:rPr>
          <w:rFonts w:eastAsia="Times New Roman" w:cs="Times New Roman"/>
          <w:i/>
          <w:iCs/>
          <w:color w:val="000000"/>
          <w:szCs w:val="24"/>
          <w:lang w:eastAsia="es-CO"/>
        </w:rPr>
        <w:t>“El </w:t>
      </w:r>
      <w:r w:rsidRPr="00243EF3">
        <w:rPr>
          <w:rFonts w:eastAsia="Times New Roman" w:cs="Times New Roman"/>
          <w:i/>
          <w:iCs/>
          <w:color w:val="000000"/>
          <w:szCs w:val="24"/>
          <w:u w:val="single"/>
          <w:lang w:eastAsia="es-CO"/>
        </w:rPr>
        <w:t>procedimiento</w:t>
      </w:r>
      <w:r w:rsidRPr="00243EF3">
        <w:rPr>
          <w:rFonts w:eastAsia="Times New Roman" w:cs="Times New Roman"/>
          <w:i/>
          <w:iCs/>
          <w:color w:val="000000"/>
          <w:szCs w:val="24"/>
          <w:lang w:eastAsia="es-CO"/>
        </w:rPr>
        <w:t> de que trata el presente artículo </w:t>
      </w:r>
      <w:r w:rsidRPr="00243EF3">
        <w:rPr>
          <w:rFonts w:eastAsia="Times New Roman" w:cs="Times New Roman"/>
          <w:i/>
          <w:iCs/>
          <w:color w:val="000000"/>
          <w:szCs w:val="24"/>
          <w:u w:val="single"/>
          <w:lang w:eastAsia="es-CO"/>
        </w:rPr>
        <w:t xml:space="preserve">tiene como propósito la reconfiguración o </w:t>
      </w:r>
      <w:proofErr w:type="spellStart"/>
      <w:r w:rsidRPr="00243EF3">
        <w:rPr>
          <w:rFonts w:eastAsia="Times New Roman" w:cs="Times New Roman"/>
          <w:i/>
          <w:iCs/>
          <w:color w:val="000000"/>
          <w:szCs w:val="24"/>
          <w:u w:val="single"/>
          <w:lang w:eastAsia="es-CO"/>
        </w:rPr>
        <w:t>recaracterización</w:t>
      </w:r>
      <w:proofErr w:type="spellEnd"/>
      <w:r w:rsidRPr="00243EF3">
        <w:rPr>
          <w:rFonts w:eastAsia="Times New Roman" w:cs="Times New Roman"/>
          <w:i/>
          <w:iCs/>
          <w:color w:val="000000"/>
          <w:szCs w:val="24"/>
          <w:u w:val="single"/>
          <w:lang w:eastAsia="es-CO"/>
        </w:rPr>
        <w:t xml:space="preserve"> de una operación o serie de operaciones</w:t>
      </w:r>
      <w:r w:rsidRPr="00243EF3">
        <w:rPr>
          <w:rFonts w:eastAsia="Times New Roman" w:cs="Times New Roman"/>
          <w:i/>
          <w:iCs/>
          <w:color w:val="000000"/>
          <w:szCs w:val="24"/>
          <w:lang w:eastAsia="es-CO"/>
        </w:rPr>
        <w:t> que constituyan o puedan constituir abuso en materia tributaria” </w:t>
      </w:r>
      <w:r w:rsidRPr="00243EF3">
        <w:rPr>
          <w:rFonts w:eastAsia="Times New Roman" w:cs="Times New Roman"/>
          <w:color w:val="000000"/>
          <w:szCs w:val="24"/>
          <w:lang w:eastAsia="es-CO"/>
        </w:rPr>
        <w:t>(subrayado fuera del texto original).</w:t>
      </w:r>
    </w:p>
    <w:p w14:paraId="61F0F656" w14:textId="1AD01DAE" w:rsid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r w:rsidRPr="00243EF3">
        <w:rPr>
          <w:rFonts w:eastAsia="Times New Roman" w:cs="Times New Roman"/>
          <w:color w:val="000000"/>
          <w:szCs w:val="24"/>
          <w:lang w:eastAsia="es-CO"/>
        </w:rPr>
        <w:t xml:space="preserve">Ahora bien, no se puede desconocer que el principio de sustancia sobre forma ha sido reconocido jurisprudencialmente y, para este Despacho, es claro que el mismo puede ser invocado por la Autoridad Tributaria en el marco de otros procedimientos generales de control, revisión y fiscalización. Esto, pues las operaciones que lleven a cabo los contribuyentes deben contar con sustancia económica, debiendo prevalecer la realidad de </w:t>
      </w:r>
      <w:proofErr w:type="gramStart"/>
      <w:r w:rsidRPr="00243EF3">
        <w:rPr>
          <w:rFonts w:eastAsia="Times New Roman" w:cs="Times New Roman"/>
          <w:color w:val="000000"/>
          <w:szCs w:val="24"/>
          <w:lang w:eastAsia="es-CO"/>
        </w:rPr>
        <w:t>las mismas</w:t>
      </w:r>
      <w:proofErr w:type="gramEnd"/>
      <w:r w:rsidRPr="00243EF3">
        <w:rPr>
          <w:rFonts w:eastAsia="Times New Roman" w:cs="Times New Roman"/>
          <w:color w:val="000000"/>
          <w:szCs w:val="24"/>
          <w:lang w:eastAsia="es-CO"/>
        </w:rPr>
        <w:t xml:space="preserve"> sobre su forma.</w:t>
      </w:r>
    </w:p>
    <w:p w14:paraId="3D0F5EAC"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p>
    <w:p w14:paraId="7427292A" w14:textId="77777777" w:rsidR="00243EF3" w:rsidRPr="00243EF3" w:rsidRDefault="00243EF3" w:rsidP="00243EF3">
      <w:pPr>
        <w:shd w:val="clear" w:color="auto" w:fill="FFFFFF"/>
        <w:spacing w:after="150" w:line="360" w:lineRule="auto"/>
        <w:ind w:left="285"/>
        <w:jc w:val="both"/>
        <w:rPr>
          <w:rFonts w:eastAsia="Times New Roman" w:cs="Times New Roman"/>
          <w:color w:val="555555"/>
          <w:szCs w:val="24"/>
          <w:lang w:eastAsia="es-CO"/>
        </w:rPr>
      </w:pPr>
      <w:r w:rsidRPr="00243EF3">
        <w:rPr>
          <w:rFonts w:eastAsia="Times New Roman" w:cs="Times New Roman"/>
          <w:b/>
          <w:bCs/>
          <w:color w:val="000000"/>
          <w:szCs w:val="24"/>
          <w:lang w:eastAsia="es-CO"/>
        </w:rPr>
        <w:t>2. </w:t>
      </w:r>
      <w:r w:rsidRPr="00243EF3">
        <w:rPr>
          <w:rFonts w:eastAsia="Times New Roman" w:cs="Times New Roman"/>
          <w:b/>
          <w:bCs/>
          <w:i/>
          <w:iCs/>
          <w:color w:val="000000"/>
          <w:szCs w:val="24"/>
          <w:lang w:eastAsia="es-CO"/>
        </w:rPr>
        <w:t xml:space="preserve">“¿Las actuaciones administrativas tendientes a desconocer o </w:t>
      </w:r>
      <w:proofErr w:type="spellStart"/>
      <w:r w:rsidRPr="00243EF3">
        <w:rPr>
          <w:rFonts w:eastAsia="Times New Roman" w:cs="Times New Roman"/>
          <w:b/>
          <w:bCs/>
          <w:i/>
          <w:iCs/>
          <w:color w:val="000000"/>
          <w:szCs w:val="24"/>
          <w:lang w:eastAsia="es-CO"/>
        </w:rPr>
        <w:t>recaracterizar</w:t>
      </w:r>
      <w:proofErr w:type="spellEnd"/>
      <w:r w:rsidRPr="00243EF3">
        <w:rPr>
          <w:rFonts w:eastAsia="Times New Roman" w:cs="Times New Roman"/>
          <w:b/>
          <w:bCs/>
          <w:i/>
          <w:iCs/>
          <w:color w:val="000000"/>
          <w:szCs w:val="24"/>
          <w:lang w:eastAsia="es-CO"/>
        </w:rPr>
        <w:t xml:space="preserve"> las operaciones presuntamente consideradas como SIMULADAS, deben hacer observancia al procedimiento descrito en el artículo 869-1 del Estatuto Tributario como garantía al derecho de, (sic) contradicción, audiencia y de defensa del contribuyente?”</w:t>
      </w:r>
    </w:p>
    <w:p w14:paraId="00E814F6" w14:textId="11AFCABF"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r w:rsidRPr="00243EF3">
        <w:rPr>
          <w:rFonts w:eastAsia="Times New Roman" w:cs="Times New Roman"/>
          <w:color w:val="000000"/>
          <w:szCs w:val="24"/>
          <w:lang w:eastAsia="es-CO"/>
        </w:rPr>
        <w:t>Por favor remitirse a la respuesta dada al anterior interrogante.</w:t>
      </w:r>
    </w:p>
    <w:p w14:paraId="4FF1DAFF" w14:textId="2001C832"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r w:rsidRPr="00243EF3">
        <w:rPr>
          <w:rFonts w:eastAsia="Times New Roman" w:cs="Times New Roman"/>
          <w:color w:val="000000"/>
          <w:szCs w:val="24"/>
          <w:lang w:eastAsia="es-CO"/>
        </w:rPr>
        <w:t>Sumado a lo antepuesto, conviene tener en cuenta pronunciamientos como la Sentencia C-163 de 2019 de la Corte Constitucional, M.P. DIANA FAJARDO RIVERA, en la que se indicó: </w:t>
      </w:r>
      <w:r w:rsidRPr="00243EF3">
        <w:rPr>
          <w:rFonts w:eastAsia="Times New Roman" w:cs="Times New Roman"/>
          <w:i/>
          <w:iCs/>
          <w:color w:val="000000"/>
          <w:szCs w:val="24"/>
          <w:lang w:eastAsia="es-CO"/>
        </w:rPr>
        <w:t>“El debido proceso constituye un conjunto de garantías destinadas a la protección del ciudadano vinculado o eventualmente sujeto a una actuación judicial o administrativa, para que durante su trámite </w:t>
      </w:r>
      <w:r w:rsidRPr="00243EF3">
        <w:rPr>
          <w:rFonts w:eastAsia="Times New Roman" w:cs="Times New Roman"/>
          <w:i/>
          <w:iCs/>
          <w:color w:val="000000"/>
          <w:szCs w:val="24"/>
          <w:u w:val="single"/>
          <w:lang w:eastAsia="es-CO"/>
        </w:rPr>
        <w:t>se respeten las formalidades propias de cada juicio</w:t>
      </w:r>
      <w:r w:rsidRPr="00243EF3">
        <w:rPr>
          <w:rFonts w:eastAsia="Times New Roman" w:cs="Times New Roman"/>
          <w:i/>
          <w:iCs/>
          <w:color w:val="000000"/>
          <w:szCs w:val="24"/>
          <w:lang w:eastAsia="es-CO"/>
        </w:rPr>
        <w:t>. En consecuencia, implica para quien asume la dirección del procedimiento la obligación de </w:t>
      </w:r>
      <w:r w:rsidRPr="00243EF3">
        <w:rPr>
          <w:rFonts w:eastAsia="Times New Roman" w:cs="Times New Roman"/>
          <w:i/>
          <w:iCs/>
          <w:color w:val="000000"/>
          <w:szCs w:val="24"/>
          <w:u w:val="single"/>
          <w:lang w:eastAsia="es-CO"/>
        </w:rPr>
        <w:t>observar, en todos sus actos, la plenitud de las formas previamente establecidas en la Ley o en los reglamentos</w:t>
      </w:r>
      <w:r w:rsidRPr="00243EF3">
        <w:rPr>
          <w:rFonts w:eastAsia="Times New Roman" w:cs="Times New Roman"/>
          <w:i/>
          <w:iCs/>
          <w:color w:val="000000"/>
          <w:szCs w:val="24"/>
          <w:lang w:eastAsia="es-CO"/>
        </w:rPr>
        <w:t>. Esto, con el fin de preservar los derechos de quienes se encuentran incursos en una relación jurídica, en todos aquellos casos en que la actuación conduzca a la creación, modificación o extinción de un derecho o una obligación o a la imposición de una sanción” </w:t>
      </w:r>
      <w:r w:rsidRPr="00243EF3">
        <w:rPr>
          <w:rFonts w:eastAsia="Times New Roman" w:cs="Times New Roman"/>
          <w:color w:val="000000"/>
          <w:szCs w:val="24"/>
          <w:lang w:eastAsia="es-CO"/>
        </w:rPr>
        <w:t>(subrayado fuera del texto original).</w:t>
      </w:r>
    </w:p>
    <w:p w14:paraId="0C6B41BB"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p w14:paraId="09C5554A" w14:textId="77777777" w:rsidR="00243EF3" w:rsidRPr="00243EF3" w:rsidRDefault="00243EF3" w:rsidP="00243EF3">
      <w:pPr>
        <w:shd w:val="clear" w:color="auto" w:fill="FFFFFF"/>
        <w:spacing w:after="150" w:line="360" w:lineRule="auto"/>
        <w:ind w:left="285"/>
        <w:jc w:val="both"/>
        <w:rPr>
          <w:rFonts w:eastAsia="Times New Roman" w:cs="Times New Roman"/>
          <w:color w:val="555555"/>
          <w:szCs w:val="24"/>
          <w:lang w:eastAsia="es-CO"/>
        </w:rPr>
      </w:pPr>
      <w:r w:rsidRPr="00243EF3">
        <w:rPr>
          <w:rFonts w:eastAsia="Times New Roman" w:cs="Times New Roman"/>
          <w:b/>
          <w:bCs/>
          <w:color w:val="000000"/>
          <w:szCs w:val="24"/>
          <w:lang w:eastAsia="es-CO"/>
        </w:rPr>
        <w:t>3. “</w:t>
      </w:r>
      <w:r w:rsidRPr="00243EF3">
        <w:rPr>
          <w:rFonts w:eastAsia="Times New Roman" w:cs="Times New Roman"/>
          <w:b/>
          <w:bCs/>
          <w:i/>
          <w:iCs/>
          <w:color w:val="000000"/>
          <w:szCs w:val="24"/>
          <w:lang w:eastAsia="es-CO"/>
        </w:rPr>
        <w:t xml:space="preserve">¿Qué efectos o consecuencias jurídicas produce un Requerimiento especial o Liquidación oficial de revisión, cuyo objeto es el desconocimiento o </w:t>
      </w:r>
      <w:proofErr w:type="spellStart"/>
      <w:r w:rsidRPr="00243EF3">
        <w:rPr>
          <w:rFonts w:eastAsia="Times New Roman" w:cs="Times New Roman"/>
          <w:b/>
          <w:bCs/>
          <w:i/>
          <w:iCs/>
          <w:color w:val="000000"/>
          <w:szCs w:val="24"/>
          <w:lang w:eastAsia="es-CO"/>
        </w:rPr>
        <w:t>recaracterización</w:t>
      </w:r>
      <w:proofErr w:type="spellEnd"/>
      <w:r w:rsidRPr="00243EF3">
        <w:rPr>
          <w:rFonts w:eastAsia="Times New Roman" w:cs="Times New Roman"/>
          <w:b/>
          <w:bCs/>
          <w:i/>
          <w:iCs/>
          <w:color w:val="000000"/>
          <w:szCs w:val="24"/>
          <w:lang w:eastAsia="es-CO"/>
        </w:rPr>
        <w:t xml:space="preserve"> de operaciones constitutivas de abuso en materia tributaria, cuando el ente fiscalizador omite señalar las normas en las que debían fundarse (artículos 869 y 869-1 del ET) y por el contrario, propone justificar su actuación al amparo del principio de sustancia sobre la forma, a pretexto de determinar la verdadera naturaleza, forma o particularidades de una operación o serie de operaciones?”</w:t>
      </w:r>
    </w:p>
    <w:p w14:paraId="7265ADC1"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p w14:paraId="41C7B5F5"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lastRenderedPageBreak/>
        <w:t xml:space="preserve">Como ya se indicó, en los actos administrativos en los que se proponga una </w:t>
      </w:r>
      <w:proofErr w:type="spellStart"/>
      <w:r w:rsidRPr="00243EF3">
        <w:rPr>
          <w:rFonts w:eastAsia="Times New Roman" w:cs="Times New Roman"/>
          <w:color w:val="000000"/>
          <w:szCs w:val="24"/>
          <w:lang w:eastAsia="es-CO"/>
        </w:rPr>
        <w:t>recaracterización</w:t>
      </w:r>
      <w:proofErr w:type="spellEnd"/>
      <w:r w:rsidRPr="00243EF3">
        <w:rPr>
          <w:rFonts w:eastAsia="Times New Roman" w:cs="Times New Roman"/>
          <w:color w:val="000000"/>
          <w:szCs w:val="24"/>
          <w:lang w:eastAsia="es-CO"/>
        </w:rPr>
        <w:t xml:space="preserve"> o reconfiguración de una operación o serie de operaciones que constituyan abuso en materia tributaria, el funcionario competente debe seguir el procedimiento contemplado en el artículo 869-1 del Estatuto Tributario y desarrollado mediante la Resolución DIAN </w:t>
      </w:r>
      <w:proofErr w:type="spellStart"/>
      <w:r w:rsidRPr="00243EF3">
        <w:rPr>
          <w:rFonts w:eastAsia="Times New Roman" w:cs="Times New Roman"/>
          <w:color w:val="000000"/>
          <w:szCs w:val="24"/>
          <w:lang w:eastAsia="es-CO"/>
        </w:rPr>
        <w:t>N°</w:t>
      </w:r>
      <w:proofErr w:type="spellEnd"/>
      <w:r w:rsidRPr="00243EF3">
        <w:rPr>
          <w:rFonts w:eastAsia="Times New Roman" w:cs="Times New Roman"/>
          <w:color w:val="000000"/>
          <w:szCs w:val="24"/>
          <w:lang w:eastAsia="es-CO"/>
        </w:rPr>
        <w:t xml:space="preserve"> 000004 de 2020.</w:t>
      </w:r>
    </w:p>
    <w:p w14:paraId="576EF865" w14:textId="71E51DAF"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Ahora bien, es conveniente que el peticionario tenga en cuenta que todo acto administrativo goza de presunción de legalidad mientras no haya sido anulado por la Jurisdicción de lo Contencioso Administrativo, tal y como lo dispone el artículo 88 de la Ley 1437 de 2011.</w:t>
      </w:r>
    </w:p>
    <w:p w14:paraId="7D366BC3" w14:textId="77777777" w:rsidR="00243EF3" w:rsidRDefault="00243EF3" w:rsidP="00243EF3">
      <w:pPr>
        <w:shd w:val="clear" w:color="auto" w:fill="FFFFFF"/>
        <w:spacing w:after="150" w:line="360" w:lineRule="auto"/>
        <w:ind w:left="285"/>
        <w:jc w:val="both"/>
        <w:rPr>
          <w:rFonts w:eastAsia="Times New Roman" w:cs="Times New Roman"/>
          <w:b/>
          <w:bCs/>
          <w:color w:val="000000"/>
          <w:szCs w:val="24"/>
          <w:lang w:eastAsia="es-CO"/>
        </w:rPr>
      </w:pPr>
    </w:p>
    <w:p w14:paraId="573C26A9" w14:textId="7DB0A853" w:rsidR="00243EF3" w:rsidRPr="00243EF3" w:rsidRDefault="00243EF3" w:rsidP="00243EF3">
      <w:pPr>
        <w:shd w:val="clear" w:color="auto" w:fill="FFFFFF"/>
        <w:spacing w:after="150" w:line="360" w:lineRule="auto"/>
        <w:ind w:left="285"/>
        <w:jc w:val="both"/>
        <w:rPr>
          <w:rFonts w:eastAsia="Times New Roman" w:cs="Times New Roman"/>
          <w:color w:val="555555"/>
          <w:szCs w:val="24"/>
          <w:lang w:eastAsia="es-CO"/>
        </w:rPr>
      </w:pPr>
      <w:r w:rsidRPr="00243EF3">
        <w:rPr>
          <w:rFonts w:eastAsia="Times New Roman" w:cs="Times New Roman"/>
          <w:b/>
          <w:bCs/>
          <w:color w:val="000000"/>
          <w:szCs w:val="24"/>
          <w:lang w:eastAsia="es-CO"/>
        </w:rPr>
        <w:t>4. “</w:t>
      </w:r>
      <w:r w:rsidRPr="00243EF3">
        <w:rPr>
          <w:rFonts w:eastAsia="Times New Roman" w:cs="Times New Roman"/>
          <w:b/>
          <w:bCs/>
          <w:i/>
          <w:iCs/>
          <w:color w:val="000000"/>
          <w:szCs w:val="24"/>
          <w:lang w:eastAsia="es-CO"/>
        </w:rPr>
        <w:t>¿Puede la DIAN pretermitir la etapa del emplazamiento especial por abuso en materia tributaria, señalado en el artículo 869-1 en dichos casos?”</w:t>
      </w:r>
    </w:p>
    <w:p w14:paraId="11269DA4" w14:textId="77777777" w:rsidR="00243EF3" w:rsidRDefault="00243EF3" w:rsidP="00243EF3">
      <w:pPr>
        <w:shd w:val="clear" w:color="auto" w:fill="FFFFFF"/>
        <w:spacing w:after="150" w:line="360" w:lineRule="auto"/>
        <w:jc w:val="both"/>
        <w:rPr>
          <w:rFonts w:eastAsia="Times New Roman" w:cs="Times New Roman"/>
          <w:color w:val="555555"/>
          <w:szCs w:val="24"/>
          <w:lang w:eastAsia="es-CO"/>
        </w:rPr>
      </w:pPr>
    </w:p>
    <w:p w14:paraId="67312D32" w14:textId="117A5514"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 xml:space="preserve">Teniendo en cuenta la respuesta dada al interrogante #1 anterior y, a partir de la lectura del artículo 869-1 del Estatuto Tributario y del artículo 10 de la Resolución DIAN </w:t>
      </w:r>
      <w:proofErr w:type="spellStart"/>
      <w:r w:rsidRPr="00243EF3">
        <w:rPr>
          <w:rFonts w:eastAsia="Times New Roman" w:cs="Times New Roman"/>
          <w:color w:val="000000"/>
          <w:szCs w:val="24"/>
          <w:lang w:eastAsia="es-CO"/>
        </w:rPr>
        <w:t>N°</w:t>
      </w:r>
      <w:proofErr w:type="spellEnd"/>
      <w:r w:rsidRPr="00243EF3">
        <w:rPr>
          <w:rFonts w:eastAsia="Times New Roman" w:cs="Times New Roman"/>
          <w:color w:val="000000"/>
          <w:szCs w:val="24"/>
          <w:lang w:eastAsia="es-CO"/>
        </w:rPr>
        <w:t xml:space="preserve"> 000004 de 2020, para este Despacho es claro que la Administración Tributaria no puede pretermitir el emplazamiento especial por abuso en materia tributaria; de hecho, es una obligación a cargo del correspondiente funcionario, tal y como se desprende de la redacción de la norma en modo imperativo: </w:t>
      </w:r>
      <w:r w:rsidRPr="00243EF3">
        <w:rPr>
          <w:rFonts w:eastAsia="Times New Roman" w:cs="Times New Roman"/>
          <w:i/>
          <w:iCs/>
          <w:color w:val="000000"/>
          <w:szCs w:val="24"/>
          <w:lang w:eastAsia="es-CO"/>
        </w:rPr>
        <w:t>“El funcionario competente que, dentro del término de firmeza de la declaración, evidencie que una operación o serie de operaciones puede constituir abuso en materia tributaria, en los términos del artículo 869, </w:t>
      </w:r>
      <w:r w:rsidRPr="00243EF3">
        <w:rPr>
          <w:rFonts w:eastAsia="Times New Roman" w:cs="Times New Roman"/>
          <w:i/>
          <w:iCs/>
          <w:color w:val="000000"/>
          <w:szCs w:val="24"/>
          <w:u w:val="single"/>
          <w:lang w:eastAsia="es-CO"/>
        </w:rPr>
        <w:t>deberá emitir un emplazamiento especial</w:t>
      </w:r>
      <w:r w:rsidRPr="00243EF3">
        <w:rPr>
          <w:rFonts w:eastAsia="Times New Roman" w:cs="Times New Roman"/>
          <w:i/>
          <w:iCs/>
          <w:color w:val="000000"/>
          <w:szCs w:val="24"/>
          <w:lang w:eastAsia="es-CO"/>
        </w:rPr>
        <w:t> explicando las razones en las que se basa, sustentadas si quiera en prueba sumaria” </w:t>
      </w:r>
      <w:r w:rsidRPr="00243EF3">
        <w:rPr>
          <w:rFonts w:eastAsia="Times New Roman" w:cs="Times New Roman"/>
          <w:color w:val="000000"/>
          <w:szCs w:val="24"/>
          <w:lang w:eastAsia="es-CO"/>
        </w:rPr>
        <w:t>(subrayado fuera del texto original). Así, una vez notificado en debida forma, el contribuyente dispone de un término de tres (3) meses para contestarlo, aportando y/o solicitando las pruebas que considere pertinentes.</w:t>
      </w:r>
    </w:p>
    <w:p w14:paraId="649FB353"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p w14:paraId="5DAF6106" w14:textId="77777777" w:rsidR="00243EF3" w:rsidRPr="00243EF3" w:rsidRDefault="00243EF3" w:rsidP="00243EF3">
      <w:pPr>
        <w:shd w:val="clear" w:color="auto" w:fill="FFFFFF"/>
        <w:spacing w:after="150" w:line="360" w:lineRule="auto"/>
        <w:ind w:left="285"/>
        <w:jc w:val="both"/>
        <w:rPr>
          <w:rFonts w:eastAsia="Times New Roman" w:cs="Times New Roman"/>
          <w:color w:val="555555"/>
          <w:szCs w:val="24"/>
          <w:lang w:eastAsia="es-CO"/>
        </w:rPr>
      </w:pPr>
      <w:r w:rsidRPr="00243EF3">
        <w:rPr>
          <w:rFonts w:eastAsia="Times New Roman" w:cs="Times New Roman"/>
          <w:b/>
          <w:bCs/>
          <w:color w:val="000000"/>
          <w:szCs w:val="24"/>
          <w:lang w:eastAsia="es-CO"/>
        </w:rPr>
        <w:t>5. “</w:t>
      </w:r>
      <w:r w:rsidRPr="00243EF3">
        <w:rPr>
          <w:rFonts w:eastAsia="Times New Roman" w:cs="Times New Roman"/>
          <w:b/>
          <w:bCs/>
          <w:i/>
          <w:iCs/>
          <w:color w:val="000000"/>
          <w:szCs w:val="24"/>
          <w:lang w:eastAsia="es-CO"/>
        </w:rPr>
        <w:t>Frente a los casos de abuso en materia tributaria, donde el ente fiscalizador traslada la carga de la prueba al contribuyente para que este pruebe la trazabilidad de una o varias operaciones y el contribuyente presenta los respectivos soportes de pago bancario, junto con los documentos legales requeridos para la procedencia de la operación y además, justifica la necesidad y relación de causalidad existente entre la materia primera, insumo o servicio adquirido con los ingresos realizados ¿Puede la DIAN, basado únicamente en la prueba indiciaria y sin haber controvertido las pruebas presentadas, aducir que simplemente no se demostró la realidad de la operación y omitir su obligación de valorar correctamente las pruebas o la de oficiar aquellas que consideres pertinentes para demostrar la realidad de la operación?”</w:t>
      </w:r>
    </w:p>
    <w:p w14:paraId="2C2A1645"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p>
    <w:p w14:paraId="65A52EE7"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 xml:space="preserve">Tal y como se desprende del artículo 869-1 del Estatuto Tributario, en el emplazamiento especial, requerimiento especial o en el emplazamiento previo por no declarar, según sea el caso, que se </w:t>
      </w:r>
      <w:r w:rsidRPr="00243EF3">
        <w:rPr>
          <w:rFonts w:eastAsia="Times New Roman" w:cs="Times New Roman"/>
          <w:color w:val="000000"/>
          <w:szCs w:val="24"/>
          <w:lang w:eastAsia="es-CO"/>
        </w:rPr>
        <w:lastRenderedPageBreak/>
        <w:t xml:space="preserve">expida en el desarrollo del procedimiento especial por abuso en materia tributaria, la </w:t>
      </w:r>
      <w:proofErr w:type="spellStart"/>
      <w:r w:rsidRPr="00243EF3">
        <w:rPr>
          <w:rFonts w:eastAsia="Times New Roman" w:cs="Times New Roman"/>
          <w:color w:val="000000"/>
          <w:szCs w:val="24"/>
          <w:lang w:eastAsia="es-CO"/>
        </w:rPr>
        <w:t>recaracterización</w:t>
      </w:r>
      <w:proofErr w:type="spellEnd"/>
      <w:r w:rsidRPr="00243EF3">
        <w:rPr>
          <w:rFonts w:eastAsia="Times New Roman" w:cs="Times New Roman"/>
          <w:color w:val="000000"/>
          <w:szCs w:val="24"/>
          <w:lang w:eastAsia="es-CO"/>
        </w:rPr>
        <w:t xml:space="preserve"> o reconfiguración de la operación o serie de operaciones se deberá realizar teniendo en cuenta el acervo probatorio recaudado durante dicho procedimiento, lo cual implica que el respectivo funcionario se debe pronunciar sobre la valoración de las pruebas allegadas y/o solicitadas oportunamente por el contribuyente, en el marco de dicho procedimiento.</w:t>
      </w:r>
    </w:p>
    <w:p w14:paraId="1F3FA908" w14:textId="61B9CF32"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Al respecto, vale la pena resaltar lo dispuesto en el parágrafo 1 del artículo 869-1 que señala: “</w:t>
      </w:r>
      <w:r w:rsidRPr="00243EF3">
        <w:rPr>
          <w:rFonts w:eastAsia="Times New Roman" w:cs="Times New Roman"/>
          <w:i/>
          <w:iCs/>
          <w:color w:val="000000"/>
          <w:szCs w:val="24"/>
          <w:lang w:eastAsia="es-CO"/>
        </w:rPr>
        <w:t>La motivación de que trata este artículo deberá contener la descripción de los hechos, actos u omisiones que constituyen la conducta abusiva, </w:t>
      </w:r>
      <w:r w:rsidRPr="00243EF3">
        <w:rPr>
          <w:rFonts w:eastAsia="Times New Roman" w:cs="Times New Roman"/>
          <w:i/>
          <w:iCs/>
          <w:color w:val="000000"/>
          <w:szCs w:val="24"/>
          <w:u w:val="single"/>
          <w:lang w:eastAsia="es-CO"/>
        </w:rPr>
        <w:t>las pruebas en que se funda la Administración Tributaria respecto de tales hechos, actos u omisiones y la referencia expresa a la valoración de las pruebas que haya presentado el contribuyente para desvirtuar la conducta abusiva</w:t>
      </w:r>
      <w:r w:rsidRPr="00243EF3">
        <w:rPr>
          <w:rFonts w:eastAsia="Times New Roman" w:cs="Times New Roman"/>
          <w:i/>
          <w:iCs/>
          <w:color w:val="000000"/>
          <w:szCs w:val="24"/>
          <w:lang w:eastAsia="es-CO"/>
        </w:rPr>
        <w:t> (…)</w:t>
      </w:r>
      <w:r w:rsidRPr="00243EF3">
        <w:rPr>
          <w:rFonts w:eastAsia="Times New Roman" w:cs="Times New Roman"/>
          <w:color w:val="000000"/>
          <w:szCs w:val="24"/>
          <w:lang w:eastAsia="es-CO"/>
        </w:rPr>
        <w:t>” (subrayado fuera del texto original).</w:t>
      </w:r>
    </w:p>
    <w:p w14:paraId="0810243C" w14:textId="77777777" w:rsidR="00243EF3" w:rsidRDefault="00243EF3" w:rsidP="00243EF3">
      <w:pPr>
        <w:shd w:val="clear" w:color="auto" w:fill="FFFFFF"/>
        <w:spacing w:after="150" w:line="360" w:lineRule="auto"/>
        <w:jc w:val="both"/>
        <w:rPr>
          <w:rFonts w:eastAsia="Times New Roman" w:cs="Times New Roman"/>
          <w:color w:val="555555"/>
          <w:szCs w:val="24"/>
          <w:lang w:eastAsia="es-CO"/>
        </w:rPr>
      </w:pPr>
    </w:p>
    <w:p w14:paraId="0D991CE8" w14:textId="25E973E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r w:rsidRPr="00243EF3">
        <w:rPr>
          <w:rFonts w:eastAsia="Times New Roman" w:cs="Times New Roman"/>
          <w:color w:val="000000"/>
          <w:szCs w:val="24"/>
          <w:lang w:eastAsia="es-CO"/>
        </w:rPr>
        <w:t>Atentamente,</w:t>
      </w:r>
    </w:p>
    <w:p w14:paraId="3D97FBF5" w14:textId="470BAC9A"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555555"/>
          <w:szCs w:val="24"/>
          <w:lang w:eastAsia="es-CO"/>
        </w:rPr>
        <w:t> </w:t>
      </w:r>
      <w:r w:rsidRPr="00243EF3">
        <w:rPr>
          <w:rFonts w:eastAsia="Times New Roman" w:cs="Times New Roman"/>
          <w:b/>
          <w:bCs/>
          <w:color w:val="000000"/>
          <w:szCs w:val="24"/>
          <w:lang w:eastAsia="es-CO"/>
        </w:rPr>
        <w:t>NICOLÁS BERNAL ABELLA</w:t>
      </w:r>
    </w:p>
    <w:p w14:paraId="0AA9BFFF"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Subdirector de Gestión Normativa y Doctrina (E)</w:t>
      </w:r>
    </w:p>
    <w:p w14:paraId="2D3752E2" w14:textId="77777777" w:rsidR="00243EF3" w:rsidRPr="00243EF3" w:rsidRDefault="00243EF3" w:rsidP="00243EF3">
      <w:pPr>
        <w:shd w:val="clear" w:color="auto" w:fill="FFFFFF"/>
        <w:spacing w:after="15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Dirección de Gestión Jurídica</w:t>
      </w:r>
    </w:p>
    <w:p w14:paraId="3E737940" w14:textId="77777777" w:rsidR="00243EF3" w:rsidRPr="00243EF3" w:rsidRDefault="00243EF3" w:rsidP="00243EF3">
      <w:pPr>
        <w:shd w:val="clear" w:color="auto" w:fill="FFFFFF"/>
        <w:spacing w:after="0" w:line="360" w:lineRule="auto"/>
        <w:jc w:val="both"/>
        <w:rPr>
          <w:rFonts w:eastAsia="Times New Roman" w:cs="Times New Roman"/>
          <w:color w:val="555555"/>
          <w:szCs w:val="24"/>
          <w:lang w:eastAsia="es-CO"/>
        </w:rPr>
      </w:pPr>
      <w:r w:rsidRPr="00243EF3">
        <w:rPr>
          <w:rFonts w:eastAsia="Times New Roman" w:cs="Times New Roman"/>
          <w:color w:val="000000"/>
          <w:szCs w:val="24"/>
          <w:lang w:eastAsia="es-CO"/>
        </w:rPr>
        <w:t>UAE- Dirección de Impuestos y Aduanas Nacionales</w:t>
      </w:r>
    </w:p>
    <w:p w14:paraId="58C0D42A" w14:textId="77777777" w:rsidR="007F5CC8" w:rsidRPr="00243EF3" w:rsidRDefault="007F5CC8" w:rsidP="00243EF3">
      <w:pPr>
        <w:spacing w:line="360" w:lineRule="auto"/>
        <w:rPr>
          <w:rFonts w:cs="Times New Roman"/>
          <w:szCs w:val="24"/>
        </w:rPr>
      </w:pPr>
    </w:p>
    <w:sectPr w:rsidR="007F5CC8" w:rsidRPr="00243EF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F3"/>
    <w:rsid w:val="000F3837"/>
    <w:rsid w:val="001E311E"/>
    <w:rsid w:val="00243EF3"/>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DE6A"/>
  <w15:chartTrackingRefBased/>
  <w15:docId w15:val="{9F213739-CAC8-4FB0-A480-754496EE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1318</Words>
  <Characters>7253</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2021-12-23T00:37:00Z</dcterms:created>
  <dcterms:modified xsi:type="dcterms:W3CDTF">2021-12-23T00:41:00Z</dcterms:modified>
</cp:coreProperties>
</file>