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52BD" w14:textId="77777777" w:rsidR="00F62009" w:rsidRPr="00F62009" w:rsidRDefault="00F62009" w:rsidP="00F62009">
      <w:pPr>
        <w:spacing w:after="0" w:line="240" w:lineRule="auto"/>
        <w:jc w:val="center"/>
        <w:rPr>
          <w:rFonts w:eastAsia="Times New Roman" w:cs="Times New Roman"/>
          <w:szCs w:val="24"/>
          <w:lang w:eastAsia="es-CO"/>
        </w:rPr>
      </w:pPr>
      <w:r w:rsidRPr="00F62009">
        <w:rPr>
          <w:rFonts w:ascii="Segoe UI" w:eastAsia="Times New Roman" w:hAnsi="Segoe UI" w:cs="Segoe UI"/>
          <w:b/>
          <w:color w:val="0000FF"/>
          <w:sz w:val="28"/>
          <w:szCs w:val="28"/>
          <w:lang w:eastAsia="es-CO"/>
        </w:rPr>
        <w:t xml:space="preserve">OFICIO </w:t>
      </w:r>
      <w:proofErr w:type="spellStart"/>
      <w:r w:rsidRPr="00F62009">
        <w:rPr>
          <w:rFonts w:ascii="Segoe UI" w:eastAsia="Times New Roman" w:hAnsi="Segoe UI" w:cs="Segoe UI"/>
          <w:b/>
          <w:color w:val="0000FF"/>
          <w:sz w:val="28"/>
          <w:szCs w:val="28"/>
          <w:lang w:eastAsia="es-CO"/>
        </w:rPr>
        <w:t>N°</w:t>
      </w:r>
      <w:proofErr w:type="spellEnd"/>
      <w:r w:rsidRPr="00F62009">
        <w:rPr>
          <w:rFonts w:ascii="Segoe UI" w:eastAsia="Times New Roman" w:hAnsi="Segoe UI" w:cs="Segoe UI"/>
          <w:b/>
          <w:color w:val="0000FF"/>
          <w:sz w:val="28"/>
          <w:szCs w:val="28"/>
          <w:lang w:eastAsia="es-CO"/>
        </w:rPr>
        <w:t xml:space="preserve"> 1938 [019709]</w:t>
      </w:r>
    </w:p>
    <w:p w14:paraId="17E7E292" w14:textId="77777777" w:rsidR="00F62009" w:rsidRPr="00F62009" w:rsidRDefault="00F62009" w:rsidP="00F62009">
      <w:pPr>
        <w:spacing w:after="0" w:line="240" w:lineRule="auto"/>
        <w:jc w:val="center"/>
        <w:rPr>
          <w:rFonts w:eastAsia="Times New Roman" w:cs="Times New Roman"/>
          <w:szCs w:val="24"/>
          <w:lang w:eastAsia="es-CO"/>
        </w:rPr>
      </w:pPr>
      <w:r w:rsidRPr="00F62009">
        <w:rPr>
          <w:rFonts w:ascii="Segoe UI" w:eastAsia="Times New Roman" w:hAnsi="Segoe UI" w:cs="Segoe UI"/>
          <w:b/>
          <w:color w:val="0000FF"/>
          <w:sz w:val="28"/>
          <w:szCs w:val="28"/>
          <w:lang w:eastAsia="es-CO"/>
        </w:rPr>
        <w:t>09-08-2019</w:t>
      </w:r>
    </w:p>
    <w:p w14:paraId="35EBC093" w14:textId="77777777" w:rsidR="00F62009" w:rsidRPr="00F62009" w:rsidRDefault="00F62009" w:rsidP="00F62009">
      <w:pPr>
        <w:spacing w:after="0" w:line="240" w:lineRule="auto"/>
        <w:jc w:val="center"/>
        <w:rPr>
          <w:rFonts w:eastAsia="Times New Roman" w:cs="Times New Roman"/>
          <w:szCs w:val="24"/>
          <w:lang w:eastAsia="es-CO"/>
        </w:rPr>
      </w:pPr>
      <w:r w:rsidRPr="00F62009">
        <w:rPr>
          <w:rFonts w:ascii="Segoe UI" w:eastAsia="Times New Roman" w:hAnsi="Segoe UI" w:cs="Segoe UI"/>
          <w:b/>
          <w:color w:val="0000FF"/>
          <w:sz w:val="28"/>
          <w:szCs w:val="28"/>
          <w:lang w:eastAsia="es-CO"/>
        </w:rPr>
        <w:t>DIAN</w:t>
      </w:r>
    </w:p>
    <w:p w14:paraId="30479075"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b/>
          <w:color w:val="0000FF"/>
          <w:sz w:val="22"/>
          <w:lang w:eastAsia="es-CO"/>
        </w:rPr>
        <w:t> </w:t>
      </w:r>
    </w:p>
    <w:p w14:paraId="447DB62A"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25C2450C"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Subdirección de Gestión Normativa y Doctrina</w:t>
      </w:r>
    </w:p>
    <w:p w14:paraId="28DFA465"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100208221- 001938</w:t>
      </w:r>
    </w:p>
    <w:p w14:paraId="26B271A9"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Bogotá, D.C.</w:t>
      </w:r>
    </w:p>
    <w:p w14:paraId="26BF385D"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ab/>
      </w:r>
    </w:p>
    <w:p w14:paraId="10E204B4" w14:textId="77777777" w:rsidR="00F62009" w:rsidRPr="00F62009" w:rsidRDefault="00F62009" w:rsidP="00F62009">
      <w:pPr>
        <w:spacing w:after="0" w:line="240" w:lineRule="auto"/>
        <w:jc w:val="both"/>
        <w:rPr>
          <w:rFonts w:eastAsia="Times New Roman" w:cs="Times New Roman"/>
          <w:szCs w:val="24"/>
          <w:lang w:eastAsia="es-CO"/>
        </w:rPr>
      </w:pPr>
      <w:proofErr w:type="spellStart"/>
      <w:r w:rsidRPr="00F62009">
        <w:rPr>
          <w:rFonts w:ascii="Segoe UI" w:eastAsia="Times New Roman" w:hAnsi="Segoe UI" w:cs="Segoe UI"/>
          <w:b/>
          <w:sz w:val="22"/>
          <w:lang w:eastAsia="es-CO"/>
        </w:rPr>
        <w:t>Ref</w:t>
      </w:r>
      <w:proofErr w:type="spellEnd"/>
      <w:r w:rsidRPr="00F62009">
        <w:rPr>
          <w:rFonts w:ascii="Segoe UI" w:eastAsia="Times New Roman" w:hAnsi="Segoe UI" w:cs="Segoe UI"/>
          <w:sz w:val="22"/>
          <w:lang w:eastAsia="es-CO"/>
        </w:rPr>
        <w:t>: Radicado 100036958 del 06/06/2019</w:t>
      </w:r>
    </w:p>
    <w:p w14:paraId="49DB3AB7"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tbl>
      <w:tblPr>
        <w:tblW w:w="9721" w:type="dxa"/>
        <w:tblLook w:val="04A0" w:firstRow="1" w:lastRow="0" w:firstColumn="1" w:lastColumn="0" w:noHBand="0" w:noVBand="1"/>
      </w:tblPr>
      <w:tblGrid>
        <w:gridCol w:w="1890"/>
        <w:gridCol w:w="271"/>
        <w:gridCol w:w="271"/>
        <w:gridCol w:w="7289"/>
      </w:tblGrid>
      <w:tr w:rsidR="00F62009" w:rsidRPr="00F62009" w14:paraId="4C9D6908" w14:textId="77777777">
        <w:tc>
          <w:tcPr>
            <w:tcW w:w="1890" w:type="dxa"/>
            <w:tcBorders>
              <w:top w:val="nil"/>
              <w:left w:val="nil"/>
              <w:bottom w:val="nil"/>
              <w:right w:val="nil"/>
            </w:tcBorders>
            <w:shd w:val="clear" w:color="auto" w:fill="auto"/>
            <w:hideMark/>
          </w:tcPr>
          <w:p w14:paraId="7A6869B3"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b/>
                <w:sz w:val="20"/>
                <w:szCs w:val="20"/>
                <w:lang w:eastAsia="es-CO"/>
              </w:rPr>
              <w:t xml:space="preserve">Tema </w:t>
            </w:r>
            <w:r w:rsidRPr="00F62009">
              <w:rPr>
                <w:rFonts w:ascii="Segoe UI" w:eastAsia="Times New Roman" w:hAnsi="Segoe UI" w:cs="Segoe UI"/>
                <w:b/>
                <w:sz w:val="20"/>
                <w:szCs w:val="20"/>
                <w:lang w:eastAsia="es-CO"/>
              </w:rPr>
              <w:tab/>
            </w:r>
          </w:p>
        </w:tc>
        <w:tc>
          <w:tcPr>
            <w:tcW w:w="0" w:type="auto"/>
            <w:tcBorders>
              <w:top w:val="nil"/>
              <w:left w:val="nil"/>
              <w:bottom w:val="nil"/>
              <w:right w:val="nil"/>
            </w:tcBorders>
            <w:shd w:val="clear" w:color="auto" w:fill="auto"/>
            <w:hideMark/>
          </w:tcPr>
          <w:p w14:paraId="12ABF576"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hideMark/>
          </w:tcPr>
          <w:p w14:paraId="69F4660A"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hideMark/>
          </w:tcPr>
          <w:p w14:paraId="5FFB73FC"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0"/>
                <w:szCs w:val="20"/>
                <w:lang w:eastAsia="es-CO"/>
              </w:rPr>
              <w:t>Régimen Unificado de Tributación SIMPLE</w:t>
            </w:r>
          </w:p>
        </w:tc>
      </w:tr>
      <w:tr w:rsidR="00F62009" w:rsidRPr="00F62009" w14:paraId="47D8CCEE" w14:textId="77777777">
        <w:tc>
          <w:tcPr>
            <w:tcW w:w="1890" w:type="dxa"/>
            <w:tcBorders>
              <w:top w:val="nil"/>
              <w:left w:val="nil"/>
              <w:bottom w:val="nil"/>
              <w:right w:val="nil"/>
            </w:tcBorders>
            <w:shd w:val="clear" w:color="auto" w:fill="auto"/>
            <w:hideMark/>
          </w:tcPr>
          <w:p w14:paraId="4DD3339E"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b/>
                <w:sz w:val="20"/>
                <w:szCs w:val="20"/>
                <w:lang w:eastAsia="es-CO"/>
              </w:rPr>
              <w:t>Descriptores</w:t>
            </w:r>
          </w:p>
        </w:tc>
        <w:tc>
          <w:tcPr>
            <w:tcW w:w="0" w:type="auto"/>
            <w:tcBorders>
              <w:top w:val="nil"/>
              <w:left w:val="nil"/>
              <w:bottom w:val="nil"/>
              <w:right w:val="nil"/>
            </w:tcBorders>
            <w:shd w:val="clear" w:color="auto" w:fill="auto"/>
            <w:hideMark/>
          </w:tcPr>
          <w:p w14:paraId="3A701AD3"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hideMark/>
          </w:tcPr>
          <w:p w14:paraId="79C1F61A"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hideMark/>
          </w:tcPr>
          <w:p w14:paraId="210B4167"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0"/>
                <w:szCs w:val="20"/>
                <w:lang w:eastAsia="es-CO"/>
              </w:rPr>
              <w:t>Sujetos que no pueden optar por el Impuesto</w:t>
            </w:r>
          </w:p>
        </w:tc>
      </w:tr>
      <w:tr w:rsidR="00F62009" w:rsidRPr="00F62009" w14:paraId="561941BA" w14:textId="77777777">
        <w:tc>
          <w:tcPr>
            <w:tcW w:w="1890" w:type="dxa"/>
            <w:tcBorders>
              <w:top w:val="nil"/>
              <w:left w:val="nil"/>
              <w:bottom w:val="nil"/>
              <w:right w:val="nil"/>
            </w:tcBorders>
            <w:shd w:val="clear" w:color="auto" w:fill="auto"/>
            <w:hideMark/>
          </w:tcPr>
          <w:p w14:paraId="633AAF5C"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b/>
                <w:sz w:val="20"/>
                <w:szCs w:val="20"/>
                <w:lang w:eastAsia="es-CO"/>
              </w:rPr>
              <w:t>Fuentes formales</w:t>
            </w:r>
          </w:p>
        </w:tc>
        <w:tc>
          <w:tcPr>
            <w:tcW w:w="0" w:type="auto"/>
            <w:tcBorders>
              <w:top w:val="nil"/>
              <w:left w:val="nil"/>
              <w:bottom w:val="nil"/>
              <w:right w:val="nil"/>
            </w:tcBorders>
            <w:shd w:val="clear" w:color="auto" w:fill="auto"/>
            <w:hideMark/>
          </w:tcPr>
          <w:p w14:paraId="5D6641A6"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hideMark/>
          </w:tcPr>
          <w:p w14:paraId="36F1665B"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hideMark/>
          </w:tcPr>
          <w:p w14:paraId="65F07DDC"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0"/>
                <w:szCs w:val="20"/>
                <w:lang w:eastAsia="es-CO"/>
              </w:rPr>
              <w:t>Estatuto Tributario artículos 903, 904, 905, 906, 907 y 908 adicionados por el artículo 66 de la Ley 1943 de 2018; Ley 1819 de 2016 artículo 308, Ley 1943 de 2018, artículo 16; Decreto Único Reglamentario, artículo 1.6.1.4.1.10.</w:t>
            </w:r>
          </w:p>
        </w:tc>
      </w:tr>
    </w:tbl>
    <w:p w14:paraId="21FB707D"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46171ED0"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0005DC45"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Cordial saludo, Sra. Paola.</w:t>
      </w:r>
    </w:p>
    <w:p w14:paraId="7BDFFA36"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5A8EDDD5"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35E11184"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1669C654"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Plantea usted 2 interrogantes relacionados con el régimen de tributación simple, que se atendrán en primer orden y, luego, la pregunta formulada en relación con la factura electrónica.</w:t>
      </w:r>
    </w:p>
    <w:p w14:paraId="72EA4207"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1FF40B9E"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1. ¿Las personas naturales o jurídicas que tengan deudas pendientes con la DIAN, pueden aplicar al régimen de tributación simple?</w:t>
      </w:r>
    </w:p>
    <w:p w14:paraId="706E76A6"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58CABEBB"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xml:space="preserve">La Ley 1943 de 2018 a través del artículo 66, eliminó el monotributo, adicionó el Libro Octavo al Estatuto Tributario y creó el </w:t>
      </w:r>
      <w:r w:rsidRPr="00F62009">
        <w:rPr>
          <w:rFonts w:ascii="Segoe UI" w:eastAsia="Times New Roman" w:hAnsi="Segoe UI" w:cs="Segoe UI"/>
          <w:i/>
          <w:sz w:val="22"/>
          <w:lang w:eastAsia="es-CO"/>
        </w:rPr>
        <w:t>"Impuesto Unificado bajo el Régimen Simple de Tributación- Simple”.</w:t>
      </w:r>
    </w:p>
    <w:p w14:paraId="7503F2A8"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eastAsia="Times New Roman" w:cs="Times New Roman"/>
          <w:szCs w:val="24"/>
          <w:lang w:eastAsia="es-CO"/>
        </w:rPr>
        <w:t> </w:t>
      </w:r>
    </w:p>
    <w:p w14:paraId="3381185C"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Acorde con el artículo 903 del Estatuto Tributario, a este régimen pueden pertenecer tanto las personas naturales como jurídicas que cumplan los requisitos señalados por la ley.</w:t>
      </w:r>
    </w:p>
    <w:p w14:paraId="7A9048AD"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0C410B17"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xml:space="preserve">El artículo 905 </w:t>
      </w:r>
      <w:proofErr w:type="spellStart"/>
      <w:r w:rsidRPr="00F62009">
        <w:rPr>
          <w:rFonts w:ascii="Segoe UI" w:eastAsia="Times New Roman" w:hAnsi="Segoe UI" w:cs="Segoe UI"/>
          <w:sz w:val="22"/>
          <w:lang w:eastAsia="es-CO"/>
        </w:rPr>
        <w:t>ibídem</w:t>
      </w:r>
      <w:proofErr w:type="spellEnd"/>
      <w:r w:rsidRPr="00F62009">
        <w:rPr>
          <w:rFonts w:ascii="Segoe UI" w:eastAsia="Times New Roman" w:hAnsi="Segoe UI" w:cs="Segoe UI"/>
          <w:sz w:val="22"/>
          <w:lang w:eastAsia="es-CO"/>
        </w:rPr>
        <w:t>, señala los sujetos pasivos y dispone:</w:t>
      </w:r>
    </w:p>
    <w:p w14:paraId="365316BF"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i/>
          <w:sz w:val="22"/>
          <w:lang w:eastAsia="es-CO"/>
        </w:rPr>
        <w:t> </w:t>
      </w:r>
    </w:p>
    <w:p w14:paraId="2C9C695E"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b/>
          <w:i/>
          <w:sz w:val="22"/>
          <w:lang w:eastAsia="es-CO"/>
        </w:rPr>
        <w:t>“ARTÍCULO 905. SUJETOS PASIVOS</w:t>
      </w:r>
      <w:r w:rsidRPr="00F62009">
        <w:rPr>
          <w:rFonts w:ascii="Segoe UI" w:eastAsia="Times New Roman" w:hAnsi="Segoe UI" w:cs="Segoe UI"/>
          <w:i/>
          <w:sz w:val="22"/>
          <w:lang w:eastAsia="es-CO"/>
        </w:rPr>
        <w:t>. Podrán ser sujetos pasivos del impuesto unificado bajo el Régimen Simple de Tributación (Simple) las personas naturales o jurídicas que reúnan la totalidad de las siguientes condiciones:</w:t>
      </w:r>
    </w:p>
    <w:p w14:paraId="0782F5AC"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i/>
          <w:sz w:val="22"/>
          <w:lang w:eastAsia="es-CO"/>
        </w:rPr>
        <w:t> </w:t>
      </w:r>
    </w:p>
    <w:p w14:paraId="461775A4"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i/>
          <w:sz w:val="22"/>
          <w:lang w:eastAsia="es-CO"/>
        </w:rPr>
        <w:t>1. Que se trate de una persona natural que desarrolle una empresa o de una persona jurídica en la que sus socios, partícipes o accionistas sean personas naturales, nacionales o extranjeras, residentes en Colombia.</w:t>
      </w:r>
    </w:p>
    <w:p w14:paraId="0D08EA39"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i/>
          <w:sz w:val="22"/>
          <w:lang w:eastAsia="es-CO"/>
        </w:rPr>
        <w:t>2. Que en el año gravable anterior hubieren obtenido ingresos brutos, ordinarios o extraordinarios, inferiores a 80.000 UVT. En el caso de las empresas o personas jurídicas nuevas, la inscripción en el impuesto unificado bajo el régimen simple de tributación - SIMPLE estará condicionada a que los ingresos del año no superen estos límites.</w:t>
      </w:r>
    </w:p>
    <w:p w14:paraId="2A0E57C9"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sz w:val="22"/>
          <w:lang w:eastAsia="es-CO"/>
        </w:rPr>
        <w:t>/…/</w:t>
      </w:r>
    </w:p>
    <w:p w14:paraId="034A9403"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i/>
          <w:sz w:val="22"/>
          <w:u w:val="single"/>
          <w:lang w:eastAsia="es-CO"/>
        </w:rPr>
        <w:t xml:space="preserve">6. La persona natural o jurídica </w:t>
      </w:r>
      <w:r w:rsidRPr="00F62009">
        <w:rPr>
          <w:rFonts w:ascii="Segoe UI" w:eastAsia="Times New Roman" w:hAnsi="Segoe UI" w:cs="Segoe UI"/>
          <w:b/>
          <w:i/>
          <w:sz w:val="22"/>
          <w:u w:val="single"/>
          <w:lang w:eastAsia="es-CO"/>
        </w:rPr>
        <w:t>debe estar al día con sus obligaciones tributarias de carácter nacional, departamental y municipal,</w:t>
      </w:r>
      <w:r w:rsidRPr="00F62009">
        <w:rPr>
          <w:rFonts w:ascii="Segoe UI" w:eastAsia="Times New Roman" w:hAnsi="Segoe UI" w:cs="Segoe UI"/>
          <w:i/>
          <w:sz w:val="22"/>
          <w:u w:val="single"/>
          <w:lang w:eastAsia="es-CO"/>
        </w:rPr>
        <w:t xml:space="preserve"> y con sus obligaciones de pago de contribuciones al Sistema de Seguridad Social Integral. También debe contar con la inscripción respectiva en el </w:t>
      </w:r>
      <w:r w:rsidRPr="00F62009">
        <w:rPr>
          <w:rFonts w:ascii="Segoe UI" w:eastAsia="Times New Roman" w:hAnsi="Segoe UI" w:cs="Segoe UI"/>
          <w:i/>
          <w:sz w:val="22"/>
          <w:u w:val="single"/>
          <w:lang w:eastAsia="es-CO"/>
        </w:rPr>
        <w:lastRenderedPageBreak/>
        <w:t xml:space="preserve">Registro Único Tributario - RUT y con todos los mecanismos electrónicos de cumplimiento, </w:t>
      </w:r>
      <w:proofErr w:type="gramStart"/>
      <w:r w:rsidRPr="00F62009">
        <w:rPr>
          <w:rFonts w:ascii="Segoe UI" w:eastAsia="Times New Roman" w:hAnsi="Segoe UI" w:cs="Segoe UI"/>
          <w:i/>
          <w:sz w:val="22"/>
          <w:u w:val="single"/>
          <w:lang w:eastAsia="es-CO"/>
        </w:rPr>
        <w:t>firma electrónica y factura electrónica</w:t>
      </w:r>
      <w:proofErr w:type="gramEnd"/>
      <w:r w:rsidRPr="00F62009">
        <w:rPr>
          <w:rFonts w:ascii="Segoe UI" w:eastAsia="Times New Roman" w:hAnsi="Segoe UI" w:cs="Segoe UI"/>
          <w:i/>
          <w:sz w:val="22"/>
          <w:u w:val="single"/>
          <w:lang w:eastAsia="es-CO"/>
        </w:rPr>
        <w:t>.</w:t>
      </w:r>
    </w:p>
    <w:p w14:paraId="5F1CF055"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sz w:val="22"/>
          <w:lang w:eastAsia="es-CO"/>
        </w:rPr>
        <w:t>/…/.” (Subrayado fuera de texto)</w:t>
      </w:r>
    </w:p>
    <w:p w14:paraId="743CE464"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5F12B64E"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Por su parte, el artículo 906 señala los sujetos que no pueden optar por este Régimen.</w:t>
      </w:r>
    </w:p>
    <w:p w14:paraId="6BE8B06A"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58C4C9CB"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xml:space="preserve">En consecuencia, quien cumpla las </w:t>
      </w:r>
      <w:proofErr w:type="gramStart"/>
      <w:r w:rsidRPr="00F62009">
        <w:rPr>
          <w:rFonts w:ascii="Segoe UI" w:eastAsia="Times New Roman" w:hAnsi="Segoe UI" w:cs="Segoe UI"/>
          <w:sz w:val="22"/>
          <w:lang w:eastAsia="es-CO"/>
        </w:rPr>
        <w:t>condiciones señalados</w:t>
      </w:r>
      <w:proofErr w:type="gramEnd"/>
      <w:r w:rsidRPr="00F62009">
        <w:rPr>
          <w:rFonts w:ascii="Segoe UI" w:eastAsia="Times New Roman" w:hAnsi="Segoe UI" w:cs="Segoe UI"/>
          <w:sz w:val="22"/>
          <w:lang w:eastAsia="es-CO"/>
        </w:rPr>
        <w:t xml:space="preserve"> en el artículo 905 del Estatuto Tributario y no se encuentre entre los sujetos y/o situaciones señaladas en el artículo 906 </w:t>
      </w:r>
      <w:proofErr w:type="spellStart"/>
      <w:r w:rsidRPr="00F62009">
        <w:rPr>
          <w:rFonts w:ascii="Segoe UI" w:eastAsia="Times New Roman" w:hAnsi="Segoe UI" w:cs="Segoe UI"/>
          <w:sz w:val="22"/>
          <w:lang w:eastAsia="es-CO"/>
        </w:rPr>
        <w:t>ibídem</w:t>
      </w:r>
      <w:proofErr w:type="spellEnd"/>
      <w:r w:rsidRPr="00F62009">
        <w:rPr>
          <w:rFonts w:ascii="Segoe UI" w:eastAsia="Times New Roman" w:hAnsi="Segoe UI" w:cs="Segoe UI"/>
          <w:sz w:val="22"/>
          <w:lang w:eastAsia="es-CO"/>
        </w:rPr>
        <w:t>, puede acogerse al régimen SIMPLE de tributación.</w:t>
      </w:r>
    </w:p>
    <w:p w14:paraId="107E512F"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58FD22C8"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xml:space="preserve">Como se observa, en el numeral 6 del artículo 905 del E.T., efectivamente como una de las condiciones para pertenecer a este régimen señala la de estar al día con las obligaciones allí listadas, incluidas las </w:t>
      </w:r>
      <w:r w:rsidRPr="00F62009">
        <w:rPr>
          <w:rFonts w:ascii="Segoe UI" w:eastAsia="Times New Roman" w:hAnsi="Segoe UI" w:cs="Segoe UI"/>
          <w:b/>
          <w:sz w:val="22"/>
          <w:u w:val="single"/>
          <w:lang w:eastAsia="es-CO"/>
        </w:rPr>
        <w:t>obligaciones tributarias de carácter nacional, departamental y municipal.</w:t>
      </w:r>
    </w:p>
    <w:p w14:paraId="022C4108"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76C7725F"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De tal manera que para acogerse régimen simple de tributación - SIMPLE es necesario estar al día, entre otras, con las obligaciones tributarias de carácter nacional que son las administradas por la DIAN.</w:t>
      </w:r>
    </w:p>
    <w:p w14:paraId="5C7B95A2"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0C2840A5"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xml:space="preserve">2. ¿Si las personas naturales o jurídicas presentan su ICA anual cómo se maneja ese pago anticipado, </w:t>
      </w:r>
      <w:proofErr w:type="gramStart"/>
      <w:r w:rsidRPr="00F62009">
        <w:rPr>
          <w:rFonts w:ascii="Segoe UI" w:eastAsia="Times New Roman" w:hAnsi="Segoe UI" w:cs="Segoe UI"/>
          <w:sz w:val="22"/>
          <w:lang w:eastAsia="es-CO"/>
        </w:rPr>
        <w:t>qué sucedería si el valor pagado anticipadamente es mayor al valor a pagar?</w:t>
      </w:r>
      <w:proofErr w:type="gramEnd"/>
    </w:p>
    <w:p w14:paraId="7F44B6C8"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0A250361"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Al respecto se observa lo siguiente: el Artículo 907 del Estatuto Tributario, se refiere a los impuestos que comprenden e integran el impuesto unificado bajo el régimen simple de tributación, así:</w:t>
      </w:r>
    </w:p>
    <w:p w14:paraId="48FF694B"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i/>
          <w:sz w:val="22"/>
          <w:lang w:eastAsia="es-CO"/>
        </w:rPr>
        <w:t> </w:t>
      </w:r>
    </w:p>
    <w:p w14:paraId="09773FE9"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i/>
          <w:sz w:val="22"/>
          <w:lang w:eastAsia="es-CO"/>
        </w:rPr>
        <w:t>“El impuesto unificado bajo el Régimen Simple de Tributación (Simple) comprende e integra los siguientes impuestos:</w:t>
      </w:r>
    </w:p>
    <w:p w14:paraId="3EDB8312"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i/>
          <w:sz w:val="22"/>
          <w:lang w:eastAsia="es-CO"/>
        </w:rPr>
        <w:t> </w:t>
      </w:r>
    </w:p>
    <w:p w14:paraId="06401093"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i/>
          <w:sz w:val="22"/>
          <w:lang w:eastAsia="es-CO"/>
        </w:rPr>
        <w:t>1. Impuesto sobre la renta.</w:t>
      </w:r>
    </w:p>
    <w:p w14:paraId="62C8925E"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i/>
          <w:sz w:val="22"/>
          <w:lang w:eastAsia="es-CO"/>
        </w:rPr>
        <w:t>2. Impuesto nacional al consumo, cuando se desarrollen servicios de expendio de comidas y bebidas.</w:t>
      </w:r>
    </w:p>
    <w:p w14:paraId="43A41E7A"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i/>
          <w:sz w:val="22"/>
          <w:lang w:eastAsia="es-CO"/>
        </w:rPr>
        <w:t>3. El Impuesto sobre las Ventas (IVA), únicamente cuando se desarrolle una o más actividades descritas en el numeral 1 del artículo 908 de este Estatuto.</w:t>
      </w:r>
    </w:p>
    <w:p w14:paraId="0A32119B"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b/>
          <w:i/>
          <w:sz w:val="22"/>
          <w:lang w:eastAsia="es-CO"/>
        </w:rPr>
        <w:t>4. Impuesto de industria y comercio consolidado, de conformidad con las tarifas determinadas por los consejos municipales y distritales, según las leyes vigentes.</w:t>
      </w:r>
      <w:r w:rsidRPr="00F62009">
        <w:rPr>
          <w:rFonts w:ascii="Segoe UI" w:eastAsia="Times New Roman" w:hAnsi="Segoe UI" w:cs="Segoe UI"/>
          <w:i/>
          <w:sz w:val="22"/>
          <w:lang w:eastAsia="es-CO"/>
        </w:rPr>
        <w:t xml:space="preserve"> (...)" (Resaltado fuera de texto)</w:t>
      </w:r>
    </w:p>
    <w:p w14:paraId="3DDA0E46"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71625849"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De otra parte, el artículo 903 del E.T. en el inciso segundo dispone:</w:t>
      </w:r>
    </w:p>
    <w:p w14:paraId="64E1E5F3"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i/>
          <w:sz w:val="22"/>
          <w:lang w:eastAsia="es-CO"/>
        </w:rPr>
        <w:t> </w:t>
      </w:r>
    </w:p>
    <w:p w14:paraId="493F77D0"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i/>
          <w:sz w:val="22"/>
          <w:lang w:eastAsia="es-CO"/>
        </w:rPr>
        <w:t xml:space="preserve">“El impuesto unificado bajo el régimen simple de tributación - SIMPLE es un modelo de tributación opcional </w:t>
      </w:r>
      <w:r w:rsidRPr="00F62009">
        <w:rPr>
          <w:rFonts w:ascii="Segoe UI" w:eastAsia="Times New Roman" w:hAnsi="Segoe UI" w:cs="Segoe UI"/>
          <w:b/>
          <w:i/>
          <w:sz w:val="22"/>
          <w:lang w:eastAsia="es-CO"/>
        </w:rPr>
        <w:t>de determinación integral, de declaración anual y anticipo bimestral</w:t>
      </w:r>
      <w:r w:rsidRPr="00F62009">
        <w:rPr>
          <w:rFonts w:ascii="Segoe UI" w:eastAsia="Times New Roman" w:hAnsi="Segoe UI" w:cs="Segoe UI"/>
          <w:b/>
          <w:i/>
          <w:sz w:val="22"/>
          <w:u w:val="single"/>
          <w:lang w:eastAsia="es-CO"/>
        </w:rPr>
        <w:t>,</w:t>
      </w:r>
      <w:r w:rsidRPr="00F62009">
        <w:rPr>
          <w:rFonts w:ascii="Segoe UI" w:eastAsia="Times New Roman" w:hAnsi="Segoe UI" w:cs="Segoe UI"/>
          <w:i/>
          <w:sz w:val="22"/>
          <w:lang w:eastAsia="es-CO"/>
        </w:rPr>
        <w:t xml:space="preserve"> </w:t>
      </w:r>
      <w:r w:rsidRPr="00F62009">
        <w:rPr>
          <w:rFonts w:ascii="Segoe UI" w:eastAsia="Times New Roman" w:hAnsi="Segoe UI" w:cs="Segoe UI"/>
          <w:i/>
          <w:sz w:val="22"/>
          <w:u w:val="single"/>
          <w:lang w:eastAsia="es-CO"/>
        </w:rPr>
        <w:t>que sustituye el impuesto sobre la renta</w:t>
      </w:r>
      <w:r w:rsidRPr="00F62009">
        <w:rPr>
          <w:rFonts w:ascii="Segoe UI" w:eastAsia="Times New Roman" w:hAnsi="Segoe UI" w:cs="Segoe UI"/>
          <w:i/>
          <w:sz w:val="22"/>
          <w:lang w:eastAsia="es-CO"/>
        </w:rPr>
        <w:t>, </w:t>
      </w:r>
      <w:r w:rsidRPr="00F62009">
        <w:rPr>
          <w:rFonts w:ascii="Segoe UI" w:eastAsia="Times New Roman" w:hAnsi="Segoe UI" w:cs="Segoe UI"/>
          <w:b/>
          <w:i/>
          <w:sz w:val="22"/>
          <w:lang w:eastAsia="es-CO"/>
        </w:rPr>
        <w:t>e integra el impuesto nacional al consumo y el impuesto de industria y comercio consolidado,</w:t>
      </w:r>
      <w:r w:rsidRPr="00F62009">
        <w:rPr>
          <w:rFonts w:ascii="Segoe UI" w:eastAsia="Times New Roman" w:hAnsi="Segoe UI" w:cs="Segoe UI"/>
          <w:i/>
          <w:sz w:val="22"/>
          <w:lang w:eastAsia="es-CO"/>
        </w:rPr>
        <w:t xml:space="preserve"> a cargo de los contribuyentes que opten voluntariamente por acogerse al mismo. </w:t>
      </w:r>
      <w:r w:rsidRPr="00F62009">
        <w:rPr>
          <w:rFonts w:ascii="Segoe UI" w:eastAsia="Times New Roman" w:hAnsi="Segoe UI" w:cs="Segoe UI"/>
          <w:i/>
          <w:sz w:val="22"/>
          <w:u w:val="single"/>
          <w:lang w:eastAsia="es-CO"/>
        </w:rPr>
        <w:t>El impuesto de industria y comercio consolidado comprende el impuesto complementario de avisos y tableros y las sobretasas bomberil que se encuentran autorizadas a los municipios.</w:t>
      </w:r>
      <w:r w:rsidRPr="00F62009">
        <w:rPr>
          <w:rFonts w:ascii="Segoe UI" w:eastAsia="Times New Roman" w:hAnsi="Segoe UI" w:cs="Segoe UI"/>
          <w:i/>
          <w:sz w:val="22"/>
          <w:lang w:eastAsia="es-CO"/>
        </w:rPr>
        <w:t xml:space="preserve"> (Subrayado y resaltado fuera de texto)</w:t>
      </w:r>
    </w:p>
    <w:p w14:paraId="22E44CEB"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eastAsia="Times New Roman" w:cs="Times New Roman"/>
          <w:szCs w:val="24"/>
          <w:lang w:eastAsia="es-CO"/>
        </w:rPr>
        <w:t> </w:t>
      </w:r>
    </w:p>
    <w:p w14:paraId="2B678B7E"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Además, el artículo 904 del E.T., que establece el hecho generador y la base gravable, en el inciso segundo indica:</w:t>
      </w:r>
    </w:p>
    <w:p w14:paraId="3E5F3C7C"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b/>
          <w:i/>
          <w:sz w:val="22"/>
          <w:lang w:eastAsia="es-CO"/>
        </w:rPr>
        <w:t> </w:t>
      </w:r>
    </w:p>
    <w:p w14:paraId="66A04779"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b/>
          <w:i/>
          <w:sz w:val="22"/>
          <w:lang w:eastAsia="es-CO"/>
        </w:rPr>
        <w:t>“Para el caso del impuesto de industria y comercio consolidado, el cual se integra al impuesto unificado bajo el régimen simple de tributación - SIMPLE,</w:t>
      </w:r>
      <w:r w:rsidRPr="00F62009">
        <w:rPr>
          <w:rFonts w:ascii="Segoe UI" w:eastAsia="Times New Roman" w:hAnsi="Segoe UI" w:cs="Segoe UI"/>
          <w:i/>
          <w:sz w:val="22"/>
          <w:lang w:eastAsia="es-CO"/>
        </w:rPr>
        <w:t xml:space="preserve"> </w:t>
      </w:r>
      <w:r w:rsidRPr="00F62009">
        <w:rPr>
          <w:rFonts w:ascii="Segoe UI" w:eastAsia="Times New Roman" w:hAnsi="Segoe UI" w:cs="Segoe UI"/>
          <w:i/>
          <w:sz w:val="22"/>
          <w:u w:val="single"/>
          <w:lang w:eastAsia="es-CO"/>
        </w:rPr>
        <w:t>se mantienen la autonomía de los entes territoriales para la definición de los elementos del hecho generador, base gravable, tarifa y sujetos pasivos, de conformidad con las leyes vigentes.</w:t>
      </w:r>
      <w:r w:rsidRPr="00F62009">
        <w:rPr>
          <w:rFonts w:ascii="Segoe UI" w:eastAsia="Times New Roman" w:hAnsi="Segoe UI" w:cs="Segoe UI"/>
          <w:i/>
          <w:sz w:val="22"/>
          <w:lang w:eastAsia="es-CO"/>
        </w:rPr>
        <w:t>” (Subrayado y resaltado fuera de texto)</w:t>
      </w:r>
    </w:p>
    <w:p w14:paraId="2DE2D269"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lastRenderedPageBreak/>
        <w:t> </w:t>
      </w:r>
    </w:p>
    <w:p w14:paraId="71AEDDBC"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También es pertinente mencionar que de acuerdo con el parágrafo 2 del artículo 908 del E.T. que establece la tarifa:</w:t>
      </w:r>
    </w:p>
    <w:p w14:paraId="5C7D5C19"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b/>
          <w:i/>
          <w:sz w:val="22"/>
          <w:lang w:eastAsia="es-CO"/>
        </w:rPr>
        <w:t> </w:t>
      </w:r>
    </w:p>
    <w:p w14:paraId="50430D03"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b/>
          <w:i/>
          <w:sz w:val="22"/>
          <w:lang w:eastAsia="es-CO"/>
        </w:rPr>
        <w:t>“En el caso del impuesto de industria y comercio consolidado</w:t>
      </w:r>
      <w:r w:rsidRPr="00F62009">
        <w:rPr>
          <w:rFonts w:ascii="Segoe UI" w:eastAsia="Times New Roman" w:hAnsi="Segoe UI" w:cs="Segoe UI"/>
          <w:i/>
          <w:sz w:val="22"/>
          <w:lang w:eastAsia="es-CO"/>
        </w:rPr>
        <w:t xml:space="preserve">, </w:t>
      </w:r>
      <w:r w:rsidRPr="00F62009">
        <w:rPr>
          <w:rFonts w:ascii="Segoe UI" w:eastAsia="Times New Roman" w:hAnsi="Segoe UI" w:cs="Segoe UI"/>
          <w:i/>
          <w:sz w:val="22"/>
          <w:u w:val="single"/>
          <w:lang w:eastAsia="es-CO"/>
        </w:rPr>
        <w:t>el Ministerio de Hacienda y Crédito Público desempeñará exclusivamente la función de recaudador</w:t>
      </w:r>
      <w:r w:rsidRPr="00F62009">
        <w:rPr>
          <w:rFonts w:ascii="Segoe UI" w:eastAsia="Times New Roman" w:hAnsi="Segoe UI" w:cs="Segoe UI"/>
          <w:i/>
          <w:sz w:val="22"/>
          <w:lang w:eastAsia="es-CO"/>
        </w:rPr>
        <w:t xml:space="preserve"> y tendrá </w:t>
      </w:r>
      <w:r w:rsidRPr="00F62009">
        <w:rPr>
          <w:rFonts w:ascii="Segoe UI" w:eastAsia="Times New Roman" w:hAnsi="Segoe UI" w:cs="Segoe UI"/>
          <w:i/>
          <w:sz w:val="22"/>
          <w:u w:val="single"/>
          <w:lang w:eastAsia="es-CO"/>
        </w:rPr>
        <w:t>la obligación de transferir bimestralmente el impuesto recaudado a las autoridades municipales y distritales competentes, una vez se realice el recaudo”.</w:t>
      </w:r>
      <w:r w:rsidRPr="00F62009">
        <w:rPr>
          <w:rFonts w:ascii="Segoe UI" w:eastAsia="Times New Roman" w:hAnsi="Segoe UI" w:cs="Segoe UI"/>
          <w:i/>
          <w:sz w:val="22"/>
          <w:lang w:eastAsia="es-CO"/>
        </w:rPr>
        <w:t xml:space="preserve"> (Subrayado fuera de texto)</w:t>
      </w:r>
    </w:p>
    <w:p w14:paraId="37571571"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22DE525D"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De acuerdo con las normas en cita, en relación con el impuesto unificado bajo el régimen simple de tributación- SIMPLE, se establece una periodicidad anual y unos pagos anticipados bimestrales, sin embargo, sobre la forma cómo van a operar los anticipos bimestrales y su aplicación en la declaración anual, y la particularidad frente a los impuestos que integran el régimen de tributación simple, entre ellos el Impuesto de Industria y Comercio, es uno de los aspectos comprendidos en el proyecto de reglamentación del impuesto unificado bajo el régimen de tributación -Simple, que se encuentra en trámite.</w:t>
      </w:r>
    </w:p>
    <w:p w14:paraId="460A8A1C"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1D612339"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Además, dado que la DIAN no es competente para conocer de asuntos relacionados con el ICA, una vez se expida el reglamento, de existir inquietudes sobre el tema o se requieran precisiones doctrinales al respecto, habrá de solicitarse lo pertinente a la Dirección de Apoyo Fiscal del Ministerio de Hacienda y Crédito Público, autoridad doctrinaria en materia de interpretación de las normas sobre tributación territorial.</w:t>
      </w:r>
    </w:p>
    <w:p w14:paraId="32910D63"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01BB53FA"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xml:space="preserve">3. Pregunta finalmente: ¿si las personas naturales o jurídicas que tengan deudas pendientes con la </w:t>
      </w:r>
      <w:proofErr w:type="gramStart"/>
      <w:r w:rsidRPr="00F62009">
        <w:rPr>
          <w:rFonts w:ascii="Segoe UI" w:eastAsia="Times New Roman" w:hAnsi="Segoe UI" w:cs="Segoe UI"/>
          <w:sz w:val="22"/>
          <w:lang w:eastAsia="es-CO"/>
        </w:rPr>
        <w:t>DIAN,</w:t>
      </w:r>
      <w:proofErr w:type="gramEnd"/>
      <w:r w:rsidRPr="00F62009">
        <w:rPr>
          <w:rFonts w:ascii="Segoe UI" w:eastAsia="Times New Roman" w:hAnsi="Segoe UI" w:cs="Segoe UI"/>
          <w:sz w:val="22"/>
          <w:lang w:eastAsia="es-CO"/>
        </w:rPr>
        <w:t xml:space="preserve"> pueden aplicar al sistema de facturación electrónica?</w:t>
      </w:r>
    </w:p>
    <w:p w14:paraId="0A915C77"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0594EF05"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Al respecto es necesario señalar en primer término que el artículo 616-1 del Estatuto Tributario, antes de las modificaciones introducidas por las leyes 1819 de 2016 y 1943 de 2018, se refería a la factura electrónica como un documento equivalente. Por su parte, el Decreto 2242 de 2015, la reglamentó en aras de su masificación y, en el artículo 1 de este decreto, incorporado en el artículo 1.6.4.4.1.1 del Decreto 1625 de 2016, señala su ámbito de aplicación, extendiéndola, entre otros, a los sujetos obligados a expedir factura que sean seleccionados por la DIAN, así como a quienes opten voluntariamente por ella.</w:t>
      </w:r>
    </w:p>
    <w:p w14:paraId="3DA23640"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1307FC9D"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xml:space="preserve">Precisamente el Decreto 2242 de 2015 fija las condiciones y requisitos de expedición de la factura electrónica y las condiciones que deben cumplirse para su expedición exigiendo a quienes entren en el sistema un ese (sic) proceso, exigiendo un proceso de habilitación previsto en el artículo 10 (incluido en el artículo 1.6.1.4.1.10 del Decreto Único Reglamentario 1625 de 2016) donde, entre otros aspectos, </w:t>
      </w:r>
      <w:r w:rsidRPr="00F62009">
        <w:rPr>
          <w:rFonts w:ascii="Segoe UI" w:eastAsia="Times New Roman" w:hAnsi="Segoe UI" w:cs="Segoe UI"/>
          <w:b/>
          <w:sz w:val="22"/>
          <w:lang w:eastAsia="es-CO"/>
        </w:rPr>
        <w:t>fija criterios para efectos de la selección que efectúe la entidad mediante resolución de carácter general,</w:t>
      </w:r>
      <w:r w:rsidRPr="00F62009">
        <w:rPr>
          <w:rFonts w:ascii="Segoe UI" w:eastAsia="Times New Roman" w:hAnsi="Segoe UI" w:cs="Segoe UI"/>
          <w:sz w:val="22"/>
          <w:lang w:eastAsia="es-CO"/>
        </w:rPr>
        <w:t xml:space="preserve"> selecciones que permitirían elegir gradualmente a personas naturales o jurídicas de acuerdo con la clasificación de actividades económicas adoptadas por la DIAN a través de la Resolución 000139 de 2012 y las que la modifiquen o sustituyan, dentro de los sectores económicos definidos en dicho artículo.</w:t>
      </w:r>
    </w:p>
    <w:p w14:paraId="3472CAEF"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32DFF9A2"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xml:space="preserve">La misma norma indica también que: </w:t>
      </w:r>
      <w:r w:rsidRPr="00F62009">
        <w:rPr>
          <w:rFonts w:ascii="Segoe UI" w:eastAsia="Times New Roman" w:hAnsi="Segoe UI" w:cs="Segoe UI"/>
          <w:i/>
          <w:sz w:val="22"/>
          <w:lang w:eastAsia="es-CO"/>
        </w:rPr>
        <w:t xml:space="preserve">“En todo caso, la selección que haga la DIAN deberá efectuarse teniendo en cuenta que se trate de sujetos obligados a facturar y </w:t>
      </w:r>
      <w:r w:rsidRPr="00F62009">
        <w:rPr>
          <w:rFonts w:ascii="Segoe UI" w:eastAsia="Times New Roman" w:hAnsi="Segoe UI" w:cs="Segoe UI"/>
          <w:i/>
          <w:sz w:val="22"/>
          <w:u w:val="single"/>
          <w:lang w:eastAsia="es-CO"/>
        </w:rPr>
        <w:t>atenderá, entre otros,</w:t>
      </w:r>
      <w:r w:rsidRPr="00F62009">
        <w:rPr>
          <w:rFonts w:ascii="Segoe UI" w:eastAsia="Times New Roman" w:hAnsi="Segoe UI" w:cs="Segoe UI"/>
          <w:i/>
          <w:sz w:val="22"/>
          <w:lang w:eastAsia="es-CO"/>
        </w:rPr>
        <w:t xml:space="preserve"> a </w:t>
      </w:r>
      <w:r w:rsidRPr="00F62009">
        <w:rPr>
          <w:rFonts w:ascii="Segoe UI" w:eastAsia="Times New Roman" w:hAnsi="Segoe UI" w:cs="Segoe UI"/>
          <w:i/>
          <w:sz w:val="22"/>
          <w:u w:val="single"/>
          <w:lang w:eastAsia="es-CO"/>
        </w:rPr>
        <w:t>criterios tales</w:t>
      </w:r>
      <w:r w:rsidRPr="00F62009">
        <w:rPr>
          <w:rFonts w:ascii="Segoe UI" w:eastAsia="Times New Roman" w:hAnsi="Segoe UI" w:cs="Segoe UI"/>
          <w:i/>
          <w:sz w:val="22"/>
          <w:lang w:eastAsia="es-CO"/>
        </w:rPr>
        <w:t xml:space="preserve"> como volumen de operaciones, ingresos, patrimonio, importancia de recaudo, </w:t>
      </w:r>
      <w:r w:rsidRPr="00F62009">
        <w:rPr>
          <w:rFonts w:ascii="Segoe UI" w:eastAsia="Times New Roman" w:hAnsi="Segoe UI" w:cs="Segoe UI"/>
          <w:i/>
          <w:sz w:val="22"/>
          <w:u w:val="single"/>
          <w:lang w:eastAsia="es-CO"/>
        </w:rPr>
        <w:t>nivel de riesgo, cumplimiento de obligaciones tributarias</w:t>
      </w:r>
      <w:r w:rsidRPr="00F62009">
        <w:rPr>
          <w:rFonts w:ascii="Segoe UI" w:eastAsia="Times New Roman" w:hAnsi="Segoe UI" w:cs="Segoe UI"/>
          <w:i/>
          <w:sz w:val="22"/>
          <w:lang w:eastAsia="es-CO"/>
        </w:rPr>
        <w:t xml:space="preserve">, solicitantes de devoluciones, zonas urbanas y/o rurales.” </w:t>
      </w:r>
      <w:r w:rsidRPr="00F62009">
        <w:rPr>
          <w:rFonts w:ascii="Segoe UI" w:eastAsia="Times New Roman" w:hAnsi="Segoe UI" w:cs="Segoe UI"/>
          <w:sz w:val="22"/>
          <w:lang w:eastAsia="es-CO"/>
        </w:rPr>
        <w:t>(Subrayado fuera de texto)</w:t>
      </w:r>
    </w:p>
    <w:p w14:paraId="55788847"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0C10F020"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xml:space="preserve">La Ley 1819 de 2016, en el artículo 308, introdujo modificaciones al artículo 616-1 del Estatuto Tributario, señalando que </w:t>
      </w:r>
      <w:r w:rsidRPr="00F62009">
        <w:rPr>
          <w:rFonts w:ascii="Segoe UI" w:eastAsia="Times New Roman" w:hAnsi="Segoe UI" w:cs="Segoe UI"/>
          <w:i/>
          <w:sz w:val="22"/>
          <w:lang w:eastAsia="es-CO"/>
        </w:rPr>
        <w:t xml:space="preserve">“La factura de talonario o de papel y la factura electrónica se consideran para todos los efectos como una factura de venta.”. </w:t>
      </w:r>
      <w:r w:rsidRPr="00F62009">
        <w:rPr>
          <w:rFonts w:ascii="Segoe UI" w:eastAsia="Times New Roman" w:hAnsi="Segoe UI" w:cs="Segoe UI"/>
          <w:sz w:val="22"/>
          <w:lang w:eastAsia="es-CO"/>
        </w:rPr>
        <w:t>En el parágrafo 2 estableció, que:</w:t>
      </w:r>
      <w:r w:rsidRPr="00F62009">
        <w:rPr>
          <w:rFonts w:ascii="Segoe UI" w:eastAsia="Times New Roman" w:hAnsi="Segoe UI" w:cs="Segoe UI"/>
          <w:i/>
          <w:sz w:val="22"/>
          <w:lang w:eastAsia="es-CO"/>
        </w:rPr>
        <w:t xml:space="preserve"> “</w:t>
      </w:r>
      <w:r w:rsidRPr="00F62009">
        <w:rPr>
          <w:rFonts w:ascii="Segoe UI" w:eastAsia="Times New Roman" w:hAnsi="Segoe UI" w:cs="Segoe UI"/>
          <w:i/>
          <w:sz w:val="22"/>
          <w:u w:val="single"/>
          <w:lang w:eastAsia="es-CO"/>
        </w:rPr>
        <w:t>Durante las vigencias fiscales del 2017 y 2018</w:t>
      </w:r>
      <w:r w:rsidRPr="00F62009">
        <w:rPr>
          <w:rFonts w:ascii="Segoe UI" w:eastAsia="Times New Roman" w:hAnsi="Segoe UI" w:cs="Segoe UI"/>
          <w:i/>
          <w:sz w:val="22"/>
          <w:lang w:eastAsia="es-CO"/>
        </w:rPr>
        <w:t xml:space="preserve"> </w:t>
      </w:r>
      <w:r w:rsidRPr="00F62009">
        <w:rPr>
          <w:rFonts w:ascii="Segoe UI" w:eastAsia="Times New Roman" w:hAnsi="Segoe UI" w:cs="Segoe UI"/>
          <w:b/>
          <w:i/>
          <w:sz w:val="22"/>
          <w:lang w:eastAsia="es-CO"/>
        </w:rPr>
        <w:t>los contribuyentes obligados por las autoridades tributarias para expedir factura electrónica</w:t>
      </w:r>
      <w:r w:rsidRPr="00F62009">
        <w:rPr>
          <w:rFonts w:ascii="Segoe UI" w:eastAsia="Times New Roman" w:hAnsi="Segoe UI" w:cs="Segoe UI"/>
          <w:i/>
          <w:sz w:val="22"/>
          <w:lang w:eastAsia="es-CO"/>
        </w:rPr>
        <w:t xml:space="preserve"> </w:t>
      </w:r>
      <w:r w:rsidRPr="00F62009">
        <w:rPr>
          <w:rFonts w:ascii="Segoe UI" w:eastAsia="Times New Roman" w:hAnsi="Segoe UI" w:cs="Segoe UI"/>
          <w:i/>
          <w:sz w:val="22"/>
          <w:u w:val="single"/>
          <w:lang w:eastAsia="es-CO"/>
        </w:rPr>
        <w:t>serán seleccionados bajo un criterio sectorial conforme al alto riesgo de evasión identificado en el mismo</w:t>
      </w:r>
      <w:r w:rsidRPr="00F62009">
        <w:rPr>
          <w:rFonts w:ascii="Segoe UI" w:eastAsia="Times New Roman" w:hAnsi="Segoe UI" w:cs="Segoe UI"/>
          <w:i/>
          <w:sz w:val="22"/>
          <w:lang w:eastAsia="es-CO"/>
        </w:rPr>
        <w:t xml:space="preserve"> y del menor esfuerzo para su implementación.”</w:t>
      </w:r>
    </w:p>
    <w:p w14:paraId="00D8B76C"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lastRenderedPageBreak/>
        <w:t> </w:t>
      </w:r>
    </w:p>
    <w:p w14:paraId="15015BC4"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En desarrollo de esta disposición, la DIAN expidió las Resoluciones 000072 del 29 de diciembre de 2017 y 000010 del 6 de febrero 2018, a través de las cuales seleccionó como obligados a facturar electrónicamente, a los sujetos que facturaban de esta forma según las reglas del Decreto 1929 de 2007 y, a los grandes contribuyentes (para la fecha de expedición de la Resolución 000010), respectivamente, sin perjuicio de quienes entraran voluntariamente en este sistema.</w:t>
      </w:r>
    </w:p>
    <w:p w14:paraId="702A2426"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1BB9C91E"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La Ley 1943 de 2018, a través del artículo 16, modificó nuevamente el artículo 616-1 del Estatuto Tributario y, en el parágrafo transitorio 1, estableció que:</w:t>
      </w:r>
    </w:p>
    <w:p w14:paraId="41655725"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i/>
          <w:sz w:val="22"/>
          <w:lang w:eastAsia="es-CO"/>
        </w:rPr>
        <w:t> </w:t>
      </w:r>
    </w:p>
    <w:p w14:paraId="67CCF8B6"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i/>
          <w:sz w:val="22"/>
          <w:lang w:eastAsia="es-CO"/>
        </w:rPr>
        <w:t xml:space="preserve">“Los requisitos, condiciones y procedimientos establecidos en el presente artículo, serán reglamentados por el Gobierno Nacional; entre tanto aplicarán las disposiciones que regulan la materia antes de la </w:t>
      </w:r>
      <w:proofErr w:type="gramStart"/>
      <w:r w:rsidRPr="00F62009">
        <w:rPr>
          <w:rFonts w:ascii="Segoe UI" w:eastAsia="Times New Roman" w:hAnsi="Segoe UI" w:cs="Segoe UI"/>
          <w:i/>
          <w:sz w:val="22"/>
          <w:lang w:eastAsia="es-CO"/>
        </w:rPr>
        <w:t>entrada en vigencia</w:t>
      </w:r>
      <w:proofErr w:type="gramEnd"/>
      <w:r w:rsidRPr="00F62009">
        <w:rPr>
          <w:rFonts w:ascii="Segoe UI" w:eastAsia="Times New Roman" w:hAnsi="Segoe UI" w:cs="Segoe UI"/>
          <w:i/>
          <w:sz w:val="22"/>
          <w:lang w:eastAsia="es-CO"/>
        </w:rPr>
        <w:t xml:space="preserve"> de la presente ley. Las facturas expedidas de conformidad con los artículos 1.6.1.4.1.1 al 1.6.1.4.1.21. del Decreto 1625 de 2016 mantienen su condición de documentos equivalentes. A partir del 1 de enero de 2020, se requerirá factura electrónica para la procedencia de impuestos descontables, y costos o gastos deducibles, de conformidad con la siguiente tabla: /.../.”</w:t>
      </w:r>
    </w:p>
    <w:p w14:paraId="3D6E48E4"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i/>
          <w:sz w:val="22"/>
          <w:lang w:eastAsia="es-CO"/>
        </w:rPr>
        <w:t> </w:t>
      </w:r>
    </w:p>
    <w:p w14:paraId="4AEF2673" w14:textId="77777777" w:rsidR="00F62009" w:rsidRPr="00F62009" w:rsidRDefault="00F62009" w:rsidP="00F62009">
      <w:pPr>
        <w:spacing w:after="0" w:line="240" w:lineRule="auto"/>
        <w:ind w:left="180"/>
        <w:jc w:val="both"/>
        <w:rPr>
          <w:rFonts w:eastAsia="Times New Roman" w:cs="Times New Roman"/>
          <w:szCs w:val="24"/>
          <w:lang w:eastAsia="es-CO"/>
        </w:rPr>
      </w:pPr>
      <w:r w:rsidRPr="00F62009">
        <w:rPr>
          <w:rFonts w:ascii="Segoe UI" w:eastAsia="Times New Roman" w:hAnsi="Segoe UI" w:cs="Segoe UI"/>
          <w:b/>
          <w:i/>
          <w:sz w:val="22"/>
          <w:lang w:eastAsia="es-CO"/>
        </w:rPr>
        <w:t>Parágrafo transitorio 2.</w:t>
      </w:r>
      <w:r w:rsidRPr="00F62009">
        <w:rPr>
          <w:rFonts w:ascii="Segoe UI" w:eastAsia="Times New Roman" w:hAnsi="Segoe UI" w:cs="Segoe UI"/>
          <w:i/>
          <w:sz w:val="22"/>
          <w:lang w:eastAsia="es-CO"/>
        </w:rPr>
        <w:t xml:space="preserve"> </w:t>
      </w:r>
      <w:r w:rsidRPr="00F62009">
        <w:rPr>
          <w:rFonts w:ascii="Segoe UI" w:eastAsia="Times New Roman" w:hAnsi="Segoe UI" w:cs="Segoe UI"/>
          <w:i/>
          <w:sz w:val="22"/>
          <w:u w:val="single"/>
          <w:lang w:eastAsia="es-CO"/>
        </w:rPr>
        <w:t>La Dirección de Impuestos y Aduanas Nacionales -DIAN establecerá el calendario y los sujetos obligados a facturar que deben iniciar la implementación de la factura electrónica durante el año 2019,</w:t>
      </w:r>
      <w:r w:rsidRPr="00F62009">
        <w:rPr>
          <w:rFonts w:ascii="Segoe UI" w:eastAsia="Times New Roman" w:hAnsi="Segoe UI" w:cs="Segoe UI"/>
          <w:i/>
          <w:sz w:val="22"/>
          <w:lang w:eastAsia="es-CO"/>
        </w:rPr>
        <w:t xml:space="preserve"> así como los requisitos técnicos de la factura electrónica para su aplicación específica en los casos de venta de bienes y servicios, pago de nómina, importaciones y exportaciones, pagos al exterior, operaciones de factoraje, entre otras.” (Subrayado fuera de texto)</w:t>
      </w:r>
    </w:p>
    <w:p w14:paraId="53A2D887"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29598936"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Lo anterior implica, que serán obligados a facturar electrónicamente los sujetos que cumplan los criterios de obligatoriedad que señale la DIAN en las Resoluciones que expida para tal efecto y dentro del calendario que fije durante el año 2019.</w:t>
      </w:r>
    </w:p>
    <w:p w14:paraId="6AF1B21C"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554ABFAD"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La Entidad expidió la Resolución 000002 de 2019, donde recaba la obligatoriedad de expedir factura electrónica para los sujetos seleccionados en las Resoluciones 000072 de 2017 y 000010 de 2018, así como para quienes bajo esos mismos criterios no hubieren comenzado a hacerlo, fijando un plazo para ello, y para quienes hubieren optado, hasta el 18 de enero de 2019, para facturar electrónicamente de manera voluntaria. En estos casos la normativa aplicable es el Decreto 2242 de 2016 incorporado en el Decreto Único Reglamentario 1625 de 2016 (artículos 1.6.1.4.1.1 a 1.6.1.4.1.21).</w:t>
      </w:r>
    </w:p>
    <w:p w14:paraId="2FA83214"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62960820"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xml:space="preserve">Posteriormente, la DIAN mediante Resolución 000020 de febrero de 2019, </w:t>
      </w:r>
      <w:r w:rsidRPr="00F62009">
        <w:rPr>
          <w:rFonts w:ascii="Segoe UI" w:eastAsia="Times New Roman" w:hAnsi="Segoe UI" w:cs="Segoe UI"/>
          <w:b/>
          <w:sz w:val="22"/>
          <w:lang w:eastAsia="es-CO"/>
        </w:rPr>
        <w:t>en el artículo 3 estableció el calendario de implementación de la factura electrónica de venta, con validación previa,</w:t>
      </w:r>
      <w:r w:rsidRPr="00F62009">
        <w:rPr>
          <w:rFonts w:ascii="Segoe UI" w:eastAsia="Times New Roman" w:hAnsi="Segoe UI" w:cs="Segoe UI"/>
          <w:sz w:val="22"/>
          <w:lang w:eastAsia="es-CO"/>
        </w:rPr>
        <w:t xml:space="preserve"> </w:t>
      </w:r>
      <w:r w:rsidRPr="00F62009">
        <w:rPr>
          <w:rFonts w:ascii="Segoe UI" w:eastAsia="Times New Roman" w:hAnsi="Segoe UI" w:cs="Segoe UI"/>
          <w:sz w:val="22"/>
          <w:u w:val="single"/>
          <w:lang w:eastAsia="es-CO"/>
        </w:rPr>
        <w:t>que atiende como criterios</w:t>
      </w:r>
      <w:r w:rsidRPr="00F62009">
        <w:rPr>
          <w:rFonts w:ascii="Segoe UI" w:eastAsia="Times New Roman" w:hAnsi="Segoe UI" w:cs="Segoe UI"/>
          <w:sz w:val="22"/>
          <w:lang w:eastAsia="es-CO"/>
        </w:rPr>
        <w:t xml:space="preserve">: las actividades económicas allí referidas; los contribuyentes inscritos en el año 2019 en el impuesto unificado bajo el régimen simple; los sujetos señalados en a (sic) la Resolución 00002 de 2019, los grandes contribuyentes acorde con la Resolución 012635 de 2018 y quienes a la entrada en vigencia se encuentra (sic) habilitados como facturadores electrónicos; las entidades del estado y las personas naturales que cumplan las condiciones de ingresos allí señalados. Para </w:t>
      </w:r>
      <w:proofErr w:type="gramStart"/>
      <w:r w:rsidRPr="00F62009">
        <w:rPr>
          <w:rFonts w:ascii="Segoe UI" w:eastAsia="Times New Roman" w:hAnsi="Segoe UI" w:cs="Segoe UI"/>
          <w:sz w:val="22"/>
          <w:lang w:eastAsia="es-CO"/>
        </w:rPr>
        <w:t>mayor información</w:t>
      </w:r>
      <w:proofErr w:type="gramEnd"/>
      <w:r w:rsidRPr="00F62009">
        <w:rPr>
          <w:rFonts w:ascii="Segoe UI" w:eastAsia="Times New Roman" w:hAnsi="Segoe UI" w:cs="Segoe UI"/>
          <w:sz w:val="22"/>
          <w:lang w:eastAsia="es-CO"/>
        </w:rPr>
        <w:t xml:space="preserve"> se anexa copia de esta resolución y de la Resolución 000030 que en parágrafo 3 del artículo 3 amplía los plazos de la Resolución 000020.</w:t>
      </w:r>
    </w:p>
    <w:p w14:paraId="30C28BD1"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327AA2C0"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En consecuencia, la DIAN con el fin de efectuar la selección de obligados a facturar electrónicamente, genéricamente tiene en cuenta criterios como los señalados en su momento en el Decreto 2242 de 2015, posteriormente en la Ley 1819 de 2016 y actualmente en la Ley 1943 de 2018 y sus resoluciones reglamentarias.</w:t>
      </w:r>
    </w:p>
    <w:p w14:paraId="25C260B7"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2D051277"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xml:space="preserve">En este contexto, puede afirmarse que la DIAN para efectos de seleccionar los obligados a facturar electrónicamente, considera distintos criterios, de modo que aspectos como los niveles de cumplimiento (cumplimiento/incumplimiento) de obligaciones tributarias puede ser uno de ellos, y no lo contrario, es decir el hecho, por ejemplo, del incumpliendo no impide su selección, al </w:t>
      </w:r>
      <w:r w:rsidRPr="00F62009">
        <w:rPr>
          <w:rFonts w:ascii="Segoe UI" w:eastAsia="Times New Roman" w:hAnsi="Segoe UI" w:cs="Segoe UI"/>
          <w:sz w:val="22"/>
          <w:lang w:eastAsia="es-CO"/>
        </w:rPr>
        <w:lastRenderedPageBreak/>
        <w:t>contrario, porque el incumplimiento de obligaciones tributarias supone un factor de riesgo para la DIAN y, en consecuencia, un indicador para tomarlo como criterio de selección.</w:t>
      </w:r>
    </w:p>
    <w:p w14:paraId="36A22BBC"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0674903C"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En los anteriores términos se absuelve si (sic) solicitud.</w:t>
      </w:r>
    </w:p>
    <w:p w14:paraId="40CE0578"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3AB4A4DC"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Atentamente,</w:t>
      </w:r>
    </w:p>
    <w:p w14:paraId="3F2564B6"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18957D53"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 </w:t>
      </w:r>
    </w:p>
    <w:p w14:paraId="39F59F83"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b/>
          <w:sz w:val="22"/>
          <w:lang w:eastAsia="es-CO"/>
        </w:rPr>
        <w:t>LORENZO CASTILLO BARVO</w:t>
      </w:r>
    </w:p>
    <w:p w14:paraId="1EF52D93"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Subdirector de Gestión Normativa y Doctrina (E)</w:t>
      </w:r>
    </w:p>
    <w:p w14:paraId="3EE210BB"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Dirección de Gestión Jurídica</w:t>
      </w:r>
    </w:p>
    <w:p w14:paraId="01A8B5D9" w14:textId="77777777" w:rsidR="00F62009" w:rsidRPr="00F62009" w:rsidRDefault="00F62009" w:rsidP="00F62009">
      <w:pPr>
        <w:spacing w:after="0" w:line="240" w:lineRule="auto"/>
        <w:jc w:val="both"/>
        <w:rPr>
          <w:rFonts w:eastAsia="Times New Roman" w:cs="Times New Roman"/>
          <w:szCs w:val="24"/>
          <w:lang w:eastAsia="es-CO"/>
        </w:rPr>
      </w:pPr>
      <w:r w:rsidRPr="00F62009">
        <w:rPr>
          <w:rFonts w:ascii="Segoe UI" w:eastAsia="Times New Roman" w:hAnsi="Segoe UI" w:cs="Segoe UI"/>
          <w:sz w:val="22"/>
          <w:lang w:eastAsia="es-CO"/>
        </w:rPr>
        <w:t>UAE-DIAN</w:t>
      </w:r>
    </w:p>
    <w:p w14:paraId="352C926C" w14:textId="4054E620" w:rsidR="007F5CC8" w:rsidRDefault="00F62009" w:rsidP="00F62009">
      <w:r w:rsidRPr="00F62009">
        <w:rPr>
          <w:rFonts w:eastAsia="Times New Roman" w:cs="Times New Roman"/>
          <w:szCs w:val="24"/>
          <w:lang w:eastAsia="es-CO"/>
        </w:rPr>
        <w:pict w14:anchorId="6FF18E9F"/>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09"/>
    <w:rsid w:val="000F3837"/>
    <w:rsid w:val="001E311E"/>
    <w:rsid w:val="00434AE6"/>
    <w:rsid w:val="007F5CC8"/>
    <w:rsid w:val="008779BE"/>
    <w:rsid w:val="00EB5ADB"/>
    <w:rsid w:val="00F6200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5FCD"/>
  <w15:chartTrackingRefBased/>
  <w15:docId w15:val="{6EF4E26F-BCED-46CC-A47B-9D99ACFF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2221</Words>
  <Characters>12221</Characters>
  <Application>Microsoft Office Word</Application>
  <DocSecurity>0</DocSecurity>
  <Lines>101</Lines>
  <Paragraphs>28</Paragraphs>
  <ScaleCrop>false</ScaleCrop>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2021-09-14T17:32:00Z</dcterms:created>
  <dcterms:modified xsi:type="dcterms:W3CDTF">2021-09-14T17:33:00Z</dcterms:modified>
</cp:coreProperties>
</file>