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005BA" w14:textId="61D9ECA7" w:rsidR="00B04D1A" w:rsidRPr="007E56E2" w:rsidRDefault="007E56E2" w:rsidP="007E56E2">
      <w:pPr>
        <w:pStyle w:val="Sinespaciado"/>
        <w:jc w:val="both"/>
        <w:rPr>
          <w:rFonts w:ascii="Verdana" w:hAnsi="Verdana"/>
          <w:b/>
          <w:bCs/>
        </w:rPr>
      </w:pPr>
      <w:r w:rsidRPr="007E56E2">
        <w:rPr>
          <w:rFonts w:ascii="Verdana" w:hAnsi="Verdana"/>
          <w:b/>
          <w:bCs/>
        </w:rPr>
        <w:t>CONCEPTO 1482 DEL 12 DE NOVIEMBRE DE 2020</w:t>
      </w:r>
    </w:p>
    <w:p w14:paraId="0058B7DC" w14:textId="4F75E34A" w:rsidR="007E56E2" w:rsidRPr="007E56E2" w:rsidRDefault="007E56E2" w:rsidP="007E56E2">
      <w:pPr>
        <w:pStyle w:val="Sinespaciado"/>
        <w:jc w:val="both"/>
        <w:rPr>
          <w:rFonts w:ascii="Verdana" w:hAnsi="Verdana"/>
          <w:b/>
          <w:bCs/>
        </w:rPr>
      </w:pPr>
      <w:r w:rsidRPr="007E56E2">
        <w:rPr>
          <w:rFonts w:ascii="Verdana" w:hAnsi="Verdana"/>
          <w:b/>
          <w:bCs/>
        </w:rPr>
        <w:t>DIRECCIÓN DE IMPUESTOS Y ADUANAS NACIONALES</w:t>
      </w:r>
    </w:p>
    <w:p w14:paraId="4678756E" w14:textId="77777777" w:rsidR="00B04D1A" w:rsidRPr="007E56E2" w:rsidRDefault="00B04D1A" w:rsidP="007E56E2">
      <w:pPr>
        <w:pStyle w:val="Sinespaciado"/>
        <w:jc w:val="both"/>
        <w:rPr>
          <w:rFonts w:ascii="Verdana" w:hAnsi="Verdana"/>
        </w:rPr>
      </w:pPr>
    </w:p>
    <w:p w14:paraId="163DD408" w14:textId="3F78ED3E" w:rsidR="00B04D1A" w:rsidRPr="007E56E2" w:rsidRDefault="007E56E2" w:rsidP="007E56E2">
      <w:pPr>
        <w:pStyle w:val="Sinespaciado"/>
        <w:jc w:val="both"/>
        <w:rPr>
          <w:rFonts w:ascii="Verdana" w:hAnsi="Verdana"/>
        </w:rPr>
      </w:pPr>
      <w:r>
        <w:rPr>
          <w:rFonts w:ascii="Verdana" w:hAnsi="Verdana"/>
        </w:rPr>
        <w:t>Bogotá, D.C.</w:t>
      </w:r>
    </w:p>
    <w:p w14:paraId="5CFBECEE" w14:textId="77777777" w:rsidR="00B04D1A" w:rsidRPr="007E56E2" w:rsidRDefault="00B04D1A" w:rsidP="007E56E2">
      <w:pPr>
        <w:pStyle w:val="Sinespaciado"/>
        <w:jc w:val="both"/>
        <w:rPr>
          <w:rFonts w:ascii="Verdana" w:hAnsi="Verdana"/>
        </w:rPr>
      </w:pPr>
    </w:p>
    <w:p w14:paraId="3D34264D" w14:textId="22707799" w:rsidR="00B04D1A" w:rsidRPr="007E56E2" w:rsidRDefault="002F1F9E" w:rsidP="007E56E2">
      <w:pPr>
        <w:pStyle w:val="Sinespaciado"/>
        <w:jc w:val="both"/>
        <w:rPr>
          <w:rFonts w:ascii="Verdana" w:hAnsi="Verdana"/>
        </w:rPr>
      </w:pPr>
      <w:r w:rsidRPr="007E56E2">
        <w:rPr>
          <w:rFonts w:ascii="Verdana" w:hAnsi="Verdana"/>
          <w:b/>
          <w:bCs/>
        </w:rPr>
        <w:t>Tema</w:t>
      </w:r>
      <w:r w:rsidR="007E56E2">
        <w:rPr>
          <w:rFonts w:ascii="Verdana" w:hAnsi="Verdana"/>
          <w:b/>
          <w:bCs/>
        </w:rPr>
        <w:tab/>
      </w:r>
      <w:r w:rsidR="007E56E2">
        <w:rPr>
          <w:rFonts w:ascii="Verdana" w:hAnsi="Verdana"/>
          <w:b/>
          <w:bCs/>
        </w:rPr>
        <w:tab/>
      </w:r>
      <w:r w:rsidR="007E56E2">
        <w:rPr>
          <w:rFonts w:ascii="Verdana" w:hAnsi="Verdana"/>
          <w:b/>
          <w:bCs/>
        </w:rPr>
        <w:tab/>
      </w:r>
      <w:r w:rsidRPr="007E56E2">
        <w:rPr>
          <w:rFonts w:ascii="Verdana" w:hAnsi="Verdana"/>
        </w:rPr>
        <w:t>Impuesto sobre la renta</w:t>
      </w:r>
    </w:p>
    <w:p w14:paraId="14AE3C74" w14:textId="77777777" w:rsidR="00B04D1A" w:rsidRPr="007E56E2" w:rsidRDefault="002F1F9E" w:rsidP="007E56E2">
      <w:pPr>
        <w:pStyle w:val="Sinespaciado"/>
        <w:ind w:left="2124" w:firstLine="708"/>
        <w:jc w:val="both"/>
        <w:rPr>
          <w:rFonts w:ascii="Verdana" w:hAnsi="Verdana"/>
        </w:rPr>
      </w:pPr>
      <w:r w:rsidRPr="007E56E2">
        <w:rPr>
          <w:rFonts w:ascii="Verdana" w:hAnsi="Verdana"/>
        </w:rPr>
        <w:t>Impuesto sobre las ventas</w:t>
      </w:r>
    </w:p>
    <w:p w14:paraId="7B51F7DE" w14:textId="40957EDA" w:rsidR="00B04D1A" w:rsidRPr="007E56E2" w:rsidRDefault="002F1F9E" w:rsidP="007E56E2">
      <w:pPr>
        <w:pStyle w:val="Sinespaciado"/>
        <w:jc w:val="both"/>
        <w:rPr>
          <w:rFonts w:ascii="Verdana" w:hAnsi="Verdana"/>
        </w:rPr>
      </w:pPr>
      <w:r w:rsidRPr="007E56E2">
        <w:rPr>
          <w:rFonts w:ascii="Verdana" w:hAnsi="Verdana"/>
          <w:b/>
          <w:bCs/>
        </w:rPr>
        <w:t>Descriptores</w:t>
      </w:r>
      <w:r w:rsidR="007E56E2">
        <w:rPr>
          <w:rFonts w:ascii="Verdana" w:hAnsi="Verdana"/>
          <w:b/>
          <w:bCs/>
        </w:rPr>
        <w:tab/>
      </w:r>
      <w:r w:rsidR="007E56E2">
        <w:rPr>
          <w:rFonts w:ascii="Verdana" w:hAnsi="Verdana"/>
          <w:b/>
          <w:bCs/>
        </w:rPr>
        <w:tab/>
      </w:r>
      <w:r w:rsidRPr="007E56E2">
        <w:rPr>
          <w:rFonts w:ascii="Verdana" w:hAnsi="Verdana"/>
        </w:rPr>
        <w:t>Procedimiento abreviado</w:t>
      </w:r>
    </w:p>
    <w:p w14:paraId="129EF5AA" w14:textId="4F9662A4" w:rsidR="00B04D1A" w:rsidRPr="007E56E2" w:rsidRDefault="002F1F9E" w:rsidP="007E56E2">
      <w:pPr>
        <w:pStyle w:val="Sinespaciado"/>
        <w:jc w:val="both"/>
        <w:rPr>
          <w:rFonts w:ascii="Verdana" w:hAnsi="Verdana"/>
        </w:rPr>
      </w:pPr>
      <w:r w:rsidRPr="007E56E2">
        <w:rPr>
          <w:rFonts w:ascii="Verdana" w:hAnsi="Verdana"/>
          <w:b/>
          <w:bCs/>
        </w:rPr>
        <w:t>Fuentes formales</w:t>
      </w:r>
      <w:r w:rsidR="007E56E2">
        <w:rPr>
          <w:rFonts w:ascii="Verdana" w:hAnsi="Verdana"/>
          <w:b/>
          <w:bCs/>
        </w:rPr>
        <w:tab/>
      </w:r>
      <w:r w:rsidRPr="007E56E2">
        <w:rPr>
          <w:rFonts w:ascii="Verdana" w:hAnsi="Verdana"/>
        </w:rPr>
        <w:t>Decretos legislativos 535 y 807 de 2020</w:t>
      </w:r>
    </w:p>
    <w:p w14:paraId="77433187" w14:textId="77777777" w:rsidR="00B04D1A" w:rsidRPr="007E56E2" w:rsidRDefault="002F1F9E" w:rsidP="007E56E2">
      <w:pPr>
        <w:pStyle w:val="Sinespaciado"/>
        <w:ind w:left="2124" w:firstLine="708"/>
        <w:jc w:val="both"/>
        <w:rPr>
          <w:rFonts w:ascii="Verdana" w:hAnsi="Verdana"/>
        </w:rPr>
      </w:pPr>
      <w:r w:rsidRPr="007E56E2">
        <w:rPr>
          <w:rFonts w:ascii="Verdana" w:hAnsi="Verdana"/>
        </w:rPr>
        <w:t>Sentencia C-394/2020 de la Corte Constitucional</w:t>
      </w:r>
    </w:p>
    <w:p w14:paraId="2A38E40D" w14:textId="77777777" w:rsidR="007E56E2" w:rsidRDefault="007E56E2" w:rsidP="007E56E2">
      <w:pPr>
        <w:pStyle w:val="Sinespaciado"/>
        <w:jc w:val="both"/>
        <w:rPr>
          <w:rFonts w:ascii="Verdana" w:hAnsi="Verdana"/>
        </w:rPr>
      </w:pPr>
    </w:p>
    <w:p w14:paraId="67CFFFC7" w14:textId="5FFE1D34" w:rsidR="00B04D1A" w:rsidRPr="007E56E2" w:rsidRDefault="002F1F9E" w:rsidP="007E56E2">
      <w:pPr>
        <w:pStyle w:val="Sinespaciado"/>
        <w:jc w:val="both"/>
        <w:rPr>
          <w:rFonts w:ascii="Verdana" w:hAnsi="Verdana"/>
        </w:rPr>
      </w:pPr>
      <w:r w:rsidRPr="007E56E2">
        <w:rPr>
          <w:rFonts w:ascii="Verdana" w:hAnsi="Verdana"/>
        </w:rPr>
        <w:t>Cordial saludo,</w:t>
      </w:r>
    </w:p>
    <w:p w14:paraId="23DC17D5" w14:textId="77777777" w:rsidR="007E56E2" w:rsidRDefault="007E56E2" w:rsidP="007E56E2">
      <w:pPr>
        <w:pStyle w:val="Sinespaciado"/>
        <w:jc w:val="both"/>
        <w:rPr>
          <w:rFonts w:ascii="Verdana" w:hAnsi="Verdana"/>
        </w:rPr>
      </w:pPr>
    </w:p>
    <w:p w14:paraId="31945953" w14:textId="32B34EA0" w:rsidR="00B04D1A" w:rsidRPr="007E56E2" w:rsidRDefault="002F1F9E" w:rsidP="007E56E2">
      <w:pPr>
        <w:pStyle w:val="Sinespaciado"/>
        <w:jc w:val="both"/>
        <w:rPr>
          <w:rFonts w:ascii="Verdana" w:hAnsi="Verdana"/>
        </w:rPr>
      </w:pPr>
      <w:r w:rsidRPr="007E56E2">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C65C144" w14:textId="77777777" w:rsidR="007E56E2" w:rsidRDefault="007E56E2" w:rsidP="007E56E2">
      <w:pPr>
        <w:pStyle w:val="Sinespaciado"/>
        <w:jc w:val="both"/>
        <w:rPr>
          <w:rStyle w:val="Cuerpodeltexto395ptoSincursiva"/>
          <w:rFonts w:ascii="Verdana" w:hAnsi="Verdana"/>
          <w:i w:val="0"/>
          <w:iCs w:val="0"/>
          <w:sz w:val="24"/>
          <w:szCs w:val="24"/>
        </w:rPr>
      </w:pPr>
    </w:p>
    <w:p w14:paraId="23338B70" w14:textId="4D8B19B3" w:rsidR="00B04D1A" w:rsidRPr="007E56E2" w:rsidRDefault="002F1F9E" w:rsidP="007E56E2">
      <w:pPr>
        <w:pStyle w:val="Sinespaciado"/>
        <w:jc w:val="both"/>
        <w:rPr>
          <w:rFonts w:ascii="Verdana" w:hAnsi="Verdana"/>
        </w:rPr>
      </w:pPr>
      <w:r w:rsidRPr="007E56E2">
        <w:rPr>
          <w:rStyle w:val="Cuerpodeltexto395ptoSincursiva"/>
          <w:rFonts w:ascii="Verdana" w:hAnsi="Verdana"/>
          <w:i w:val="0"/>
          <w:iCs w:val="0"/>
          <w:sz w:val="24"/>
          <w:szCs w:val="24"/>
        </w:rPr>
        <w:t xml:space="preserve">Mediante el radicado de la referencia, el peticionario planteó la siguiente pregunta: </w:t>
      </w:r>
      <w:r w:rsidRPr="007E56E2">
        <w:rPr>
          <w:rFonts w:ascii="Verdana" w:hAnsi="Verdana"/>
          <w:i/>
          <w:iCs/>
        </w:rPr>
        <w:t>“¿Si la declaratoria de inexequibilidad de los artículos 1° y 2° del Decreto 807 de 2020, tr</w:t>
      </w:r>
      <w:r w:rsidRPr="007E56E2">
        <w:rPr>
          <w:rStyle w:val="Cuerpodeltexto31"/>
          <w:rFonts w:ascii="Verdana" w:hAnsi="Verdana"/>
          <w:sz w:val="24"/>
          <w:szCs w:val="24"/>
        </w:rPr>
        <w:t>ae como consecuencia jurídica, la reviviscencia de lo dispuesto en el artículo 1° del Decreto 535 de 2020?”</w:t>
      </w:r>
    </w:p>
    <w:p w14:paraId="1A495B35" w14:textId="77777777" w:rsidR="007E56E2" w:rsidRDefault="007E56E2" w:rsidP="007E56E2">
      <w:pPr>
        <w:pStyle w:val="Sinespaciado"/>
        <w:jc w:val="both"/>
        <w:rPr>
          <w:rFonts w:ascii="Verdana" w:hAnsi="Verdana"/>
        </w:rPr>
      </w:pPr>
    </w:p>
    <w:p w14:paraId="0B7909B4" w14:textId="16B4345C" w:rsidR="00B04D1A" w:rsidRPr="007E56E2" w:rsidRDefault="002F1F9E" w:rsidP="007E56E2">
      <w:pPr>
        <w:pStyle w:val="Sinespaciado"/>
        <w:jc w:val="both"/>
        <w:rPr>
          <w:rFonts w:ascii="Verdana" w:hAnsi="Verdana"/>
        </w:rPr>
      </w:pPr>
      <w:r w:rsidRPr="007E56E2">
        <w:rPr>
          <w:rFonts w:ascii="Verdana" w:hAnsi="Verdana"/>
        </w:rPr>
        <w:t>Sobre el particular, las consideraciones del Despacho son las siguientes:</w:t>
      </w:r>
    </w:p>
    <w:p w14:paraId="32ADFFC5" w14:textId="77777777" w:rsidR="007E56E2" w:rsidRDefault="007E56E2" w:rsidP="007E56E2">
      <w:pPr>
        <w:pStyle w:val="Sinespaciado"/>
        <w:jc w:val="both"/>
        <w:rPr>
          <w:rFonts w:ascii="Verdana" w:hAnsi="Verdana"/>
        </w:rPr>
      </w:pPr>
    </w:p>
    <w:p w14:paraId="3D75F2D7" w14:textId="1B07EEB5" w:rsidR="00B04D1A" w:rsidRPr="007E56E2" w:rsidRDefault="002F1F9E" w:rsidP="007E56E2">
      <w:pPr>
        <w:pStyle w:val="Sinespaciado"/>
        <w:jc w:val="both"/>
        <w:rPr>
          <w:rFonts w:ascii="Verdana" w:hAnsi="Verdana"/>
        </w:rPr>
      </w:pPr>
      <w:r w:rsidRPr="007E56E2">
        <w:rPr>
          <w:rFonts w:ascii="Verdana" w:hAnsi="Verdana"/>
        </w:rPr>
        <w:t xml:space="preserve">De conformidad con el comunicado de prensa No. 38 de septiembre 9 y 10 de 2020, la Corte Constitucional informó que, mediante la Sentencia C-394 de 2020, desarrolló el control automático, integral y definitivo de constitucionalidad del Decreto Legislativo No. 807 de 2020 - </w:t>
      </w:r>
      <w:r w:rsidRPr="007E56E2">
        <w:rPr>
          <w:rStyle w:val="Cuerpodeltexto2NegritaCursivaEspaciado1pto"/>
          <w:rFonts w:ascii="Verdana" w:hAnsi="Verdana"/>
          <w:b w:val="0"/>
          <w:bCs w:val="0"/>
          <w:sz w:val="24"/>
          <w:szCs w:val="24"/>
        </w:rPr>
        <w:t>“</w:t>
      </w:r>
      <w:r w:rsidRPr="007E56E2">
        <w:rPr>
          <w:rStyle w:val="Cuerpodeltexto210ptoCursiva"/>
          <w:rFonts w:ascii="Verdana" w:hAnsi="Verdana"/>
          <w:sz w:val="24"/>
          <w:szCs w:val="24"/>
        </w:rPr>
        <w:t>Por el cual se adoptan medidas tributarias y de control cambiario transitorias en el marco del Estado de Emergencia Económica, Social y Ecológica declarada mediante el Decreto 637 del 6 de mayo de 202</w:t>
      </w:r>
      <w:r w:rsidR="007E56E2">
        <w:rPr>
          <w:rStyle w:val="Cuerpodeltexto210ptoCursiva"/>
          <w:rFonts w:ascii="Verdana" w:hAnsi="Verdana"/>
          <w:sz w:val="24"/>
          <w:szCs w:val="24"/>
        </w:rPr>
        <w:t>0”.</w:t>
      </w:r>
    </w:p>
    <w:p w14:paraId="0B9AC266" w14:textId="77777777" w:rsidR="007E56E2" w:rsidRDefault="007E56E2" w:rsidP="007E56E2">
      <w:pPr>
        <w:pStyle w:val="Sinespaciado"/>
        <w:jc w:val="both"/>
        <w:rPr>
          <w:rFonts w:ascii="Verdana" w:hAnsi="Verdana"/>
        </w:rPr>
      </w:pPr>
    </w:p>
    <w:p w14:paraId="70F201A3" w14:textId="1A5D628F" w:rsidR="00B04D1A" w:rsidRPr="007E56E2" w:rsidRDefault="002F1F9E" w:rsidP="007E56E2">
      <w:pPr>
        <w:pStyle w:val="Sinespaciado"/>
        <w:jc w:val="both"/>
        <w:rPr>
          <w:rFonts w:ascii="Verdana" w:hAnsi="Verdana"/>
        </w:rPr>
      </w:pPr>
      <w:r w:rsidRPr="007E56E2">
        <w:rPr>
          <w:rFonts w:ascii="Verdana" w:hAnsi="Verdana"/>
        </w:rPr>
        <w:t xml:space="preserve">Entre otros, la Corte Constitucional efectuó el estudio de constitucionalidad de los artículos 1° y 2° del Decreto Legislativo 807 de 2020 que modificaron las normas del Decreto Legislativo No. 535 de 2020, en el sentido de limitar la aplicabilidad del procedimiento abreviado para la compensación y/o devolución automática de los saldos a favor en el impuesto sobre la renta y </w:t>
      </w:r>
      <w:r w:rsidRPr="007E56E2">
        <w:rPr>
          <w:rFonts w:ascii="Verdana" w:hAnsi="Verdana"/>
        </w:rPr>
        <w:lastRenderedPageBreak/>
        <w:t>complementarios y el impuesto sobre las ventas, hasta el 19 de junio de 2020.</w:t>
      </w:r>
    </w:p>
    <w:p w14:paraId="7862B440" w14:textId="77777777" w:rsidR="002F1F9E" w:rsidRDefault="002F1F9E" w:rsidP="007E56E2">
      <w:pPr>
        <w:pStyle w:val="Sinespaciado"/>
        <w:jc w:val="both"/>
        <w:rPr>
          <w:rFonts w:ascii="Verdana" w:hAnsi="Verdana"/>
        </w:rPr>
      </w:pPr>
    </w:p>
    <w:p w14:paraId="0F35BAC3" w14:textId="1B7BD337" w:rsidR="00B04D1A" w:rsidRPr="007E56E2" w:rsidRDefault="002F1F9E" w:rsidP="007E56E2">
      <w:pPr>
        <w:pStyle w:val="Sinespaciado"/>
        <w:jc w:val="both"/>
        <w:rPr>
          <w:rFonts w:ascii="Verdana" w:hAnsi="Verdana"/>
        </w:rPr>
      </w:pPr>
      <w:r w:rsidRPr="007E56E2">
        <w:rPr>
          <w:rFonts w:ascii="Verdana" w:hAnsi="Verdana"/>
        </w:rPr>
        <w:t>De ese estudio de constitucionalidad, la Corte Constitucional decidió declarar inexequibles los artículos 1° y 2° del Decreto Legislativo 807 de 2020, bajo los siguientes argumentos:</w:t>
      </w:r>
    </w:p>
    <w:p w14:paraId="7E23173F" w14:textId="77777777" w:rsidR="002F1F9E" w:rsidRDefault="002F1F9E" w:rsidP="007E56E2">
      <w:pPr>
        <w:pStyle w:val="Sinespaciado"/>
        <w:jc w:val="both"/>
        <w:rPr>
          <w:rStyle w:val="Cuerpodeltexto395ptoSincursiva"/>
          <w:rFonts w:ascii="Verdana" w:hAnsi="Verdana"/>
          <w:i w:val="0"/>
          <w:iCs w:val="0"/>
          <w:sz w:val="24"/>
          <w:szCs w:val="24"/>
        </w:rPr>
      </w:pPr>
    </w:p>
    <w:p w14:paraId="5C443ABA" w14:textId="77777777" w:rsidR="002F1F9E" w:rsidRDefault="002F1F9E" w:rsidP="007E56E2">
      <w:pPr>
        <w:pStyle w:val="Sinespaciado"/>
        <w:numPr>
          <w:ilvl w:val="0"/>
          <w:numId w:val="2"/>
        </w:numPr>
        <w:jc w:val="both"/>
        <w:rPr>
          <w:rFonts w:ascii="Verdana" w:hAnsi="Verdana"/>
          <w:i/>
          <w:iCs/>
        </w:rPr>
      </w:pPr>
      <w:r w:rsidRPr="007E56E2">
        <w:rPr>
          <w:rStyle w:val="Cuerpodeltexto395ptoSincursiva"/>
          <w:rFonts w:ascii="Verdana" w:hAnsi="Verdana"/>
          <w:i w:val="0"/>
          <w:iCs w:val="0"/>
          <w:sz w:val="24"/>
          <w:szCs w:val="24"/>
        </w:rPr>
        <w:t xml:space="preserve">En primer lugar, los artículos declarados inexequibles, no superaron el juicio de finalidad, pues </w:t>
      </w:r>
      <w:r w:rsidRPr="002F1F9E">
        <w:rPr>
          <w:rStyle w:val="Cuerpodeltexto395ptoSincursiva"/>
          <w:rFonts w:ascii="Verdana" w:hAnsi="Verdana"/>
          <w:sz w:val="24"/>
          <w:szCs w:val="24"/>
        </w:rPr>
        <w:t>“</w:t>
      </w:r>
      <w:r w:rsidRPr="002F1F9E">
        <w:rPr>
          <w:rFonts w:ascii="Verdana" w:hAnsi="Verdana"/>
          <w:i/>
          <w:iCs/>
        </w:rPr>
        <w:t>hacen cesar la vigencia del mecanismo abreviado de devolución y/o compensación de saldos a favor del impuesto sobre la renta y complementarios y del impuesto sobre las ventas - IVA establecido en el Decreto Legislativo 535 de 2020 para el 19 de junio de 2020, mucho antes de la expiración de la emergencia sanitaria decretada por el Ministerio de Salud y Protección Social, contrariando así el propósito de inyección de liquidez para la reactivación económica que se había ya validado por la Corte Constitucional en la sentencia C-175 de 2020</w:t>
      </w:r>
      <w:r>
        <w:rPr>
          <w:rFonts w:ascii="Verdana" w:hAnsi="Verdana"/>
          <w:i/>
          <w:iCs/>
        </w:rPr>
        <w:t xml:space="preserve">”; </w:t>
      </w:r>
      <w:r w:rsidRPr="002F1F9E">
        <w:rPr>
          <w:rStyle w:val="Cuerpodeltexto395ptoSincursiva"/>
          <w:rFonts w:ascii="Verdana" w:hAnsi="Verdana"/>
          <w:i w:val="0"/>
          <w:iCs w:val="0"/>
          <w:sz w:val="24"/>
          <w:szCs w:val="24"/>
        </w:rPr>
        <w:t>y,</w:t>
      </w:r>
    </w:p>
    <w:p w14:paraId="1BEC3F5E" w14:textId="77777777" w:rsidR="002F1F9E" w:rsidRDefault="002F1F9E" w:rsidP="002F1F9E">
      <w:pPr>
        <w:pStyle w:val="Sinespaciado"/>
        <w:ind w:left="1080"/>
        <w:jc w:val="both"/>
        <w:rPr>
          <w:rFonts w:ascii="Verdana" w:hAnsi="Verdana"/>
          <w:i/>
          <w:iCs/>
        </w:rPr>
      </w:pPr>
    </w:p>
    <w:p w14:paraId="12DFC67B" w14:textId="408DD334" w:rsidR="00B04D1A" w:rsidRPr="002F1F9E" w:rsidRDefault="002F1F9E" w:rsidP="007E56E2">
      <w:pPr>
        <w:pStyle w:val="Sinespaciado"/>
        <w:numPr>
          <w:ilvl w:val="0"/>
          <w:numId w:val="2"/>
        </w:numPr>
        <w:jc w:val="both"/>
        <w:rPr>
          <w:rFonts w:ascii="Verdana" w:hAnsi="Verdana"/>
          <w:i/>
          <w:iCs/>
        </w:rPr>
      </w:pPr>
      <w:r w:rsidRPr="002F1F9E">
        <w:rPr>
          <w:rFonts w:ascii="Verdana" w:hAnsi="Verdana"/>
        </w:rPr>
        <w:t>En segundo lugar, tampoco superaron los juicios de motivación suficiente y de necesidad, pues en los considerandos del decreto legislativo objeto control, no se expusieron las razones de la limitación a un mecanismo adecuado para contención y mitigación de los efectos económicos adversos de la pandemia, lo cual a su vez, también condujo al incumplimiento del requisito de necesidad fáctica, que exige también un mínimo de motivación por parte del Gobierno Nacional.</w:t>
      </w:r>
    </w:p>
    <w:p w14:paraId="6AA9C748" w14:textId="77777777" w:rsidR="002F1F9E" w:rsidRDefault="002F1F9E" w:rsidP="007E56E2">
      <w:pPr>
        <w:pStyle w:val="Sinespaciado"/>
        <w:jc w:val="both"/>
        <w:rPr>
          <w:rFonts w:ascii="Verdana" w:hAnsi="Verdana"/>
        </w:rPr>
      </w:pPr>
    </w:p>
    <w:p w14:paraId="2DCE2118" w14:textId="31176C7D" w:rsidR="00B04D1A" w:rsidRPr="007E56E2" w:rsidRDefault="002F1F9E" w:rsidP="007E56E2">
      <w:pPr>
        <w:pStyle w:val="Sinespaciado"/>
        <w:jc w:val="both"/>
        <w:rPr>
          <w:rFonts w:ascii="Verdana" w:hAnsi="Verdana"/>
        </w:rPr>
      </w:pPr>
      <w:r w:rsidRPr="007E56E2">
        <w:rPr>
          <w:rFonts w:ascii="Verdana" w:hAnsi="Verdana"/>
        </w:rPr>
        <w:t>Del mismo modo, es importante resaltar que la Corte Constitucional en el comunicado de la decisión de inexequibilidad de los artículos 1° y 2° del Decreto Legislativo No. 807 de 2020, aclaró acerca del fenómeno jurídico de la reviviscencia lo siguiente:</w:t>
      </w:r>
    </w:p>
    <w:p w14:paraId="08D114AB" w14:textId="77777777" w:rsidR="002F1F9E" w:rsidRDefault="002F1F9E" w:rsidP="007E56E2">
      <w:pPr>
        <w:pStyle w:val="Sinespaciado"/>
        <w:jc w:val="both"/>
        <w:rPr>
          <w:rFonts w:ascii="Verdana" w:hAnsi="Verdana"/>
        </w:rPr>
      </w:pPr>
    </w:p>
    <w:p w14:paraId="57D86956" w14:textId="54E4A2F4" w:rsidR="00B04D1A" w:rsidRPr="002F1F9E" w:rsidRDefault="002F1F9E" w:rsidP="002F1F9E">
      <w:pPr>
        <w:pStyle w:val="Sinespaciado"/>
        <w:ind w:left="708"/>
        <w:jc w:val="both"/>
        <w:rPr>
          <w:rFonts w:ascii="Verdana" w:hAnsi="Verdana"/>
          <w:b/>
          <w:bCs/>
        </w:rPr>
      </w:pPr>
      <w:r w:rsidRPr="002F1F9E">
        <w:rPr>
          <w:rFonts w:ascii="Verdana" w:hAnsi="Verdana"/>
          <w:b/>
          <w:bCs/>
          <w:i/>
          <w:iCs/>
        </w:rPr>
        <w:t>“3.9. Finalmente, aclaró la Sala Plena de la Corte Constitucional que la declaratoria de inexequibilidad de los artículos 1° y 2° del decreto legislativo objeto de control</w:t>
      </w:r>
      <w:r w:rsidRPr="002F1F9E">
        <w:rPr>
          <w:rFonts w:ascii="Verdana" w:hAnsi="Verdana"/>
          <w:i/>
          <w:iCs/>
        </w:rPr>
        <w:t xml:space="preserve"> </w:t>
      </w:r>
      <w:r w:rsidRPr="002F1F9E">
        <w:rPr>
          <w:rStyle w:val="Cuerpodeltexto281"/>
          <w:rFonts w:ascii="Verdana" w:hAnsi="Verdana"/>
          <w:sz w:val="24"/>
          <w:szCs w:val="24"/>
        </w:rPr>
        <w:t>surtirá efectos hacia el futuro y no genera reviviscencia de las normas que fueron modificadas por las que fueron declaradas inexequibles</w:t>
      </w:r>
      <w:r w:rsidRPr="002F1F9E">
        <w:rPr>
          <w:rFonts w:ascii="Verdana" w:hAnsi="Verdana"/>
          <w:b/>
          <w:bCs/>
        </w:rPr>
        <w:t>”.</w:t>
      </w:r>
    </w:p>
    <w:p w14:paraId="2261FA91" w14:textId="77777777" w:rsidR="002F1F9E" w:rsidRDefault="002F1F9E" w:rsidP="007E56E2">
      <w:pPr>
        <w:pStyle w:val="Sinespaciado"/>
        <w:jc w:val="both"/>
        <w:rPr>
          <w:rFonts w:ascii="Verdana" w:hAnsi="Verdana"/>
        </w:rPr>
      </w:pPr>
    </w:p>
    <w:p w14:paraId="244DFD5B" w14:textId="3F6DD7B0" w:rsidR="00B04D1A" w:rsidRPr="007E56E2" w:rsidRDefault="002F1F9E" w:rsidP="007E56E2">
      <w:pPr>
        <w:pStyle w:val="Sinespaciado"/>
        <w:jc w:val="both"/>
        <w:rPr>
          <w:rFonts w:ascii="Verdana" w:hAnsi="Verdana"/>
        </w:rPr>
      </w:pPr>
      <w:r w:rsidRPr="007E56E2">
        <w:rPr>
          <w:rFonts w:ascii="Verdana" w:hAnsi="Verdana"/>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w:t>
      </w:r>
      <w:r w:rsidRPr="007E56E2">
        <w:rPr>
          <w:rFonts w:ascii="Verdana" w:hAnsi="Verdana"/>
        </w:rPr>
        <w:lastRenderedPageBreak/>
        <w:t>página de internet</w:t>
      </w:r>
      <w:r w:rsidRPr="002F1F9E">
        <w:rPr>
          <w:rFonts w:ascii="Verdana" w:hAnsi="Verdana"/>
        </w:rPr>
        <w:t xml:space="preserve"> www.dian.gov.co</w:t>
      </w:r>
      <w:r w:rsidRPr="002F1F9E">
        <w:rPr>
          <w:rFonts w:ascii="Verdana" w:hAnsi="Verdana"/>
          <w:lang w:val="en-US" w:eastAsia="en-US" w:bidi="en-US"/>
        </w:rPr>
        <w:t>,</w:t>
      </w:r>
      <w:r w:rsidRPr="007E56E2">
        <w:rPr>
          <w:rFonts w:ascii="Verdana" w:hAnsi="Verdana"/>
          <w:lang w:val="en-US" w:eastAsia="en-US" w:bidi="en-US"/>
        </w:rPr>
        <w:t xml:space="preserve"> </w:t>
      </w:r>
      <w:r w:rsidRPr="007E56E2">
        <w:rPr>
          <w:rFonts w:ascii="Verdana" w:hAnsi="Verdana"/>
        </w:rPr>
        <w:t>la base de conceptos en materia tributaria, aduanera y cambiaria expedidos desde el año 2001, la cual se puede ingresar por el icono de “Normatividad” -</w:t>
      </w:r>
      <w:r>
        <w:rPr>
          <w:rFonts w:ascii="Verdana" w:hAnsi="Verdana"/>
        </w:rPr>
        <w:t xml:space="preserve"> </w:t>
      </w:r>
      <w:r w:rsidRPr="007E56E2">
        <w:rPr>
          <w:rFonts w:ascii="Verdana" w:hAnsi="Verdana"/>
        </w:rPr>
        <w:t>“Doctrina”</w:t>
      </w:r>
      <w:r w:rsidRPr="007E56E2">
        <w:rPr>
          <w:rFonts w:ascii="Verdana" w:hAnsi="Verdana"/>
        </w:rPr>
        <w:softHyphen/>
        <w:t>, dando click en el link “Doctrina Dirección de Gestión Jurídica”.</w:t>
      </w:r>
    </w:p>
    <w:p w14:paraId="26DD5268" w14:textId="77777777" w:rsidR="002F1F9E" w:rsidRDefault="002F1F9E" w:rsidP="007E56E2">
      <w:pPr>
        <w:pStyle w:val="Sinespaciado"/>
        <w:jc w:val="both"/>
        <w:rPr>
          <w:rFonts w:ascii="Verdana" w:hAnsi="Verdana"/>
        </w:rPr>
      </w:pPr>
    </w:p>
    <w:p w14:paraId="40EF80B7" w14:textId="77777777" w:rsidR="002F1F9E" w:rsidRDefault="002F1F9E" w:rsidP="007E56E2">
      <w:pPr>
        <w:pStyle w:val="Sinespaciado"/>
        <w:jc w:val="both"/>
        <w:rPr>
          <w:rFonts w:ascii="Verdana" w:hAnsi="Verdana"/>
        </w:rPr>
      </w:pPr>
    </w:p>
    <w:p w14:paraId="5EFD6239" w14:textId="13AF2372" w:rsidR="00B04D1A" w:rsidRPr="007E56E2" w:rsidRDefault="002F1F9E" w:rsidP="007E56E2">
      <w:pPr>
        <w:pStyle w:val="Sinespaciado"/>
        <w:jc w:val="both"/>
        <w:rPr>
          <w:rFonts w:ascii="Verdana" w:hAnsi="Verdana"/>
        </w:rPr>
      </w:pPr>
      <w:r w:rsidRPr="007E56E2">
        <w:rPr>
          <w:rFonts w:ascii="Verdana" w:hAnsi="Verdana"/>
        </w:rPr>
        <w:t>Atentamente,</w:t>
      </w:r>
    </w:p>
    <w:p w14:paraId="17B9B4E6" w14:textId="77777777" w:rsidR="002F1F9E" w:rsidRDefault="002F1F9E" w:rsidP="007E56E2">
      <w:pPr>
        <w:pStyle w:val="Sinespaciado"/>
        <w:jc w:val="both"/>
        <w:rPr>
          <w:rFonts w:ascii="Verdana" w:hAnsi="Verdana"/>
        </w:rPr>
      </w:pPr>
      <w:bookmarkStart w:id="0" w:name="bookmark0"/>
    </w:p>
    <w:p w14:paraId="067DC6F5" w14:textId="77777777" w:rsidR="002F1F9E" w:rsidRDefault="002F1F9E" w:rsidP="007E56E2">
      <w:pPr>
        <w:pStyle w:val="Sinespaciado"/>
        <w:jc w:val="both"/>
        <w:rPr>
          <w:rFonts w:ascii="Verdana" w:hAnsi="Verdana"/>
        </w:rPr>
      </w:pPr>
    </w:p>
    <w:p w14:paraId="7D6D12FE" w14:textId="77777777" w:rsidR="002F1F9E" w:rsidRDefault="002F1F9E" w:rsidP="007E56E2">
      <w:pPr>
        <w:pStyle w:val="Sinespaciado"/>
        <w:jc w:val="both"/>
        <w:rPr>
          <w:rFonts w:ascii="Verdana" w:hAnsi="Verdana"/>
        </w:rPr>
      </w:pPr>
    </w:p>
    <w:p w14:paraId="4BB28F28" w14:textId="2246490C" w:rsidR="00B04D1A" w:rsidRPr="002F1F9E" w:rsidRDefault="002F1F9E" w:rsidP="007E56E2">
      <w:pPr>
        <w:pStyle w:val="Sinespaciado"/>
        <w:jc w:val="both"/>
        <w:rPr>
          <w:rFonts w:ascii="Verdana" w:hAnsi="Verdana"/>
          <w:b/>
          <w:bCs/>
        </w:rPr>
      </w:pPr>
      <w:r w:rsidRPr="002F1F9E">
        <w:rPr>
          <w:rFonts w:ascii="Verdana" w:hAnsi="Verdana"/>
          <w:b/>
          <w:bCs/>
        </w:rPr>
        <w:t>PABLO EMILIO MENDOZA VELILLA</w:t>
      </w:r>
      <w:bookmarkEnd w:id="0"/>
    </w:p>
    <w:p w14:paraId="68D199F9" w14:textId="77777777" w:rsidR="002F1F9E" w:rsidRDefault="002F1F9E" w:rsidP="007E56E2">
      <w:pPr>
        <w:pStyle w:val="Sinespaciado"/>
        <w:jc w:val="both"/>
        <w:rPr>
          <w:rFonts w:ascii="Verdana" w:hAnsi="Verdana"/>
        </w:rPr>
      </w:pPr>
      <w:r w:rsidRPr="007E56E2">
        <w:rPr>
          <w:rFonts w:ascii="Verdana" w:hAnsi="Verdana"/>
        </w:rPr>
        <w:t>Subdirector de Gestión Normativa y Doctrina</w:t>
      </w:r>
    </w:p>
    <w:p w14:paraId="713EE1EA" w14:textId="77777777" w:rsidR="002F1F9E" w:rsidRDefault="002F1F9E" w:rsidP="007E56E2">
      <w:pPr>
        <w:pStyle w:val="Sinespaciado"/>
        <w:jc w:val="both"/>
        <w:rPr>
          <w:rFonts w:ascii="Verdana" w:hAnsi="Verdana"/>
        </w:rPr>
      </w:pPr>
      <w:r w:rsidRPr="007E56E2">
        <w:rPr>
          <w:rFonts w:ascii="Verdana" w:hAnsi="Verdana"/>
        </w:rPr>
        <w:t>Dirección de Gestión Jurídica</w:t>
      </w:r>
    </w:p>
    <w:p w14:paraId="1C2AD065" w14:textId="2116581C" w:rsidR="00B04D1A" w:rsidRPr="007E56E2" w:rsidRDefault="002F1F9E" w:rsidP="007E56E2">
      <w:pPr>
        <w:pStyle w:val="Sinespaciado"/>
        <w:jc w:val="both"/>
        <w:rPr>
          <w:rFonts w:ascii="Verdana" w:hAnsi="Verdana"/>
        </w:rPr>
      </w:pPr>
      <w:r w:rsidRPr="007E56E2">
        <w:rPr>
          <w:rFonts w:ascii="Verdana" w:hAnsi="Verdana"/>
        </w:rPr>
        <w:t>UAE-DIAN</w:t>
      </w:r>
    </w:p>
    <w:p w14:paraId="5D63FB45" w14:textId="77777777" w:rsidR="002F1F9E" w:rsidRDefault="002F1F9E" w:rsidP="007E56E2">
      <w:pPr>
        <w:pStyle w:val="Sinespaciado"/>
        <w:jc w:val="both"/>
        <w:rPr>
          <w:rFonts w:ascii="Verdana" w:hAnsi="Verdana"/>
        </w:rPr>
      </w:pPr>
      <w:r w:rsidRPr="007E56E2">
        <w:rPr>
          <w:rFonts w:ascii="Verdana" w:hAnsi="Verdana"/>
        </w:rPr>
        <w:t>Cra. 8 N° 6C-38 Piso 4, Edificio San Agustín</w:t>
      </w:r>
    </w:p>
    <w:p w14:paraId="31896485" w14:textId="545BB60D" w:rsidR="00B04D1A" w:rsidRPr="007E56E2" w:rsidRDefault="002F1F9E" w:rsidP="007E56E2">
      <w:pPr>
        <w:pStyle w:val="Sinespaciado"/>
        <w:jc w:val="both"/>
        <w:rPr>
          <w:rFonts w:ascii="Verdana" w:hAnsi="Verdana"/>
        </w:rPr>
      </w:pPr>
      <w:r w:rsidRPr="007E56E2">
        <w:rPr>
          <w:rFonts w:ascii="Verdana" w:hAnsi="Verdana"/>
        </w:rPr>
        <w:t>Bogotá D.C.</w:t>
      </w:r>
    </w:p>
    <w:sectPr w:rsidR="00B04D1A" w:rsidRPr="007E56E2" w:rsidSect="007E56E2">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A4E75" w14:textId="77777777" w:rsidR="00BA6782" w:rsidRDefault="00BA6782">
      <w:r>
        <w:separator/>
      </w:r>
    </w:p>
  </w:endnote>
  <w:endnote w:type="continuationSeparator" w:id="0">
    <w:p w14:paraId="40F74FD0" w14:textId="77777777" w:rsidR="00BA6782" w:rsidRDefault="00BA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C8706" w14:textId="77777777" w:rsidR="00BA6782" w:rsidRDefault="00BA6782"/>
  </w:footnote>
  <w:footnote w:type="continuationSeparator" w:id="0">
    <w:p w14:paraId="3694811E" w14:textId="77777777" w:rsidR="00BA6782" w:rsidRDefault="00BA6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15759"/>
    <w:multiLevelType w:val="multilevel"/>
    <w:tmpl w:val="5842599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E82D7A"/>
    <w:multiLevelType w:val="hybridMultilevel"/>
    <w:tmpl w:val="11D8D668"/>
    <w:lvl w:ilvl="0" w:tplc="FE2A455C">
      <w:start w:val="1"/>
      <w:numFmt w:val="lowerRoman"/>
      <w:lvlText w:val="%1."/>
      <w:lvlJc w:val="left"/>
      <w:pPr>
        <w:ind w:left="1080" w:hanging="720"/>
      </w:pPr>
      <w:rPr>
        <w:rFonts w:eastAsia="Arial" w:cs="Arial"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1A"/>
    <w:rsid w:val="002F1F9E"/>
    <w:rsid w:val="00592E29"/>
    <w:rsid w:val="007E56E2"/>
    <w:rsid w:val="00912C2E"/>
    <w:rsid w:val="00B04D1A"/>
    <w:rsid w:val="00BA67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168"/>
  <w15:docId w15:val="{80F83376-1C8A-4AD7-B0EA-5458FBD7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395ptoSincursiva">
    <w:name w:val="Cuerpo del texto (3) + 9;5 pto;Sin cursiva"/>
    <w:basedOn w:val="Cuerpodeltexto3"/>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31">
    <w:name w:val="Cuerpo del texto (3)"/>
    <w:basedOn w:val="Cuerpodeltexto3"/>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NegritaCursivaEspaciado1pto">
    <w:name w:val="Cuerpo del texto (2) + Negrita;Cursiva;Espaciado 1 pto"/>
    <w:basedOn w:val="Cuerpodeltexto2"/>
    <w:rPr>
      <w:rFonts w:ascii="Arial" w:eastAsia="Arial" w:hAnsi="Arial" w:cs="Arial"/>
      <w:b/>
      <w:bCs/>
      <w:i/>
      <w:iCs/>
      <w:smallCaps w:val="0"/>
      <w:strike w:val="0"/>
      <w:color w:val="000000"/>
      <w:spacing w:val="30"/>
      <w:w w:val="100"/>
      <w:position w:val="0"/>
      <w:sz w:val="19"/>
      <w:szCs w:val="19"/>
      <w:u w:val="none"/>
      <w:lang w:val="es-ES" w:eastAsia="es-ES" w:bidi="es-ES"/>
    </w:rPr>
  </w:style>
  <w:style w:type="character" w:customStyle="1" w:styleId="Cuerpodeltexto210ptoCursiva">
    <w:name w:val="Cuerpo del texto (2) + 10 pto;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395ptoNegritaEspaciado1pto">
    <w:name w:val="Cuerpo del texto (3) + 9;5 pto;Negrita;Espaciado 1 pto"/>
    <w:basedOn w:val="Cuerpodeltexto3"/>
    <w:rPr>
      <w:rFonts w:ascii="Arial" w:eastAsia="Arial" w:hAnsi="Arial" w:cs="Arial"/>
      <w:b/>
      <w:bCs/>
      <w:i/>
      <w:iCs/>
      <w:smallCaps w:val="0"/>
      <w:strike w:val="0"/>
      <w:color w:val="000000"/>
      <w:spacing w:val="30"/>
      <w:w w:val="100"/>
      <w:position w:val="0"/>
      <w:sz w:val="19"/>
      <w:szCs w:val="19"/>
      <w:u w:val="none"/>
      <w:lang w:val="es-ES" w:eastAsia="es-ES" w:bidi="es-ES"/>
    </w:rPr>
  </w:style>
  <w:style w:type="character" w:customStyle="1" w:styleId="Cuerpodeltexto28">
    <w:name w:val="Cuerpo del texto (28)_"/>
    <w:basedOn w:val="Fuentedeprrafopredeter"/>
    <w:link w:val="Cuerpodeltexto280"/>
    <w:rPr>
      <w:rFonts w:ascii="Arial" w:eastAsia="Arial" w:hAnsi="Arial" w:cs="Arial"/>
      <w:b/>
      <w:bCs/>
      <w:i/>
      <w:iCs/>
      <w:smallCaps w:val="0"/>
      <w:strike w:val="0"/>
      <w:sz w:val="19"/>
      <w:szCs w:val="19"/>
      <w:u w:val="none"/>
    </w:rPr>
  </w:style>
  <w:style w:type="character" w:customStyle="1" w:styleId="Cuerpodeltexto281">
    <w:name w:val="Cuerpo del texto (28)"/>
    <w:basedOn w:val="Cuerpodeltexto28"/>
    <w:rPr>
      <w:rFonts w:ascii="Arial" w:eastAsia="Arial" w:hAnsi="Arial" w:cs="Arial"/>
      <w:b/>
      <w:bCs/>
      <w:i/>
      <w:iCs/>
      <w:smallCaps w:val="0"/>
      <w:strike w:val="0"/>
      <w:color w:val="000000"/>
      <w:spacing w:val="0"/>
      <w:w w:val="100"/>
      <w:position w:val="0"/>
      <w:sz w:val="19"/>
      <w:szCs w:val="19"/>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26">
    <w:name w:val="Cuerpo del texto (26)_"/>
    <w:basedOn w:val="Fuentedeprrafopredeter"/>
    <w:link w:val="Cuerpodeltexto260"/>
    <w:rPr>
      <w:rFonts w:ascii="Lucida Sans Unicode" w:eastAsia="Lucida Sans Unicode" w:hAnsi="Lucida Sans Unicode" w:cs="Lucida Sans Unicode"/>
      <w:b w:val="0"/>
      <w:bCs w:val="0"/>
      <w:i w:val="0"/>
      <w:iCs w:val="0"/>
      <w:smallCaps w:val="0"/>
      <w:strike w:val="0"/>
      <w:sz w:val="9"/>
      <w:szCs w:val="9"/>
      <w:u w:val="none"/>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11"/>
      <w:szCs w:val="11"/>
      <w:u w:val="none"/>
    </w:rPr>
  </w:style>
  <w:style w:type="character" w:customStyle="1" w:styleId="Cuerpodeltexto24LucidaSansUnicode45pto">
    <w:name w:val="Cuerpo del texto (24) + Lucida Sans Unicode;4;5 pto"/>
    <w:basedOn w:val="Cuerpodeltexto24"/>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lang w:val="es-ES" w:eastAsia="es-ES" w:bidi="es-ES"/>
    </w:rPr>
  </w:style>
  <w:style w:type="character" w:customStyle="1" w:styleId="Cuerpodeltexto24LucidaSansUnicode45pto0">
    <w:name w:val="Cuerpo del texto (24) + Lucida Sans Unicode;4;5 pto"/>
    <w:basedOn w:val="Cuerpodeltexto24"/>
    <w:rPr>
      <w:rFonts w:ascii="Lucida Sans Unicode" w:eastAsia="Lucida Sans Unicode" w:hAnsi="Lucida Sans Unicode" w:cs="Lucida Sans Unicode"/>
      <w:b w:val="0"/>
      <w:bCs w:val="0"/>
      <w:i w:val="0"/>
      <w:iCs w:val="0"/>
      <w:smallCaps w:val="0"/>
      <w:strike w:val="0"/>
      <w:color w:val="000000"/>
      <w:spacing w:val="0"/>
      <w:w w:val="100"/>
      <w:position w:val="0"/>
      <w:sz w:val="9"/>
      <w:szCs w:val="9"/>
      <w:u w:val="single"/>
      <w:lang w:val="es-ES" w:eastAsia="es-ES" w:bidi="es-ES"/>
    </w:rPr>
  </w:style>
  <w:style w:type="character" w:customStyle="1" w:styleId="Cuerpodeltexto241">
    <w:name w:val="Cuerpo del texto (24)"/>
    <w:basedOn w:val="Cuerpodeltexto24"/>
    <w:rPr>
      <w:rFonts w:ascii="Arial" w:eastAsia="Arial" w:hAnsi="Arial" w:cs="Arial"/>
      <w:b w:val="0"/>
      <w:bCs w:val="0"/>
      <w:i w:val="0"/>
      <w:iCs w:val="0"/>
      <w:smallCaps w:val="0"/>
      <w:strike w:val="0"/>
      <w:color w:val="000000"/>
      <w:spacing w:val="0"/>
      <w:w w:val="100"/>
      <w:position w:val="0"/>
      <w:sz w:val="11"/>
      <w:szCs w:val="11"/>
      <w:u w:val="none"/>
      <w:lang w:val="es-ES" w:eastAsia="es-ES" w:bidi="es-ES"/>
    </w:rPr>
  </w:style>
  <w:style w:type="character" w:customStyle="1" w:styleId="Ttulo13">
    <w:name w:val="Título #1 (3)_"/>
    <w:basedOn w:val="Fuentedeprrafopredeter"/>
    <w:link w:val="Ttulo130"/>
    <w:rPr>
      <w:rFonts w:ascii="Arial" w:eastAsia="Arial" w:hAnsi="Arial" w:cs="Arial"/>
      <w:b/>
      <w:bCs/>
      <w:i w:val="0"/>
      <w:iCs w:val="0"/>
      <w:smallCaps w:val="0"/>
      <w:strike w:val="0"/>
      <w:sz w:val="20"/>
      <w:szCs w:val="20"/>
      <w:u w:val="none"/>
    </w:rPr>
  </w:style>
  <w:style w:type="paragraph" w:customStyle="1" w:styleId="Cuerpodeltexto20">
    <w:name w:val="Cuerpo del texto (2)"/>
    <w:basedOn w:val="Normal"/>
    <w:link w:val="Cuerpodeltexto2"/>
    <w:pPr>
      <w:shd w:val="clear" w:color="auto" w:fill="FFFFFF"/>
      <w:spacing w:line="437" w:lineRule="exact"/>
      <w:ind w:hanging="2100"/>
    </w:pPr>
    <w:rPr>
      <w:rFonts w:ascii="Arial" w:eastAsia="Arial" w:hAnsi="Arial" w:cs="Arial"/>
      <w:sz w:val="19"/>
      <w:szCs w:val="19"/>
    </w:rPr>
  </w:style>
  <w:style w:type="paragraph" w:customStyle="1" w:styleId="Cuerpodeltexto30">
    <w:name w:val="Cuerpo del texto (3)"/>
    <w:basedOn w:val="Normal"/>
    <w:link w:val="Cuerpodeltexto3"/>
    <w:pPr>
      <w:shd w:val="clear" w:color="auto" w:fill="FFFFFF"/>
      <w:spacing w:before="180" w:after="180" w:line="230" w:lineRule="exact"/>
      <w:jc w:val="both"/>
    </w:pPr>
    <w:rPr>
      <w:rFonts w:ascii="Arial" w:eastAsia="Arial" w:hAnsi="Arial" w:cs="Arial"/>
      <w:i/>
      <w:iCs/>
      <w:sz w:val="20"/>
      <w:szCs w:val="20"/>
    </w:rPr>
  </w:style>
  <w:style w:type="paragraph" w:customStyle="1" w:styleId="Cuerpodeltexto280">
    <w:name w:val="Cuerpo del texto (28)"/>
    <w:basedOn w:val="Normal"/>
    <w:link w:val="Cuerpodeltexto28"/>
    <w:pPr>
      <w:shd w:val="clear" w:color="auto" w:fill="FFFFFF"/>
      <w:spacing w:before="180" w:after="180" w:line="230" w:lineRule="exact"/>
      <w:ind w:hanging="280"/>
      <w:jc w:val="both"/>
    </w:pPr>
    <w:rPr>
      <w:rFonts w:ascii="Arial" w:eastAsia="Arial" w:hAnsi="Arial" w:cs="Arial"/>
      <w:b/>
      <w:bCs/>
      <w:i/>
      <w:iCs/>
      <w:sz w:val="19"/>
      <w:szCs w:val="19"/>
    </w:rPr>
  </w:style>
  <w:style w:type="paragraph" w:customStyle="1" w:styleId="Cuerpodeltexto260">
    <w:name w:val="Cuerpo del texto (26)"/>
    <w:basedOn w:val="Normal"/>
    <w:link w:val="Cuerpodeltexto26"/>
    <w:pPr>
      <w:shd w:val="clear" w:color="auto" w:fill="FFFFFF"/>
      <w:spacing w:before="180" w:line="125" w:lineRule="exact"/>
      <w:jc w:val="both"/>
    </w:pPr>
    <w:rPr>
      <w:rFonts w:ascii="Lucida Sans Unicode" w:eastAsia="Lucida Sans Unicode" w:hAnsi="Lucida Sans Unicode" w:cs="Lucida Sans Unicode"/>
      <w:sz w:val="9"/>
      <w:szCs w:val="9"/>
    </w:rPr>
  </w:style>
  <w:style w:type="paragraph" w:customStyle="1" w:styleId="Cuerpodeltexto240">
    <w:name w:val="Cuerpo del texto (24)"/>
    <w:basedOn w:val="Normal"/>
    <w:link w:val="Cuerpodeltexto24"/>
    <w:pPr>
      <w:shd w:val="clear" w:color="auto" w:fill="FFFFFF"/>
      <w:spacing w:before="180" w:line="144" w:lineRule="exact"/>
    </w:pPr>
    <w:rPr>
      <w:rFonts w:ascii="Arial" w:eastAsia="Arial" w:hAnsi="Arial" w:cs="Arial"/>
      <w:sz w:val="11"/>
      <w:szCs w:val="11"/>
    </w:rPr>
  </w:style>
  <w:style w:type="paragraph" w:customStyle="1" w:styleId="Ttulo130">
    <w:name w:val="Título #1 (3)"/>
    <w:basedOn w:val="Normal"/>
    <w:link w:val="Ttulo13"/>
    <w:pPr>
      <w:shd w:val="clear" w:color="auto" w:fill="FFFFFF"/>
      <w:spacing w:line="461" w:lineRule="exact"/>
      <w:jc w:val="both"/>
      <w:outlineLvl w:val="0"/>
    </w:pPr>
    <w:rPr>
      <w:rFonts w:ascii="Arial" w:eastAsia="Arial" w:hAnsi="Arial" w:cs="Arial"/>
      <w:b/>
      <w:bCs/>
      <w:sz w:val="20"/>
      <w:szCs w:val="20"/>
    </w:rPr>
  </w:style>
  <w:style w:type="paragraph" w:styleId="Sinespaciado">
    <w:name w:val="No Spacing"/>
    <w:uiPriority w:val="1"/>
    <w:qFormat/>
    <w:rsid w:val="007E56E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4054</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2021-02-26T16:02:00Z</dcterms:created>
  <dcterms:modified xsi:type="dcterms:W3CDTF">2021-02-26T16:02:00Z</dcterms:modified>
</cp:coreProperties>
</file>