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FEF6D" w14:textId="4FCCFE8D" w:rsidR="00B54DCE" w:rsidRPr="002F33C5" w:rsidRDefault="006F7AD7" w:rsidP="002F33C5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F33C5">
        <w:rPr>
          <w:rFonts w:ascii="Times New Roman" w:hAnsi="Times New Roman" w:cs="Times New Roman"/>
          <w:b/>
          <w:bCs/>
        </w:rPr>
        <w:t>CONCEPTO 1473 DEL 11 DE NOVIEMBRE DE 2020</w:t>
      </w:r>
    </w:p>
    <w:p w14:paraId="064E377A" w14:textId="57BBB9E3" w:rsidR="006F7AD7" w:rsidRPr="002F33C5" w:rsidRDefault="006F7AD7" w:rsidP="002F33C5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F33C5">
        <w:rPr>
          <w:rFonts w:ascii="Times New Roman" w:hAnsi="Times New Roman" w:cs="Times New Roman"/>
          <w:b/>
          <w:bCs/>
        </w:rPr>
        <w:t>DIRECCIÓN DE IMPUESTOS Y ADUANAS NACIONALES</w:t>
      </w:r>
    </w:p>
    <w:p w14:paraId="70F10B47" w14:textId="77777777" w:rsidR="00B54DCE" w:rsidRPr="002F33C5" w:rsidRDefault="00B54DCE" w:rsidP="002F33C5">
      <w:pPr>
        <w:pStyle w:val="Sinespaciado"/>
        <w:spacing w:line="360" w:lineRule="auto"/>
        <w:jc w:val="center"/>
        <w:rPr>
          <w:rFonts w:ascii="Times New Roman" w:hAnsi="Times New Roman" w:cs="Times New Roman"/>
        </w:rPr>
      </w:pPr>
    </w:p>
    <w:p w14:paraId="6A4A852C" w14:textId="77777777" w:rsidR="00B54DCE" w:rsidRPr="002F33C5" w:rsidRDefault="00B54DCE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47E3D5DB" w14:textId="6C01D101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>Bogotá, D.C.</w:t>
      </w:r>
    </w:p>
    <w:p w14:paraId="0A90097B" w14:textId="77777777" w:rsidR="00B54DCE" w:rsidRPr="002F33C5" w:rsidRDefault="00B54DCE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25124214" w14:textId="15278DAF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  <w:b/>
          <w:bCs/>
        </w:rPr>
        <w:t>Tema</w:t>
      </w:r>
      <w:r w:rsidRPr="002F33C5">
        <w:rPr>
          <w:rFonts w:ascii="Times New Roman" w:hAnsi="Times New Roman" w:cs="Times New Roman"/>
          <w:b/>
          <w:bCs/>
        </w:rPr>
        <w:tab/>
      </w:r>
      <w:r w:rsidRPr="002F33C5">
        <w:rPr>
          <w:rFonts w:ascii="Times New Roman" w:hAnsi="Times New Roman" w:cs="Times New Roman"/>
          <w:b/>
          <w:bCs/>
        </w:rPr>
        <w:tab/>
      </w:r>
      <w:r w:rsidRPr="002F33C5">
        <w:rPr>
          <w:rFonts w:ascii="Times New Roman" w:hAnsi="Times New Roman" w:cs="Times New Roman"/>
          <w:b/>
          <w:bCs/>
        </w:rPr>
        <w:tab/>
      </w:r>
      <w:r w:rsidRPr="002F33C5">
        <w:rPr>
          <w:rFonts w:ascii="Times New Roman" w:hAnsi="Times New Roman" w:cs="Times New Roman"/>
        </w:rPr>
        <w:t>Impuesto sobre la renta</w:t>
      </w:r>
    </w:p>
    <w:p w14:paraId="487DBAFA" w14:textId="7380A7D7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  <w:b/>
          <w:bCs/>
        </w:rPr>
        <w:t>Descriptores</w:t>
      </w:r>
      <w:r w:rsidRPr="002F33C5">
        <w:rPr>
          <w:rFonts w:ascii="Times New Roman" w:hAnsi="Times New Roman" w:cs="Times New Roman"/>
          <w:b/>
          <w:bCs/>
        </w:rPr>
        <w:tab/>
      </w:r>
      <w:r w:rsidRPr="002F33C5">
        <w:rPr>
          <w:rFonts w:ascii="Times New Roman" w:hAnsi="Times New Roman" w:cs="Times New Roman"/>
          <w:b/>
          <w:bCs/>
        </w:rPr>
        <w:tab/>
      </w:r>
      <w:r w:rsidRPr="002F33C5">
        <w:rPr>
          <w:rFonts w:ascii="Times New Roman" w:hAnsi="Times New Roman" w:cs="Times New Roman"/>
        </w:rPr>
        <w:t>Régimen Tributario Especial</w:t>
      </w:r>
    </w:p>
    <w:p w14:paraId="1A7AEE20" w14:textId="7529DF2F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  <w:b/>
          <w:bCs/>
        </w:rPr>
        <w:t>Fuentes formales</w:t>
      </w:r>
      <w:r w:rsidRPr="002F33C5">
        <w:rPr>
          <w:rFonts w:ascii="Times New Roman" w:hAnsi="Times New Roman" w:cs="Times New Roman"/>
          <w:b/>
          <w:bCs/>
        </w:rPr>
        <w:tab/>
      </w:r>
      <w:r w:rsidRPr="002F33C5">
        <w:rPr>
          <w:rFonts w:ascii="Times New Roman" w:hAnsi="Times New Roman" w:cs="Times New Roman"/>
        </w:rPr>
        <w:t>Artículo 358 del Estatuto Tributario.</w:t>
      </w:r>
    </w:p>
    <w:p w14:paraId="790E0B47" w14:textId="77777777" w:rsidR="00B54DCE" w:rsidRPr="002F33C5" w:rsidRDefault="006F7AD7" w:rsidP="002F33C5">
      <w:pPr>
        <w:pStyle w:val="Sinespaciado"/>
        <w:spacing w:line="360" w:lineRule="auto"/>
        <w:ind w:left="2832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>Artículos 1.2.1.5.1.21. y 1.2.1.5.1.27. del Decreto 1625 de 2016.</w:t>
      </w:r>
    </w:p>
    <w:p w14:paraId="33426E71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2AD391D7" w14:textId="39F2C653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>Cordial saludo,</w:t>
      </w:r>
    </w:p>
    <w:p w14:paraId="288B4DE4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118EA014" w14:textId="31AF2E2D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10A4B900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279FD0DF" w14:textId="0337D9A1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>Mediante el radicado de la referencia, el peticionario plantea las siguientes preguntas:</w:t>
      </w:r>
    </w:p>
    <w:p w14:paraId="0A012D6A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4DCFA88D" w14:textId="77777777" w:rsidR="006F7AD7" w:rsidRPr="002F33C5" w:rsidRDefault="006F7AD7" w:rsidP="002F33C5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F33C5">
        <w:rPr>
          <w:rFonts w:ascii="Times New Roman" w:hAnsi="Times New Roman" w:cs="Times New Roman"/>
          <w:i/>
          <w:iCs/>
        </w:rPr>
        <w:t>¿Toda erogación que realice una entidad sin ánimo de lucro que pertenezca al Régimen Tributario Especial y que tenga relación directa o indirecta con el desarrollo de su objeto social y a su vez con las actividades meritorias que le otorgan derecho a pertenecer a dicho régimen, es un mecanismo válido de destinación del beneficio neto o excedente en aras de cumplir con el requisito para acceder a la exención de que trata el artículo 358 del E.T.?</w:t>
      </w:r>
    </w:p>
    <w:p w14:paraId="1A1F4056" w14:textId="77777777" w:rsidR="006F7AD7" w:rsidRPr="002F33C5" w:rsidRDefault="006F7AD7" w:rsidP="002F33C5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  <w:i/>
          <w:iCs/>
        </w:rPr>
        <w:t>¿Dentro de las erogaciones anteriores, se incluyen aquellas de administración o de funcionamiento?</w:t>
      </w:r>
    </w:p>
    <w:p w14:paraId="4116F43E" w14:textId="6937BB74" w:rsidR="00B54DCE" w:rsidRPr="002F33C5" w:rsidRDefault="006F7AD7" w:rsidP="002F33C5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F33C5">
        <w:rPr>
          <w:rFonts w:ascii="Times New Roman" w:hAnsi="Times New Roman" w:cs="Times New Roman"/>
          <w:i/>
          <w:iCs/>
        </w:rPr>
        <w:lastRenderedPageBreak/>
        <w:t>¿Los requisitos exigidos en la destinación del beneficio neto o excedente con el fin de acceder a la exención son los mismos que hacen procedentes los egresos deducibles?</w:t>
      </w:r>
    </w:p>
    <w:p w14:paraId="17B17DCA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28A4C598" w14:textId="3BF3EC00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>Sobre el particular, las consideraciones de este Despacho son las siguientes:</w:t>
      </w:r>
    </w:p>
    <w:p w14:paraId="440126C8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543D0E3E" w14:textId="0F33744B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>Según establece el artículo 358 del Estatuto Tributario, el beneficio neto o excedente determinado, tendrá el carácter de exento cuando se destine directa o indirectamente, en el año siguiente a aquel en el cual se obtuvo, a programas que desarrollen el objeto social y la actividad meritoria de la entidad. Lo anterior, por supuesto, con el cumplimiento de los requisitos a que haya lugar.</w:t>
      </w:r>
    </w:p>
    <w:p w14:paraId="6A4B16C6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455838F0" w14:textId="7B398FB5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>El artículo 1.2.1.5.1.27. del Decreto 1625 de 2016, establece:</w:t>
      </w:r>
    </w:p>
    <w:p w14:paraId="1D9D2868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648D35EA" w14:textId="5DB5AC3A" w:rsidR="00B54DCE" w:rsidRPr="002F33C5" w:rsidRDefault="006F7AD7" w:rsidP="002F33C5">
      <w:pPr>
        <w:pStyle w:val="Sinespaciado"/>
        <w:spacing w:line="360" w:lineRule="auto"/>
        <w:ind w:left="708"/>
        <w:jc w:val="both"/>
        <w:rPr>
          <w:rFonts w:ascii="Times New Roman" w:hAnsi="Times New Roman" w:cs="Times New Roman"/>
          <w:i/>
          <w:iCs/>
        </w:rPr>
      </w:pPr>
      <w:r w:rsidRPr="002F33C5">
        <w:rPr>
          <w:rFonts w:ascii="Times New Roman" w:hAnsi="Times New Roman" w:cs="Times New Roman"/>
          <w:i/>
          <w:iCs/>
        </w:rPr>
        <w:t xml:space="preserve">“Artículo 1.2.1.5.1.27. Exención del beneficio neto o excedente. Estará exento el beneficio neto o excedente determinado de conformidad con el artículo 1.2.1.5.1.24. de este Decreto, </w:t>
      </w:r>
      <w:r w:rsidRPr="002F33C5">
        <w:rPr>
          <w:rStyle w:val="Cuerpodeltexto14Negrita"/>
          <w:rFonts w:ascii="Times New Roman" w:hAnsi="Times New Roman" w:cs="Times New Roman"/>
          <w:sz w:val="24"/>
          <w:szCs w:val="24"/>
        </w:rPr>
        <w:t>siempre que esté reconocido en la contabilidad y/o en la conciliación fiscal o sistema de registro de diferencias</w:t>
      </w:r>
      <w:r w:rsidRPr="002F33C5">
        <w:rPr>
          <w:rFonts w:ascii="Times New Roman" w:hAnsi="Times New Roman" w:cs="Times New Roman"/>
          <w:i/>
          <w:iCs/>
        </w:rPr>
        <w:t>, de conformidad con el artículo 772-1 del Estatuto Tributario, con el cumplimiento de los siguientes requisitos:</w:t>
      </w:r>
    </w:p>
    <w:p w14:paraId="4602E3F1" w14:textId="77777777" w:rsidR="006F7AD7" w:rsidRPr="002F33C5" w:rsidRDefault="006F7AD7" w:rsidP="002F33C5">
      <w:pPr>
        <w:pStyle w:val="Sinespaciado"/>
        <w:spacing w:line="360" w:lineRule="auto"/>
        <w:ind w:left="708"/>
        <w:jc w:val="both"/>
        <w:rPr>
          <w:rStyle w:val="Cuerpodeltexto20Sinnegrita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85A2CF9" w14:textId="521449C8" w:rsidR="00B54DCE" w:rsidRPr="002F33C5" w:rsidRDefault="006F7AD7" w:rsidP="002F33C5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F33C5">
        <w:rPr>
          <w:rStyle w:val="Cuerpodeltexto20Sinnegrita"/>
          <w:rFonts w:ascii="Times New Roman" w:hAnsi="Times New Roman" w:cs="Times New Roman"/>
          <w:b w:val="0"/>
          <w:bCs w:val="0"/>
          <w:sz w:val="24"/>
          <w:szCs w:val="24"/>
        </w:rPr>
        <w:t xml:space="preserve">Que el beneficio neto o excedente se destine directa </w:t>
      </w:r>
      <w:r w:rsidRPr="002F33C5">
        <w:rPr>
          <w:rFonts w:ascii="Times New Roman" w:hAnsi="Times New Roman" w:cs="Times New Roman"/>
          <w:i/>
          <w:iCs/>
        </w:rPr>
        <w:t xml:space="preserve">e indirectamente en el año siguiente a aquel en que se obtuvo, a programas que desarrollen su objeto social en una o varias de las actividades meritorias de la entidad, establecidas en el artículo 359 del Estatuto Tributario </w:t>
      </w:r>
      <w:r w:rsidRPr="002F33C5">
        <w:rPr>
          <w:rStyle w:val="Cuerpodeltexto20Sinnegrita"/>
          <w:rFonts w:ascii="Times New Roman" w:hAnsi="Times New Roman" w:cs="Times New Roman"/>
          <w:b w:val="0"/>
          <w:bCs w:val="0"/>
          <w:sz w:val="24"/>
          <w:szCs w:val="24"/>
        </w:rPr>
        <w:t>o en los plazos adicionales que defina el máximo órgano de dirección de la entidad.</w:t>
      </w:r>
    </w:p>
    <w:p w14:paraId="4990B261" w14:textId="77777777" w:rsidR="006F7AD7" w:rsidRPr="002F33C5" w:rsidRDefault="006F7AD7" w:rsidP="002F33C5">
      <w:pPr>
        <w:pStyle w:val="Sinespaciado"/>
        <w:spacing w:line="360" w:lineRule="auto"/>
        <w:ind w:left="708"/>
        <w:jc w:val="both"/>
        <w:rPr>
          <w:rFonts w:ascii="Times New Roman" w:hAnsi="Times New Roman" w:cs="Times New Roman"/>
          <w:i/>
          <w:iCs/>
        </w:rPr>
      </w:pPr>
    </w:p>
    <w:p w14:paraId="567C1390" w14:textId="75B755BA" w:rsidR="00B54DCE" w:rsidRPr="002F33C5" w:rsidRDefault="006F7AD7" w:rsidP="002F33C5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F33C5">
        <w:rPr>
          <w:rFonts w:ascii="Times New Roman" w:hAnsi="Times New Roman" w:cs="Times New Roman"/>
          <w:i/>
          <w:iCs/>
        </w:rPr>
        <w:t>Que el beneficio neto o excedente se destine a la constitución de asignaciones permanentes.</w:t>
      </w:r>
    </w:p>
    <w:p w14:paraId="388EA32F" w14:textId="77777777" w:rsidR="006F7AD7" w:rsidRPr="002F33C5" w:rsidRDefault="006F7AD7" w:rsidP="002F33C5">
      <w:pPr>
        <w:pStyle w:val="Sinespaciado"/>
        <w:spacing w:line="360" w:lineRule="auto"/>
        <w:ind w:left="708"/>
        <w:jc w:val="both"/>
        <w:rPr>
          <w:rFonts w:ascii="Times New Roman" w:hAnsi="Times New Roman" w:cs="Times New Roman"/>
          <w:i/>
          <w:iCs/>
        </w:rPr>
      </w:pPr>
    </w:p>
    <w:p w14:paraId="7107639C" w14:textId="532A9B3A" w:rsidR="00B54DCE" w:rsidRPr="002F33C5" w:rsidRDefault="006F7AD7" w:rsidP="002F33C5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F33C5">
        <w:rPr>
          <w:rFonts w:ascii="Times New Roman" w:hAnsi="Times New Roman" w:cs="Times New Roman"/>
          <w:i/>
          <w:iCs/>
        </w:rPr>
        <w:t xml:space="preserve">Que la destinación total del beneficio neto esté aprobada por la Asamblea General u órgano de dirección que haga sus veces, para lo cual se dejará constancia en el acta </w:t>
      </w:r>
      <w:r w:rsidRPr="002F33C5">
        <w:rPr>
          <w:rFonts w:ascii="Times New Roman" w:hAnsi="Times New Roman" w:cs="Times New Roman"/>
          <w:i/>
          <w:iCs/>
        </w:rPr>
        <w:lastRenderedPageBreak/>
        <w:t>de cómo se destinará y los plazos en que se espera realizar su uso, reunión que deberá celebrarse dentro de los tres primeros meses de cada año.</w:t>
      </w:r>
    </w:p>
    <w:p w14:paraId="02AFF41B" w14:textId="77777777" w:rsidR="006F7AD7" w:rsidRPr="002F33C5" w:rsidRDefault="006F7AD7" w:rsidP="002F33C5">
      <w:pPr>
        <w:pStyle w:val="Sinespaciado"/>
        <w:spacing w:line="360" w:lineRule="auto"/>
        <w:ind w:left="708"/>
        <w:jc w:val="both"/>
        <w:rPr>
          <w:rStyle w:val="Cuerpodeltexto20Sinnegrita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38551E1" w14:textId="28A951B2" w:rsidR="00B54DCE" w:rsidRPr="002F33C5" w:rsidRDefault="006F7AD7" w:rsidP="002F33C5">
      <w:pPr>
        <w:pStyle w:val="Sinespaciado"/>
        <w:spacing w:line="360" w:lineRule="auto"/>
        <w:ind w:left="708"/>
        <w:jc w:val="both"/>
        <w:rPr>
          <w:rFonts w:ascii="Times New Roman" w:hAnsi="Times New Roman" w:cs="Times New Roman"/>
          <w:b/>
          <w:bCs/>
          <w:i/>
          <w:iCs/>
        </w:rPr>
      </w:pPr>
      <w:r w:rsidRPr="002F33C5">
        <w:rPr>
          <w:rStyle w:val="Cuerpodeltexto20Sinnegrita"/>
          <w:rFonts w:ascii="Times New Roman" w:hAnsi="Times New Roman" w:cs="Times New Roman"/>
          <w:b w:val="0"/>
          <w:bCs w:val="0"/>
          <w:sz w:val="24"/>
          <w:szCs w:val="24"/>
        </w:rPr>
        <w:t xml:space="preserve">El registro o reconocimiento de que trata este artículo, sobre la ejecución del beneficio neto o excedente, deberá realizarse en forma separada por periodo gravable, </w:t>
      </w:r>
      <w:r w:rsidRPr="002F33C5">
        <w:rPr>
          <w:rFonts w:ascii="Times New Roman" w:hAnsi="Times New Roman" w:cs="Times New Roman"/>
          <w:b/>
          <w:bCs/>
          <w:i/>
          <w:iCs/>
        </w:rPr>
        <w:t>de manera que se pueda establecer claramente el monto, destino del beneficio neto o excedente y nivel de ejecución durante cada periodo gravable</w:t>
      </w:r>
      <w:r w:rsidRPr="002F33C5">
        <w:rPr>
          <w:rStyle w:val="Cuerpodeltexto20Sinnegrita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2F33C5">
        <w:rPr>
          <w:rFonts w:ascii="Times New Roman" w:hAnsi="Times New Roman" w:cs="Times New Roman"/>
          <w:b/>
          <w:bCs/>
          <w:i/>
          <w:iCs/>
        </w:rPr>
        <w:t>Igual procedimiento se debe observar cuando el beneficio neto se ejecute a través de proyectos o programas específicos</w:t>
      </w:r>
      <w:r w:rsidRPr="002F33C5">
        <w:rPr>
          <w:rStyle w:val="Cuerpodeltexto20Sinnegrita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D334949" w14:textId="77777777" w:rsidR="006F7AD7" w:rsidRPr="002F33C5" w:rsidRDefault="006F7AD7" w:rsidP="002F33C5">
      <w:pPr>
        <w:pStyle w:val="Sinespaciado"/>
        <w:spacing w:line="360" w:lineRule="auto"/>
        <w:ind w:left="708"/>
        <w:jc w:val="both"/>
        <w:rPr>
          <w:rFonts w:ascii="Times New Roman" w:hAnsi="Times New Roman" w:cs="Times New Roman"/>
          <w:i/>
          <w:iCs/>
        </w:rPr>
      </w:pPr>
    </w:p>
    <w:p w14:paraId="6CA30877" w14:textId="56E29775" w:rsidR="00B54DCE" w:rsidRPr="002F33C5" w:rsidRDefault="006F7AD7" w:rsidP="002F33C5">
      <w:pPr>
        <w:pStyle w:val="Sinespaciado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  <w:i/>
          <w:iCs/>
        </w:rPr>
        <w:t>(…)”</w:t>
      </w:r>
    </w:p>
    <w:p w14:paraId="218C10B9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4588B45E" w14:textId="156A3E1C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 xml:space="preserve">En concordancia con lo anterior, ese beneficio neto o excedente se ejecuta de manera directa o indirecta en programas que desarrollen su objeto social en una o varias de las actividades meritorias de la entidad, según lo dispuesto en el artículo 359 del Estatuto Tributario, </w:t>
      </w:r>
      <w:r w:rsidRPr="002F33C5">
        <w:rPr>
          <w:rStyle w:val="Cuerpodeltexto13Negrita"/>
          <w:rFonts w:ascii="Times New Roman" w:hAnsi="Times New Roman" w:cs="Times New Roman"/>
          <w:sz w:val="24"/>
          <w:szCs w:val="24"/>
        </w:rPr>
        <w:t>razón por la cual en cada entidad del Régimen Tributario Especial se deberá establecer las actividades y los recursos requeridos para dichos programas y la ejecución de ese beneficio neto o excedente</w:t>
      </w:r>
      <w:r w:rsidRPr="002F33C5">
        <w:rPr>
          <w:rFonts w:ascii="Times New Roman" w:hAnsi="Times New Roman" w:cs="Times New Roman"/>
        </w:rPr>
        <w:t>, con el cumplimiento y en los términos previstos en las anteriores disposiciones normativas.</w:t>
      </w:r>
    </w:p>
    <w:p w14:paraId="75D64132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287C4CCC" w14:textId="019CA6E4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 xml:space="preserve">Por su parte, el artículo 1.2.1.5.1.21. del Decreto 1625 de 2016 define los egresos como los costos y gastos devengados contablemente en el año o periodo gravable, aplicando las limitaciones, excepciones de que trata el Título I del Libro Primero del Estatuto Tributario y demás requisitos y condiciones allí previstos. De igual forma, esta disposición normativa establece </w:t>
      </w:r>
      <w:r w:rsidRPr="002F33C5">
        <w:rPr>
          <w:rStyle w:val="Cuerpodeltexto13NegritaCursiva"/>
          <w:rFonts w:ascii="Times New Roman" w:hAnsi="Times New Roman" w:cs="Times New Roman"/>
          <w:sz w:val="24"/>
          <w:szCs w:val="24"/>
        </w:rPr>
        <w:t>“</w:t>
      </w:r>
      <w:r w:rsidRPr="002F33C5">
        <w:rPr>
          <w:rStyle w:val="Cuerpodeltexto13Cursiva"/>
          <w:rFonts w:ascii="Times New Roman" w:hAnsi="Times New Roman" w:cs="Times New Roman"/>
          <w:b/>
          <w:bCs/>
          <w:sz w:val="24"/>
          <w:szCs w:val="24"/>
        </w:rPr>
        <w:t>La ejecución de beneficios netos o excedentes de años anteriores no constituye egreso del ejercicio.”</w:t>
      </w:r>
    </w:p>
    <w:p w14:paraId="321E7ADA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439AEEFF" w14:textId="71BB1B98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>Así las cosas, existen diferencias en el tratamiento del beneficio neto o excedente frente a los egresos, razón por la cual los contribuyentes no pueden asimilar los requisitos exigidos en el primero y deben observarse las normas propias para cada caso.</w:t>
      </w:r>
    </w:p>
    <w:p w14:paraId="17FFB7DD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53EEBF9D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07E87C61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1B217414" w14:textId="0939C287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>Atentamente,</w:t>
      </w:r>
    </w:p>
    <w:p w14:paraId="3EC3D6CE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7E9DD691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39981E62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</w:p>
    <w:p w14:paraId="5AC4B5BA" w14:textId="083D7AAE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F33C5">
        <w:rPr>
          <w:rFonts w:ascii="Times New Roman" w:hAnsi="Times New Roman" w:cs="Times New Roman"/>
          <w:b/>
          <w:bCs/>
        </w:rPr>
        <w:t>PABLO EMILIO MENDOZA VELILLA</w:t>
      </w:r>
    </w:p>
    <w:p w14:paraId="5D270672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>Subdirector de Gestión Normativa y Doctrina</w:t>
      </w:r>
    </w:p>
    <w:p w14:paraId="7D557D2B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>Dirección de Gestión Jurídica</w:t>
      </w:r>
    </w:p>
    <w:p w14:paraId="477C81FA" w14:textId="5747ECD5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>UAE-DIAN</w:t>
      </w:r>
    </w:p>
    <w:p w14:paraId="04DB96C0" w14:textId="77777777" w:rsidR="006F7AD7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>Car. 8 N° 6C-38 Piso 4, Edificio San Agustín</w:t>
      </w:r>
    </w:p>
    <w:p w14:paraId="0E9332C2" w14:textId="1C4B03C0" w:rsidR="00B54DCE" w:rsidRPr="002F33C5" w:rsidRDefault="006F7AD7" w:rsidP="002F33C5">
      <w:pPr>
        <w:pStyle w:val="Sinespaciado"/>
        <w:spacing w:line="360" w:lineRule="auto"/>
        <w:jc w:val="both"/>
        <w:rPr>
          <w:rFonts w:ascii="Times New Roman" w:hAnsi="Times New Roman" w:cs="Times New Roman"/>
        </w:rPr>
      </w:pPr>
      <w:r w:rsidRPr="002F33C5">
        <w:rPr>
          <w:rFonts w:ascii="Times New Roman" w:hAnsi="Times New Roman" w:cs="Times New Roman"/>
        </w:rPr>
        <w:t>Bogotá D.C.</w:t>
      </w:r>
    </w:p>
    <w:sectPr w:rsidR="00B54DCE" w:rsidRPr="002F33C5" w:rsidSect="006F7AD7">
      <w:type w:val="continuous"/>
      <w:pgSz w:w="12240" w:h="15840" w:code="1"/>
      <w:pgMar w:top="1701" w:right="1418" w:bottom="1701" w:left="1418" w:header="709" w:footer="1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168CD" w14:textId="77777777" w:rsidR="00CF59EA" w:rsidRDefault="00CF59EA">
      <w:r>
        <w:separator/>
      </w:r>
    </w:p>
  </w:endnote>
  <w:endnote w:type="continuationSeparator" w:id="0">
    <w:p w14:paraId="6C625430" w14:textId="77777777" w:rsidR="00CF59EA" w:rsidRDefault="00CF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10CB2" w14:textId="77777777" w:rsidR="00CF59EA" w:rsidRDefault="00CF59EA"/>
  </w:footnote>
  <w:footnote w:type="continuationSeparator" w:id="0">
    <w:p w14:paraId="4AD3AF68" w14:textId="77777777" w:rsidR="00CF59EA" w:rsidRDefault="00CF59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76A2"/>
    <w:multiLevelType w:val="multilevel"/>
    <w:tmpl w:val="EAB4AD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D27604"/>
    <w:multiLevelType w:val="hybridMultilevel"/>
    <w:tmpl w:val="9F6A1C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7DE9"/>
    <w:multiLevelType w:val="multilevel"/>
    <w:tmpl w:val="619AA6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5E3A6F"/>
    <w:multiLevelType w:val="hybridMultilevel"/>
    <w:tmpl w:val="E44840A4"/>
    <w:lvl w:ilvl="0" w:tplc="BE9A8CEC">
      <w:start w:val="1"/>
      <w:numFmt w:val="decimal"/>
      <w:lvlText w:val="%1."/>
      <w:lvlJc w:val="left"/>
      <w:pPr>
        <w:ind w:left="1068" w:hanging="360"/>
      </w:pPr>
      <w:rPr>
        <w:rFonts w:eastAsia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CE"/>
    <w:rsid w:val="002F33C5"/>
    <w:rsid w:val="006F7AD7"/>
    <w:rsid w:val="00B54DCE"/>
    <w:rsid w:val="00CF59EA"/>
    <w:rsid w:val="00D1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015B"/>
  <w15:docId w15:val="{3D0793D5-68C1-498D-AA6E-39477ACE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13">
    <w:name w:val="Cuerpo del texto (13)_"/>
    <w:basedOn w:val="Fuentedeprrafopredeter"/>
    <w:link w:val="Cuerpodeltexto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14">
    <w:name w:val="Cuerpo del texto (14)_"/>
    <w:basedOn w:val="Fuentedeprrafopredeter"/>
    <w:link w:val="Cuerpodeltexto1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uerpodeltexto14Sincursiva">
    <w:name w:val="Cuerpo del texto (14) + Sin cursiva"/>
    <w:basedOn w:val="Cuerpodeltexto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Cuerpodeltexto14Negrita">
    <w:name w:val="Cuerpo del texto (14) + Negrita"/>
    <w:basedOn w:val="Cuerpodeltexto1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Cuerpodeltexto20">
    <w:name w:val="Cuerpo del texto (20)_"/>
    <w:basedOn w:val="Fuentedeprrafopredeter"/>
    <w:link w:val="Cuerpodeltexto20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uerpodeltexto20Sinnegrita">
    <w:name w:val="Cuerpo del texto (20) + Sin negrita"/>
    <w:basedOn w:val="Cuerpodeltexto2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Cuerpodeltexto13Negrita">
    <w:name w:val="Cuerpo del texto (13) + Negrita"/>
    <w:basedOn w:val="Cuerpodeltexto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Cuerpodeltexto13NegritaCursiva">
    <w:name w:val="Cuerpo del texto (13) + Negrita;Cursiva"/>
    <w:basedOn w:val="Cuerpodeltexto1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Cuerpodeltexto13Cursiva">
    <w:name w:val="Cuerpo del texto (13) + Cursiva"/>
    <w:basedOn w:val="Cuerpodeltexto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Cuerpodeltexto131">
    <w:name w:val="Cuerpo del texto (13)"/>
    <w:basedOn w:val="Cuerpodeltexto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Cuerpodeltexto25">
    <w:name w:val="Cuerpo del texto (25)_"/>
    <w:basedOn w:val="Fuentedeprrafopredeter"/>
    <w:link w:val="Cuerpodeltexto2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uerpodeltexto27">
    <w:name w:val="Cuerpo del texto (27)_"/>
    <w:basedOn w:val="Fuentedeprrafopredeter"/>
    <w:link w:val="Cuerpodeltexto27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15">
    <w:name w:val="Cuerpo del texto (15)_"/>
    <w:basedOn w:val="Fuentedeprrafopredeter"/>
    <w:link w:val="Cuerpodeltexto1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Cuerpodeltexto130">
    <w:name w:val="Cuerpo del texto (13)"/>
    <w:basedOn w:val="Normal"/>
    <w:link w:val="Cuerpodeltexto13"/>
    <w:pPr>
      <w:shd w:val="clear" w:color="auto" w:fill="FFFFFF"/>
      <w:spacing w:after="1560" w:line="475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Cuerpodeltexto140">
    <w:name w:val="Cuerpo del texto (14)"/>
    <w:basedOn w:val="Normal"/>
    <w:link w:val="Cuerpodeltexto14"/>
    <w:pPr>
      <w:shd w:val="clear" w:color="auto" w:fill="FFFFFF"/>
      <w:spacing w:before="180" w:after="180" w:line="250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Cuerpodeltexto200">
    <w:name w:val="Cuerpo del texto (20)"/>
    <w:basedOn w:val="Normal"/>
    <w:link w:val="Cuerpodeltexto20"/>
    <w:pPr>
      <w:shd w:val="clear" w:color="auto" w:fill="FFFFFF"/>
      <w:spacing w:after="180" w:line="250" w:lineRule="exact"/>
      <w:ind w:hanging="340"/>
      <w:jc w:val="both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Cuerpodeltexto250">
    <w:name w:val="Cuerpo del texto (25)"/>
    <w:basedOn w:val="Normal"/>
    <w:link w:val="Cuerpodeltexto25"/>
    <w:pPr>
      <w:shd w:val="clear" w:color="auto" w:fill="FFFFFF"/>
      <w:spacing w:before="180" w:line="144" w:lineRule="exact"/>
      <w:jc w:val="both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Cuerpodeltexto270">
    <w:name w:val="Cuerpo del texto (27)"/>
    <w:basedOn w:val="Normal"/>
    <w:link w:val="Cuerpodeltexto27"/>
    <w:pPr>
      <w:shd w:val="clear" w:color="auto" w:fill="FFFFFF"/>
      <w:spacing w:before="120" w:line="163" w:lineRule="exact"/>
    </w:pPr>
    <w:rPr>
      <w:rFonts w:ascii="Arial" w:eastAsia="Arial" w:hAnsi="Arial" w:cs="Arial"/>
      <w:sz w:val="12"/>
      <w:szCs w:val="12"/>
    </w:rPr>
  </w:style>
  <w:style w:type="paragraph" w:customStyle="1" w:styleId="Cuerpodeltexto150">
    <w:name w:val="Cuerpo del texto (15)"/>
    <w:basedOn w:val="Normal"/>
    <w:link w:val="Cuerpodeltexto15"/>
    <w:pPr>
      <w:shd w:val="clear" w:color="auto" w:fill="FFFFFF"/>
      <w:spacing w:before="180" w:line="254" w:lineRule="exact"/>
      <w:ind w:hanging="820"/>
      <w:jc w:val="both"/>
    </w:pPr>
    <w:rPr>
      <w:rFonts w:ascii="Arial" w:eastAsia="Arial" w:hAnsi="Arial" w:cs="Arial"/>
      <w:b/>
      <w:bCs/>
      <w:sz w:val="22"/>
      <w:szCs w:val="22"/>
    </w:rPr>
  </w:style>
  <w:style w:type="paragraph" w:styleId="Sinespaciado">
    <w:name w:val="No Spacing"/>
    <w:uiPriority w:val="1"/>
    <w:qFormat/>
    <w:rsid w:val="006F7A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RMARTINQ</dc:creator>
  <cp:keywords/>
  <cp:lastModifiedBy>Guillermo Alzate Duque</cp:lastModifiedBy>
  <cp:revision>2</cp:revision>
  <dcterms:created xsi:type="dcterms:W3CDTF">2021-02-25T16:25:00Z</dcterms:created>
  <dcterms:modified xsi:type="dcterms:W3CDTF">2021-02-25T16:25:00Z</dcterms:modified>
</cp:coreProperties>
</file>