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A632B1" w14:textId="77777777" w:rsidR="000A0A6E" w:rsidRPr="000A0A6E" w:rsidRDefault="000A0A6E" w:rsidP="000A0A6E">
      <w:pPr>
        <w:spacing w:after="0" w:line="360" w:lineRule="auto"/>
        <w:jc w:val="center"/>
        <w:rPr>
          <w:rFonts w:eastAsia="Times New Roman" w:cs="Times New Roman"/>
          <w:sz w:val="32"/>
          <w:szCs w:val="32"/>
          <w:lang w:eastAsia="es-CO"/>
        </w:rPr>
      </w:pPr>
      <w:r w:rsidRPr="000A0A6E">
        <w:rPr>
          <w:rFonts w:eastAsia="Times New Roman" w:cs="Times New Roman"/>
          <w:b/>
          <w:bCs/>
          <w:sz w:val="32"/>
          <w:szCs w:val="32"/>
          <w:lang w:eastAsia="es-CO"/>
        </w:rPr>
        <w:t xml:space="preserve">OFICIO </w:t>
      </w:r>
      <w:proofErr w:type="spellStart"/>
      <w:r w:rsidRPr="000A0A6E">
        <w:rPr>
          <w:rFonts w:eastAsia="Times New Roman" w:cs="Times New Roman"/>
          <w:b/>
          <w:bCs/>
          <w:sz w:val="32"/>
          <w:szCs w:val="32"/>
          <w:lang w:eastAsia="es-CO"/>
        </w:rPr>
        <w:t>Nº</w:t>
      </w:r>
      <w:proofErr w:type="spellEnd"/>
      <w:r w:rsidRPr="000A0A6E">
        <w:rPr>
          <w:rFonts w:eastAsia="Times New Roman" w:cs="Times New Roman"/>
          <w:b/>
          <w:bCs/>
          <w:sz w:val="32"/>
          <w:szCs w:val="32"/>
          <w:lang w:eastAsia="es-CO"/>
        </w:rPr>
        <w:t xml:space="preserve"> 1472 [907000]</w:t>
      </w:r>
    </w:p>
    <w:p w14:paraId="02F36415" w14:textId="77777777" w:rsidR="000A0A6E" w:rsidRPr="000A0A6E" w:rsidRDefault="000A0A6E" w:rsidP="000A0A6E">
      <w:pPr>
        <w:spacing w:after="0" w:line="360" w:lineRule="auto"/>
        <w:jc w:val="center"/>
        <w:rPr>
          <w:rFonts w:eastAsia="Times New Roman" w:cs="Times New Roman"/>
          <w:sz w:val="32"/>
          <w:szCs w:val="32"/>
          <w:lang w:eastAsia="es-CO"/>
        </w:rPr>
      </w:pPr>
      <w:r w:rsidRPr="000A0A6E">
        <w:rPr>
          <w:rFonts w:eastAsia="Times New Roman" w:cs="Times New Roman"/>
          <w:b/>
          <w:bCs/>
          <w:sz w:val="32"/>
          <w:szCs w:val="32"/>
          <w:lang w:eastAsia="es-CO"/>
        </w:rPr>
        <w:t>11-11-2020</w:t>
      </w:r>
    </w:p>
    <w:p w14:paraId="4E531A73" w14:textId="77777777" w:rsidR="000A0A6E" w:rsidRPr="000A0A6E" w:rsidRDefault="000A0A6E" w:rsidP="000A0A6E">
      <w:pPr>
        <w:spacing w:after="0" w:line="360" w:lineRule="auto"/>
        <w:jc w:val="center"/>
        <w:rPr>
          <w:rFonts w:eastAsia="Times New Roman" w:cs="Times New Roman"/>
          <w:sz w:val="32"/>
          <w:szCs w:val="32"/>
          <w:lang w:eastAsia="es-CO"/>
        </w:rPr>
      </w:pPr>
      <w:r w:rsidRPr="000A0A6E">
        <w:rPr>
          <w:rFonts w:eastAsia="Times New Roman" w:cs="Times New Roman"/>
          <w:b/>
          <w:bCs/>
          <w:sz w:val="32"/>
          <w:szCs w:val="32"/>
          <w:lang w:eastAsia="es-CO"/>
        </w:rPr>
        <w:t>DIAN</w:t>
      </w:r>
    </w:p>
    <w:p w14:paraId="652A822E" w14:textId="77777777" w:rsidR="000A0A6E" w:rsidRPr="000A0A6E" w:rsidRDefault="000A0A6E" w:rsidP="000A0A6E">
      <w:pPr>
        <w:spacing w:after="0" w:line="360" w:lineRule="auto"/>
        <w:jc w:val="both"/>
        <w:rPr>
          <w:rFonts w:eastAsia="Times New Roman" w:cs="Times New Roman"/>
          <w:szCs w:val="24"/>
          <w:lang w:eastAsia="es-CO"/>
        </w:rPr>
      </w:pPr>
      <w:r w:rsidRPr="000A0A6E">
        <w:rPr>
          <w:rFonts w:eastAsia="Times New Roman" w:cs="Times New Roman"/>
          <w:szCs w:val="24"/>
          <w:lang w:eastAsia="es-CO"/>
        </w:rPr>
        <w:t> </w:t>
      </w:r>
    </w:p>
    <w:p w14:paraId="2AD10C7C"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30D8A87F"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Subdirección de Gestión Normativa y Doctrina</w:t>
      </w:r>
    </w:p>
    <w:p w14:paraId="02C4D380"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100208221-1472</w:t>
      </w:r>
    </w:p>
    <w:p w14:paraId="53F2944A"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Bogotá, D.C.</w:t>
      </w:r>
    </w:p>
    <w:p w14:paraId="1C2FBCF8"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5468"/>
      </w:tblGrid>
      <w:tr w:rsidR="000A0A6E" w:rsidRPr="000A0A6E" w14:paraId="385BFA32" w14:textId="77777777" w:rsidTr="000A0A6E">
        <w:tc>
          <w:tcPr>
            <w:tcW w:w="0" w:type="auto"/>
            <w:tcBorders>
              <w:top w:val="nil"/>
              <w:left w:val="nil"/>
              <w:bottom w:val="nil"/>
              <w:right w:val="nil"/>
            </w:tcBorders>
            <w:shd w:val="clear" w:color="auto" w:fill="auto"/>
            <w:tcMar>
              <w:top w:w="0" w:type="dxa"/>
              <w:left w:w="108" w:type="dxa"/>
              <w:bottom w:w="0" w:type="dxa"/>
              <w:right w:w="108" w:type="dxa"/>
            </w:tcMar>
            <w:hideMark/>
          </w:tcPr>
          <w:p w14:paraId="6E7137A7"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b/>
                <w:bCs/>
                <w:szCs w:val="24"/>
                <w:highlight w:val="green"/>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870FF67"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202BE19"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E43C150"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Retención en la fuente</w:t>
            </w:r>
          </w:p>
        </w:tc>
      </w:tr>
      <w:tr w:rsidR="000A0A6E" w:rsidRPr="000A0A6E" w14:paraId="687BD5EB" w14:textId="77777777" w:rsidTr="000A0A6E">
        <w:tc>
          <w:tcPr>
            <w:tcW w:w="0" w:type="auto"/>
            <w:tcBorders>
              <w:top w:val="nil"/>
              <w:left w:val="nil"/>
              <w:bottom w:val="nil"/>
              <w:right w:val="nil"/>
            </w:tcBorders>
            <w:shd w:val="clear" w:color="auto" w:fill="auto"/>
            <w:tcMar>
              <w:top w:w="0" w:type="dxa"/>
              <w:left w:w="108" w:type="dxa"/>
              <w:bottom w:w="0" w:type="dxa"/>
              <w:right w:w="108" w:type="dxa"/>
            </w:tcMar>
            <w:hideMark/>
          </w:tcPr>
          <w:p w14:paraId="3B9A2BCD"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b/>
                <w:bCs/>
                <w:szCs w:val="24"/>
                <w:highlight w:val="green"/>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48F36EF"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53B3209"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AFB5A7C"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Agentes de retención</w:t>
            </w:r>
          </w:p>
          <w:p w14:paraId="47CB315F"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Retención en la fuente por enajenación de activos fijos</w:t>
            </w:r>
          </w:p>
          <w:p w14:paraId="5931D9C2"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Pagos al exterior</w:t>
            </w:r>
          </w:p>
        </w:tc>
      </w:tr>
      <w:tr w:rsidR="000A0A6E" w:rsidRPr="000A0A6E" w14:paraId="22CC9BEE" w14:textId="77777777" w:rsidTr="000A0A6E">
        <w:tc>
          <w:tcPr>
            <w:tcW w:w="0" w:type="auto"/>
            <w:tcBorders>
              <w:top w:val="nil"/>
              <w:left w:val="nil"/>
              <w:bottom w:val="nil"/>
              <w:right w:val="nil"/>
            </w:tcBorders>
            <w:shd w:val="clear" w:color="auto" w:fill="auto"/>
            <w:tcMar>
              <w:top w:w="0" w:type="dxa"/>
              <w:left w:w="108" w:type="dxa"/>
              <w:bottom w:w="0" w:type="dxa"/>
              <w:right w:w="108" w:type="dxa"/>
            </w:tcMar>
            <w:hideMark/>
          </w:tcPr>
          <w:p w14:paraId="71CA8E88"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b/>
                <w:bCs/>
                <w:szCs w:val="24"/>
                <w:highlight w:val="green"/>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2CAE268"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C5C71F2"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18C134E"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Artículos </w:t>
            </w:r>
            <w:hyperlink r:id="rId4" w:tooltip="Estatuto Tributario CETA" w:history="1">
              <w:r w:rsidRPr="000A0A6E">
                <w:rPr>
                  <w:rFonts w:eastAsia="Times New Roman" w:cs="Times New Roman"/>
                  <w:color w:val="0089E1"/>
                  <w:szCs w:val="24"/>
                  <w:highlight w:val="green"/>
                  <w:u w:val="single"/>
                  <w:lang w:eastAsia="es-CO"/>
                </w:rPr>
                <w:t>401 </w:t>
              </w:r>
            </w:hyperlink>
            <w:r w:rsidRPr="000A0A6E">
              <w:rPr>
                <w:rFonts w:eastAsia="Times New Roman" w:cs="Times New Roman"/>
                <w:szCs w:val="24"/>
                <w:highlight w:val="green"/>
                <w:lang w:eastAsia="es-CO"/>
              </w:rPr>
              <w:t>y </w:t>
            </w:r>
            <w:hyperlink r:id="rId5" w:tooltip="Estatuto Tributario CETA" w:history="1">
              <w:r w:rsidRPr="000A0A6E">
                <w:rPr>
                  <w:rFonts w:eastAsia="Times New Roman" w:cs="Times New Roman"/>
                  <w:color w:val="0089E1"/>
                  <w:szCs w:val="24"/>
                  <w:highlight w:val="green"/>
                  <w:u w:val="single"/>
                  <w:lang w:eastAsia="es-CO"/>
                </w:rPr>
                <w:t>406 </w:t>
              </w:r>
            </w:hyperlink>
            <w:r w:rsidRPr="000A0A6E">
              <w:rPr>
                <w:rFonts w:eastAsia="Times New Roman" w:cs="Times New Roman"/>
                <w:szCs w:val="24"/>
                <w:highlight w:val="green"/>
                <w:lang w:eastAsia="es-CO"/>
              </w:rPr>
              <w:t>del Estatuto Tributario</w:t>
            </w:r>
          </w:p>
          <w:p w14:paraId="35CD5F45" w14:textId="77777777" w:rsidR="000A0A6E" w:rsidRPr="000A0A6E" w:rsidRDefault="000A0A6E" w:rsidP="000A0A6E">
            <w:pPr>
              <w:spacing w:after="0" w:line="360" w:lineRule="auto"/>
              <w:jc w:val="both"/>
              <w:rPr>
                <w:rFonts w:eastAsia="Times New Roman" w:cs="Times New Roman"/>
                <w:szCs w:val="24"/>
                <w:highlight w:val="green"/>
                <w:lang w:eastAsia="es-CO"/>
              </w:rPr>
            </w:pPr>
            <w:r w:rsidRPr="000A0A6E">
              <w:rPr>
                <w:rFonts w:eastAsia="Times New Roman" w:cs="Times New Roman"/>
                <w:szCs w:val="24"/>
                <w:highlight w:val="green"/>
                <w:lang w:eastAsia="es-CO"/>
              </w:rPr>
              <w:t xml:space="preserve">Oficio DIAN </w:t>
            </w:r>
            <w:proofErr w:type="spellStart"/>
            <w:r w:rsidRPr="000A0A6E">
              <w:rPr>
                <w:rFonts w:eastAsia="Times New Roman" w:cs="Times New Roman"/>
                <w:szCs w:val="24"/>
                <w:highlight w:val="green"/>
                <w:lang w:eastAsia="es-CO"/>
              </w:rPr>
              <w:t>N°</w:t>
            </w:r>
            <w:proofErr w:type="spellEnd"/>
            <w:r w:rsidRPr="000A0A6E">
              <w:rPr>
                <w:rFonts w:eastAsia="Times New Roman" w:cs="Times New Roman"/>
                <w:szCs w:val="24"/>
                <w:highlight w:val="green"/>
                <w:lang w:eastAsia="es-CO"/>
              </w:rPr>
              <w:t xml:space="preserve"> 004860 de 2019</w:t>
            </w:r>
          </w:p>
        </w:tc>
      </w:tr>
    </w:tbl>
    <w:p w14:paraId="1E86C657"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3373B905"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798DBE3E"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Cordial saludo,</w:t>
      </w:r>
    </w:p>
    <w:p w14:paraId="4DC85106"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18D940CD"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6197C858"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16EDC9F0"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Mediante el radicado de la referencia, el peticionario consulta textualmente:</w:t>
      </w:r>
    </w:p>
    <w:p w14:paraId="3B68BA3B"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i/>
          <w:iCs/>
          <w:color w:val="000000"/>
          <w:szCs w:val="24"/>
          <w:lang w:eastAsia="es-CO"/>
        </w:rPr>
        <w:t> </w:t>
      </w:r>
    </w:p>
    <w:p w14:paraId="3BBD2C32"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 se otorgó una escritura de venta de un inmueble que constituye activo fijo para la parte vendedora. Persona natural a una persona jurídica (entidad financiera).</w:t>
      </w:r>
    </w:p>
    <w:p w14:paraId="63554DEF"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 </w:t>
      </w:r>
    </w:p>
    <w:p w14:paraId="5A9BA682"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En cumplimiento del </w:t>
      </w:r>
      <w:hyperlink r:id="rId6" w:tooltip="Estatuto Tributario CETA" w:history="1">
        <w:r w:rsidRPr="000A0A6E">
          <w:rPr>
            <w:rFonts w:eastAsia="Times New Roman" w:cs="Times New Roman"/>
            <w:i/>
            <w:iCs/>
            <w:color w:val="0089E1"/>
            <w:szCs w:val="24"/>
            <w:u w:val="single"/>
            <w:lang w:eastAsia="es-CO"/>
          </w:rPr>
          <w:t>Artículo 398</w:t>
        </w:r>
      </w:hyperlink>
      <w:r w:rsidRPr="000A0A6E">
        <w:rPr>
          <w:rFonts w:eastAsia="Times New Roman" w:cs="Times New Roman"/>
          <w:i/>
          <w:iCs/>
          <w:color w:val="000000"/>
          <w:szCs w:val="24"/>
          <w:lang w:eastAsia="es-CO"/>
        </w:rPr>
        <w:t> del E.T. el Notario practicó la retención en la fuente.</w:t>
      </w:r>
    </w:p>
    <w:p w14:paraId="204FBD84"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 </w:t>
      </w:r>
    </w:p>
    <w:p w14:paraId="2E264732"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Una vez autorizada la escritura Pública la parte vendedora solicita al Notario la devolución de la retención en la fuente practicada, argumentando que (…) es persona natural </w:t>
      </w:r>
      <w:r w:rsidRPr="000A0A6E">
        <w:rPr>
          <w:rFonts w:eastAsia="Times New Roman" w:cs="Times New Roman"/>
          <w:i/>
          <w:iCs/>
          <w:color w:val="000000"/>
          <w:szCs w:val="24"/>
          <w:u w:val="single"/>
          <w:lang w:eastAsia="es-CO"/>
        </w:rPr>
        <w:t>residente fiscal en el exterior</w:t>
      </w:r>
      <w:r w:rsidRPr="000A0A6E">
        <w:rPr>
          <w:rFonts w:eastAsia="Times New Roman" w:cs="Times New Roman"/>
          <w:i/>
          <w:iCs/>
          <w:color w:val="000000"/>
          <w:szCs w:val="24"/>
          <w:lang w:eastAsia="es-CO"/>
        </w:rPr>
        <w:t> y que en consecuencia quien debía practicar la retención es la persona jurídica.</w:t>
      </w:r>
    </w:p>
    <w:p w14:paraId="0D8625A1"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w:t>
      </w:r>
    </w:p>
    <w:p w14:paraId="6E5E4A82"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b/>
          <w:bCs/>
          <w:i/>
          <w:iCs/>
          <w:color w:val="000000"/>
          <w:szCs w:val="24"/>
          <w:lang w:eastAsia="es-CO"/>
        </w:rPr>
        <w:t> </w:t>
      </w:r>
    </w:p>
    <w:p w14:paraId="325D3FD5"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b/>
          <w:bCs/>
          <w:i/>
          <w:iCs/>
          <w:color w:val="000000"/>
          <w:szCs w:val="24"/>
          <w:lang w:eastAsia="es-CO"/>
        </w:rPr>
        <w:lastRenderedPageBreak/>
        <w:t>La circunstancia de ser residente fiscal en el exterior (…) exime al vendedor del pago de la retención en la fuente y el Notario debe abstenerse de practicarla?</w:t>
      </w:r>
      <w:r w:rsidRPr="000A0A6E">
        <w:rPr>
          <w:rFonts w:eastAsia="Times New Roman" w:cs="Times New Roman"/>
          <w:i/>
          <w:iCs/>
          <w:color w:val="000000"/>
          <w:szCs w:val="24"/>
          <w:lang w:eastAsia="es-CO"/>
        </w:rPr>
        <w:t>” </w:t>
      </w:r>
      <w:r w:rsidRPr="000A0A6E">
        <w:rPr>
          <w:rFonts w:eastAsia="Times New Roman" w:cs="Times New Roman"/>
          <w:color w:val="000000"/>
          <w:szCs w:val="24"/>
          <w:lang w:eastAsia="es-CO"/>
        </w:rPr>
        <w:t>(resaltado fuera de texto).</w:t>
      </w:r>
    </w:p>
    <w:p w14:paraId="3E66A9B8"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0389BB6F"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Sobre el particular, las consideraciones de este Despacho son las siguientes:</w:t>
      </w:r>
    </w:p>
    <w:p w14:paraId="55E83EA8"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49B888C0"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xml:space="preserve">Por medio del Oficio </w:t>
      </w:r>
      <w:proofErr w:type="spellStart"/>
      <w:r w:rsidRPr="000A0A6E">
        <w:rPr>
          <w:rFonts w:eastAsia="Times New Roman" w:cs="Times New Roman"/>
          <w:color w:val="000000"/>
          <w:szCs w:val="24"/>
          <w:lang w:eastAsia="es-CO"/>
        </w:rPr>
        <w:t>N°</w:t>
      </w:r>
      <w:proofErr w:type="spellEnd"/>
      <w:r w:rsidRPr="000A0A6E">
        <w:rPr>
          <w:rFonts w:eastAsia="Times New Roman" w:cs="Times New Roman"/>
          <w:color w:val="000000"/>
          <w:szCs w:val="24"/>
          <w:lang w:eastAsia="es-CO"/>
        </w:rPr>
        <w:t xml:space="preserve"> 004860 del 27 de febrero de 2019 fueron objeto de exposición las reglas y presupuestos sobre la aplicación de la retención en la fuente a título del impuesto sobre la renta en lo que atañe a la enajenación de un inmueble realizada por una persona natural a una persona jurídica; pronunciamiento del cual, sea de aclarar que las tesis jurídicas desarrolladas en el mismo se encuentran vigentes a la fecha.</w:t>
      </w:r>
    </w:p>
    <w:p w14:paraId="4762FFCC"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3BFC0AFA"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Esto por cuanto, si bien este pronunciamiento tuvo en cuenta el parágrafo del </w:t>
      </w:r>
      <w:hyperlink r:id="rId7" w:tooltip="Estatuto Tributario CETA" w:history="1">
        <w:r w:rsidRPr="000A0A6E">
          <w:rPr>
            <w:rFonts w:eastAsia="Times New Roman" w:cs="Times New Roman"/>
            <w:color w:val="0089E1"/>
            <w:szCs w:val="24"/>
            <w:u w:val="single"/>
            <w:lang w:eastAsia="es-CO"/>
          </w:rPr>
          <w:t>artículo 401</w:t>
        </w:r>
      </w:hyperlink>
      <w:r w:rsidRPr="000A0A6E">
        <w:rPr>
          <w:rFonts w:eastAsia="Times New Roman" w:cs="Times New Roman"/>
          <w:color w:val="000000"/>
          <w:szCs w:val="24"/>
          <w:lang w:eastAsia="es-CO"/>
        </w:rPr>
        <w:t xml:space="preserve"> del Estatuto Tributario, adicionado en su momento por el artículo 57 de la Ley 1943 de 2018, la redacción </w:t>
      </w:r>
      <w:proofErr w:type="gramStart"/>
      <w:r w:rsidRPr="000A0A6E">
        <w:rPr>
          <w:rFonts w:eastAsia="Times New Roman" w:cs="Times New Roman"/>
          <w:color w:val="000000"/>
          <w:szCs w:val="24"/>
          <w:lang w:eastAsia="es-CO"/>
        </w:rPr>
        <w:t>del mismo</w:t>
      </w:r>
      <w:proofErr w:type="gramEnd"/>
      <w:r w:rsidRPr="000A0A6E">
        <w:rPr>
          <w:rFonts w:eastAsia="Times New Roman" w:cs="Times New Roman"/>
          <w:color w:val="000000"/>
          <w:szCs w:val="24"/>
          <w:lang w:eastAsia="es-CO"/>
        </w:rPr>
        <w:t xml:space="preserve"> se mantuvo intacta con la modificación realizada por el artículo 65 de la Ley 2010 de 2019.</w:t>
      </w:r>
    </w:p>
    <w:p w14:paraId="4F3DF8CE"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177EC477"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xml:space="preserve">Así las cosas y continuando con el respectivo análisis, en el mencionado Oficio </w:t>
      </w:r>
      <w:proofErr w:type="spellStart"/>
      <w:r w:rsidRPr="000A0A6E">
        <w:rPr>
          <w:rFonts w:eastAsia="Times New Roman" w:cs="Times New Roman"/>
          <w:color w:val="000000"/>
          <w:szCs w:val="24"/>
          <w:lang w:eastAsia="es-CO"/>
        </w:rPr>
        <w:t>N°</w:t>
      </w:r>
      <w:proofErr w:type="spellEnd"/>
      <w:r w:rsidRPr="000A0A6E">
        <w:rPr>
          <w:rFonts w:eastAsia="Times New Roman" w:cs="Times New Roman"/>
          <w:color w:val="000000"/>
          <w:szCs w:val="24"/>
          <w:lang w:eastAsia="es-CO"/>
        </w:rPr>
        <w:t xml:space="preserve"> 004860 se precisó que, tratándose de enajenaciones celebradas entre una persona natural – en su calidad de vendedora – y una persona jurídica – en su calidad de compradora – procedía la retención en la fuente a título del impuesto sobre la renta de que trata el </w:t>
      </w:r>
      <w:hyperlink r:id="rId8" w:tooltip="Estatuto Tributario CETA" w:history="1">
        <w:r w:rsidRPr="000A0A6E">
          <w:rPr>
            <w:rFonts w:eastAsia="Times New Roman" w:cs="Times New Roman"/>
            <w:color w:val="0089E1"/>
            <w:szCs w:val="24"/>
            <w:u w:val="single"/>
            <w:lang w:eastAsia="es-CO"/>
          </w:rPr>
          <w:t>artículo 398</w:t>
        </w:r>
      </w:hyperlink>
      <w:r w:rsidRPr="000A0A6E">
        <w:rPr>
          <w:rFonts w:eastAsia="Times New Roman" w:cs="Times New Roman"/>
          <w:color w:val="000000"/>
          <w:szCs w:val="24"/>
          <w:lang w:eastAsia="es-CO"/>
        </w:rPr>
        <w:t> del Estatuto Tributario, en lugar de la plasmada en el </w:t>
      </w:r>
      <w:hyperlink r:id="rId9" w:tooltip="Estatuto Tributario CETA" w:history="1">
        <w:r w:rsidRPr="000A0A6E">
          <w:rPr>
            <w:rFonts w:eastAsia="Times New Roman" w:cs="Times New Roman"/>
            <w:color w:val="0089E1"/>
            <w:szCs w:val="24"/>
            <w:u w:val="single"/>
            <w:lang w:eastAsia="es-CO"/>
          </w:rPr>
          <w:t>artículo 401</w:t>
        </w:r>
      </w:hyperlink>
      <w:r w:rsidRPr="000A0A6E">
        <w:rPr>
          <w:rFonts w:eastAsia="Times New Roman" w:cs="Times New Roman"/>
          <w:color w:val="000000"/>
          <w:szCs w:val="24"/>
          <w:lang w:eastAsia="es-CO"/>
        </w:rPr>
        <w:t> </w:t>
      </w:r>
      <w:proofErr w:type="spellStart"/>
      <w:r w:rsidRPr="000A0A6E">
        <w:rPr>
          <w:rFonts w:eastAsia="Times New Roman" w:cs="Times New Roman"/>
          <w:i/>
          <w:iCs/>
          <w:color w:val="000000"/>
          <w:szCs w:val="24"/>
          <w:lang w:eastAsia="es-CO"/>
        </w:rPr>
        <w:t>ibídem</w:t>
      </w:r>
      <w:proofErr w:type="spellEnd"/>
      <w:r w:rsidRPr="000A0A6E">
        <w:rPr>
          <w:rFonts w:eastAsia="Times New Roman" w:cs="Times New Roman"/>
          <w:color w:val="000000"/>
          <w:szCs w:val="24"/>
          <w:lang w:eastAsia="es-CO"/>
        </w:rPr>
        <w:t>, así:</w:t>
      </w:r>
    </w:p>
    <w:p w14:paraId="7543C399"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i/>
          <w:iCs/>
          <w:color w:val="000000"/>
          <w:szCs w:val="24"/>
          <w:lang w:eastAsia="es-CO"/>
        </w:rPr>
        <w:t> </w:t>
      </w:r>
    </w:p>
    <w:p w14:paraId="43B3B187"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“Se considera que este caso no hay lugar a la aplicación del </w:t>
      </w:r>
      <w:hyperlink r:id="rId10" w:tooltip="Estatuto Tributario CETA" w:history="1">
        <w:r w:rsidRPr="000A0A6E">
          <w:rPr>
            <w:rFonts w:eastAsia="Times New Roman" w:cs="Times New Roman"/>
            <w:i/>
            <w:iCs/>
            <w:color w:val="0089E1"/>
            <w:szCs w:val="24"/>
            <w:u w:val="single"/>
            <w:lang w:eastAsia="es-CO"/>
          </w:rPr>
          <w:t>artículo 401</w:t>
        </w:r>
      </w:hyperlink>
      <w:r w:rsidRPr="000A0A6E">
        <w:rPr>
          <w:rFonts w:eastAsia="Times New Roman" w:cs="Times New Roman"/>
          <w:i/>
          <w:iCs/>
          <w:color w:val="000000"/>
          <w:szCs w:val="24"/>
          <w:lang w:eastAsia="es-CO"/>
        </w:rPr>
        <w:t> y su parágrafo, pues esta norma regula lo concerniente a la retención por otros ingresos tributarios, aspecto que no puede perderse de vista y </w:t>
      </w:r>
      <w:r w:rsidRPr="000A0A6E">
        <w:rPr>
          <w:rFonts w:eastAsia="Times New Roman" w:cs="Times New Roman"/>
          <w:b/>
          <w:bCs/>
          <w:i/>
          <w:iCs/>
          <w:color w:val="000000"/>
          <w:szCs w:val="24"/>
          <w:lang w:eastAsia="es-CO"/>
        </w:rPr>
        <w:t>dada la especialidad del mencionado </w:t>
      </w:r>
      <w:hyperlink r:id="rId11" w:tooltip="Estatuto Tributario CETA" w:history="1">
        <w:r w:rsidRPr="000A0A6E">
          <w:rPr>
            <w:rFonts w:eastAsia="Times New Roman" w:cs="Times New Roman"/>
            <w:b/>
            <w:bCs/>
            <w:i/>
            <w:iCs/>
            <w:color w:val="0089E1"/>
            <w:szCs w:val="24"/>
            <w:u w:val="single"/>
            <w:lang w:eastAsia="es-CO"/>
          </w:rPr>
          <w:t>artículo 398</w:t>
        </w:r>
      </w:hyperlink>
      <w:r w:rsidRPr="000A0A6E">
        <w:rPr>
          <w:rFonts w:eastAsia="Times New Roman" w:cs="Times New Roman"/>
          <w:b/>
          <w:bCs/>
          <w:i/>
          <w:iCs/>
          <w:color w:val="000000"/>
          <w:szCs w:val="24"/>
          <w:lang w:eastAsia="es-CO"/>
        </w:rPr>
        <w:t>, se concluye que este concepto prima y debe emplearse</w:t>
      </w:r>
      <w:r w:rsidRPr="000A0A6E">
        <w:rPr>
          <w:rFonts w:eastAsia="Times New Roman" w:cs="Times New Roman"/>
          <w:i/>
          <w:iCs/>
          <w:color w:val="000000"/>
          <w:szCs w:val="24"/>
          <w:lang w:eastAsia="es-CO"/>
        </w:rPr>
        <w:t>.” </w:t>
      </w:r>
      <w:r w:rsidRPr="000A0A6E">
        <w:rPr>
          <w:rFonts w:eastAsia="Times New Roman" w:cs="Times New Roman"/>
          <w:color w:val="000000"/>
          <w:szCs w:val="24"/>
          <w:lang w:eastAsia="es-CO"/>
        </w:rPr>
        <w:t>(resaltado fuera de texto).</w:t>
      </w:r>
    </w:p>
    <w:p w14:paraId="5FAE6614"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408EE588"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No obstante, y sin perjuicio de lo anterior, la situación consultada difiere de la hipótesis reseñada y analizada previamente, ya que, al ser el vendedor de un inmueble – ubicado en el territorio nacional (cfr. </w:t>
      </w:r>
      <w:hyperlink r:id="rId12" w:tooltip="Estatuto Tributario CETA" w:history="1">
        <w:r w:rsidRPr="000A0A6E">
          <w:rPr>
            <w:rFonts w:eastAsia="Times New Roman" w:cs="Times New Roman"/>
            <w:color w:val="0089E1"/>
            <w:szCs w:val="24"/>
            <w:u w:val="single"/>
            <w:lang w:eastAsia="es-CO"/>
          </w:rPr>
          <w:t>artículo 24</w:t>
        </w:r>
      </w:hyperlink>
      <w:r w:rsidRPr="000A0A6E">
        <w:rPr>
          <w:rFonts w:eastAsia="Times New Roman" w:cs="Times New Roman"/>
          <w:color w:val="000000"/>
          <w:szCs w:val="24"/>
          <w:lang w:eastAsia="es-CO"/>
        </w:rPr>
        <w:t> del Estatuto Tributario) – una persona natural residente fiscal en el exterior, procede dar aplicación al régimen de pagos al exterior previsto en los artículos </w:t>
      </w:r>
      <w:hyperlink r:id="rId13" w:tooltip="Estatuto Tributario CETA" w:history="1">
        <w:r w:rsidRPr="000A0A6E">
          <w:rPr>
            <w:rFonts w:eastAsia="Times New Roman" w:cs="Times New Roman"/>
            <w:color w:val="0089E1"/>
            <w:szCs w:val="24"/>
            <w:u w:val="single"/>
            <w:lang w:eastAsia="es-CO"/>
          </w:rPr>
          <w:t>406 </w:t>
        </w:r>
      </w:hyperlink>
      <w:r w:rsidRPr="000A0A6E">
        <w:rPr>
          <w:rFonts w:eastAsia="Times New Roman" w:cs="Times New Roman"/>
          <w:color w:val="000000"/>
          <w:szCs w:val="24"/>
          <w:lang w:eastAsia="es-CO"/>
        </w:rPr>
        <w:t>y siguientes del Estatuto Tributario, atendiendo precisamente a su carácter de especialidad.</w:t>
      </w:r>
    </w:p>
    <w:p w14:paraId="45086B32"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6F05405E"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En efecto, el </w:t>
      </w:r>
      <w:hyperlink r:id="rId14" w:tooltip="Estatuto Tributario CETA" w:history="1">
        <w:r w:rsidRPr="000A0A6E">
          <w:rPr>
            <w:rFonts w:eastAsia="Times New Roman" w:cs="Times New Roman"/>
            <w:color w:val="0089E1"/>
            <w:szCs w:val="24"/>
            <w:u w:val="single"/>
            <w:lang w:eastAsia="es-CO"/>
          </w:rPr>
          <w:t>artículo 406</w:t>
        </w:r>
      </w:hyperlink>
      <w:r w:rsidRPr="000A0A6E">
        <w:rPr>
          <w:rFonts w:eastAsia="Times New Roman" w:cs="Times New Roman"/>
          <w:color w:val="000000"/>
          <w:szCs w:val="24"/>
          <w:lang w:eastAsia="es-CO"/>
        </w:rPr>
        <w:t> </w:t>
      </w:r>
      <w:proofErr w:type="spellStart"/>
      <w:r w:rsidRPr="000A0A6E">
        <w:rPr>
          <w:rFonts w:eastAsia="Times New Roman" w:cs="Times New Roman"/>
          <w:i/>
          <w:iCs/>
          <w:color w:val="000000"/>
          <w:szCs w:val="24"/>
          <w:lang w:eastAsia="es-CO"/>
        </w:rPr>
        <w:t>ibídem</w:t>
      </w:r>
      <w:proofErr w:type="spellEnd"/>
      <w:r w:rsidRPr="000A0A6E">
        <w:rPr>
          <w:rFonts w:eastAsia="Times New Roman" w:cs="Times New Roman"/>
          <w:i/>
          <w:iCs/>
          <w:color w:val="000000"/>
          <w:szCs w:val="24"/>
          <w:lang w:eastAsia="es-CO"/>
        </w:rPr>
        <w:t> </w:t>
      </w:r>
      <w:r w:rsidRPr="000A0A6E">
        <w:rPr>
          <w:rFonts w:eastAsia="Times New Roman" w:cs="Times New Roman"/>
          <w:color w:val="000000"/>
          <w:szCs w:val="24"/>
          <w:lang w:eastAsia="es-CO"/>
        </w:rPr>
        <w:t>establece que deberán retener a título del impuesto sobre la renta, quienes hagan pagos o abonos en cuenta por concepto de rentas sujetas a impuesto en Colombia a favor de </w:t>
      </w:r>
      <w:r w:rsidRPr="000A0A6E">
        <w:rPr>
          <w:rFonts w:eastAsia="Times New Roman" w:cs="Times New Roman"/>
          <w:i/>
          <w:iCs/>
          <w:color w:val="000000"/>
          <w:szCs w:val="24"/>
          <w:lang w:eastAsia="es-CO"/>
        </w:rPr>
        <w:t>“Personas naturales extranjeras sin residencia en Colombia”</w:t>
      </w:r>
      <w:r w:rsidRPr="000A0A6E">
        <w:rPr>
          <w:rFonts w:eastAsia="Times New Roman" w:cs="Times New Roman"/>
          <w:color w:val="000000"/>
          <w:szCs w:val="24"/>
          <w:lang w:eastAsia="es-CO"/>
        </w:rPr>
        <w:t>, entre otros casos.</w:t>
      </w:r>
    </w:p>
    <w:p w14:paraId="378342DF"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41A92E11" w14:textId="77777777" w:rsidR="000A0A6E" w:rsidRPr="000A0A6E" w:rsidRDefault="000A0A6E" w:rsidP="000A0A6E">
      <w:pPr>
        <w:spacing w:after="0" w:line="360" w:lineRule="auto"/>
        <w:jc w:val="both"/>
        <w:rPr>
          <w:rFonts w:eastAsia="Times New Roman" w:cs="Times New Roman"/>
          <w:color w:val="000000"/>
          <w:sz w:val="32"/>
          <w:szCs w:val="32"/>
          <w:highlight w:val="green"/>
          <w:lang w:eastAsia="es-CO"/>
        </w:rPr>
      </w:pPr>
      <w:r w:rsidRPr="000A0A6E">
        <w:rPr>
          <w:rFonts w:eastAsia="Times New Roman" w:cs="Times New Roman"/>
          <w:color w:val="000000"/>
          <w:sz w:val="32"/>
          <w:szCs w:val="32"/>
          <w:highlight w:val="cyan"/>
          <w:lang w:eastAsia="es-CO"/>
        </w:rPr>
        <w:t xml:space="preserve">De acuerdo con lo contemplado en el régimen de pagos al exterior, y con base a los supuestos planteados, </w:t>
      </w:r>
      <w:r w:rsidRPr="000A0A6E">
        <w:rPr>
          <w:rFonts w:eastAsia="Times New Roman" w:cs="Times New Roman"/>
          <w:color w:val="000000"/>
          <w:sz w:val="32"/>
          <w:szCs w:val="32"/>
          <w:highlight w:val="green"/>
          <w:lang w:eastAsia="es-CO"/>
        </w:rPr>
        <w:t xml:space="preserve">se deberá atender a la tarifa de retención </w:t>
      </w:r>
      <w:r w:rsidRPr="000A0A6E">
        <w:rPr>
          <w:rFonts w:eastAsia="Times New Roman" w:cs="Times New Roman"/>
          <w:color w:val="000000"/>
          <w:sz w:val="32"/>
          <w:szCs w:val="32"/>
          <w:highlight w:val="green"/>
          <w:lang w:eastAsia="es-CO"/>
        </w:rPr>
        <w:lastRenderedPageBreak/>
        <w:t xml:space="preserve">en la fuente prevista en </w:t>
      </w:r>
      <w:r w:rsidRPr="000A0A6E">
        <w:rPr>
          <w:rFonts w:eastAsia="Times New Roman" w:cs="Times New Roman"/>
          <w:color w:val="000000"/>
          <w:sz w:val="32"/>
          <w:szCs w:val="32"/>
          <w:highlight w:val="yellow"/>
          <w:lang w:eastAsia="es-CO"/>
        </w:rPr>
        <w:t>el </w:t>
      </w:r>
      <w:hyperlink r:id="rId15" w:tooltip="Estatuto Tributario CETA" w:history="1">
        <w:r w:rsidRPr="000A0A6E">
          <w:rPr>
            <w:rFonts w:eastAsia="Times New Roman" w:cs="Times New Roman"/>
            <w:color w:val="0089E1"/>
            <w:sz w:val="32"/>
            <w:szCs w:val="32"/>
            <w:highlight w:val="yellow"/>
            <w:u w:val="single"/>
            <w:lang w:eastAsia="es-CO"/>
          </w:rPr>
          <w:t>artículo 415</w:t>
        </w:r>
      </w:hyperlink>
      <w:r w:rsidRPr="000A0A6E">
        <w:rPr>
          <w:rFonts w:eastAsia="Times New Roman" w:cs="Times New Roman"/>
          <w:color w:val="000000"/>
          <w:sz w:val="32"/>
          <w:szCs w:val="32"/>
          <w:highlight w:val="green"/>
          <w:lang w:eastAsia="es-CO"/>
        </w:rPr>
        <w:t> del Estatuto Tributario, según corresponda.</w:t>
      </w:r>
    </w:p>
    <w:p w14:paraId="12591FD7" w14:textId="77777777" w:rsidR="000A0A6E" w:rsidRPr="000A0A6E" w:rsidRDefault="000A0A6E" w:rsidP="000A0A6E">
      <w:pPr>
        <w:spacing w:after="0" w:line="360" w:lineRule="auto"/>
        <w:jc w:val="both"/>
        <w:rPr>
          <w:rFonts w:eastAsia="Times New Roman" w:cs="Times New Roman"/>
          <w:color w:val="000000"/>
          <w:sz w:val="32"/>
          <w:szCs w:val="32"/>
          <w:highlight w:val="cyan"/>
          <w:lang w:eastAsia="es-CO"/>
        </w:rPr>
      </w:pPr>
      <w:r w:rsidRPr="000A0A6E">
        <w:rPr>
          <w:rFonts w:eastAsia="Times New Roman" w:cs="Times New Roman"/>
          <w:color w:val="000000"/>
          <w:sz w:val="32"/>
          <w:szCs w:val="32"/>
          <w:highlight w:val="cyan"/>
          <w:lang w:eastAsia="es-CO"/>
        </w:rPr>
        <w:t> </w:t>
      </w:r>
    </w:p>
    <w:p w14:paraId="00273089" w14:textId="77777777" w:rsidR="000A0A6E" w:rsidRPr="000A0A6E" w:rsidRDefault="000A0A6E" w:rsidP="000A0A6E">
      <w:pPr>
        <w:spacing w:after="0" w:line="360" w:lineRule="auto"/>
        <w:jc w:val="both"/>
        <w:rPr>
          <w:rFonts w:eastAsia="Times New Roman" w:cs="Times New Roman"/>
          <w:color w:val="000000"/>
          <w:sz w:val="32"/>
          <w:szCs w:val="32"/>
          <w:highlight w:val="cyan"/>
          <w:lang w:eastAsia="es-CO"/>
        </w:rPr>
      </w:pPr>
      <w:r w:rsidRPr="000A0A6E">
        <w:rPr>
          <w:rFonts w:eastAsia="Times New Roman" w:cs="Times New Roman"/>
          <w:color w:val="000000"/>
          <w:sz w:val="32"/>
          <w:szCs w:val="32"/>
          <w:highlight w:val="cyan"/>
          <w:lang w:eastAsia="es-CO"/>
        </w:rPr>
        <w:t xml:space="preserve">En efecto, es importante señalar que la tesis aquí planteada ha sido desarrollada por este Despacho en anteriores oportunidades, v.gr. en el Oficio </w:t>
      </w:r>
      <w:proofErr w:type="spellStart"/>
      <w:r w:rsidRPr="000A0A6E">
        <w:rPr>
          <w:rFonts w:eastAsia="Times New Roman" w:cs="Times New Roman"/>
          <w:color w:val="000000"/>
          <w:sz w:val="32"/>
          <w:szCs w:val="32"/>
          <w:highlight w:val="cyan"/>
          <w:lang w:eastAsia="es-CO"/>
        </w:rPr>
        <w:t>N°</w:t>
      </w:r>
      <w:proofErr w:type="spellEnd"/>
      <w:r w:rsidRPr="000A0A6E">
        <w:rPr>
          <w:rFonts w:eastAsia="Times New Roman" w:cs="Times New Roman"/>
          <w:color w:val="000000"/>
          <w:sz w:val="32"/>
          <w:szCs w:val="32"/>
          <w:highlight w:val="cyan"/>
          <w:lang w:eastAsia="es-CO"/>
        </w:rPr>
        <w:t xml:space="preserve"> 000287 del 6 de marzo de 2018, en el cual se analizó un caso similar – a saber, la venta de un inmueble ubicado en Colombia por parte de una sociedad extranjera –, concluyéndose:</w:t>
      </w:r>
    </w:p>
    <w:p w14:paraId="7A7D986F" w14:textId="77777777" w:rsidR="000A0A6E" w:rsidRPr="000A0A6E" w:rsidRDefault="000A0A6E" w:rsidP="000A0A6E">
      <w:pPr>
        <w:spacing w:after="0" w:line="360" w:lineRule="auto"/>
        <w:jc w:val="both"/>
        <w:rPr>
          <w:rFonts w:eastAsia="Times New Roman" w:cs="Times New Roman"/>
          <w:color w:val="000000"/>
          <w:sz w:val="32"/>
          <w:szCs w:val="32"/>
          <w:highlight w:val="cyan"/>
          <w:lang w:eastAsia="es-CO"/>
        </w:rPr>
      </w:pPr>
      <w:r w:rsidRPr="000A0A6E">
        <w:rPr>
          <w:rFonts w:eastAsia="Times New Roman" w:cs="Times New Roman"/>
          <w:i/>
          <w:iCs/>
          <w:color w:val="000000"/>
          <w:sz w:val="32"/>
          <w:szCs w:val="32"/>
          <w:highlight w:val="cyan"/>
          <w:lang w:eastAsia="es-CO"/>
        </w:rPr>
        <w:t> </w:t>
      </w:r>
    </w:p>
    <w:p w14:paraId="3F4DE205" w14:textId="77777777" w:rsidR="000A0A6E" w:rsidRPr="000A0A6E" w:rsidRDefault="000A0A6E" w:rsidP="000A0A6E">
      <w:pPr>
        <w:spacing w:after="0" w:line="360" w:lineRule="auto"/>
        <w:ind w:left="284"/>
        <w:jc w:val="both"/>
        <w:rPr>
          <w:rFonts w:eastAsia="Times New Roman" w:cs="Times New Roman"/>
          <w:color w:val="000000"/>
          <w:sz w:val="32"/>
          <w:szCs w:val="32"/>
          <w:highlight w:val="cyan"/>
          <w:lang w:eastAsia="es-CO"/>
        </w:rPr>
      </w:pPr>
      <w:r w:rsidRPr="000A0A6E">
        <w:rPr>
          <w:rFonts w:eastAsia="Times New Roman" w:cs="Times New Roman"/>
          <w:i/>
          <w:iCs/>
          <w:color w:val="000000"/>
          <w:sz w:val="32"/>
          <w:szCs w:val="32"/>
          <w:highlight w:val="cyan"/>
          <w:lang w:eastAsia="es-CO"/>
        </w:rPr>
        <w:t>“(…) el </w:t>
      </w:r>
      <w:hyperlink r:id="rId16" w:tooltip="Estatuto Tributario CETA" w:history="1">
        <w:r w:rsidRPr="000A0A6E">
          <w:rPr>
            <w:rFonts w:eastAsia="Times New Roman" w:cs="Times New Roman"/>
            <w:i/>
            <w:iCs/>
            <w:color w:val="0089E1"/>
            <w:sz w:val="32"/>
            <w:szCs w:val="32"/>
            <w:highlight w:val="cyan"/>
            <w:u w:val="single"/>
            <w:lang w:eastAsia="es-CO"/>
          </w:rPr>
          <w:t>artículo 406</w:t>
        </w:r>
      </w:hyperlink>
      <w:r w:rsidRPr="000A0A6E">
        <w:rPr>
          <w:rFonts w:eastAsia="Times New Roman" w:cs="Times New Roman"/>
          <w:i/>
          <w:iCs/>
          <w:color w:val="000000"/>
          <w:sz w:val="32"/>
          <w:szCs w:val="32"/>
          <w:highlight w:val="cyan"/>
          <w:lang w:eastAsia="es-CO"/>
        </w:rPr>
        <w:t> del Estatuto Tributario establece los casos en los que se debe efectuar retención en la fuente a título de impuesto sobre la renta por pagos efectuados a entidades extranjeras (…)</w:t>
      </w:r>
    </w:p>
    <w:p w14:paraId="29E4C03F" w14:textId="77777777" w:rsidR="000A0A6E" w:rsidRPr="000A0A6E" w:rsidRDefault="000A0A6E" w:rsidP="000A0A6E">
      <w:pPr>
        <w:spacing w:after="0" w:line="360" w:lineRule="auto"/>
        <w:ind w:left="284"/>
        <w:jc w:val="both"/>
        <w:rPr>
          <w:rFonts w:eastAsia="Times New Roman" w:cs="Times New Roman"/>
          <w:color w:val="000000"/>
          <w:sz w:val="32"/>
          <w:szCs w:val="32"/>
          <w:highlight w:val="cyan"/>
          <w:lang w:eastAsia="es-CO"/>
        </w:rPr>
      </w:pPr>
      <w:r w:rsidRPr="000A0A6E">
        <w:rPr>
          <w:rFonts w:eastAsia="Times New Roman" w:cs="Times New Roman"/>
          <w:i/>
          <w:iCs/>
          <w:color w:val="000000"/>
          <w:sz w:val="32"/>
          <w:szCs w:val="32"/>
          <w:highlight w:val="cyan"/>
          <w:lang w:eastAsia="es-CO"/>
        </w:rPr>
        <w:t> </w:t>
      </w:r>
    </w:p>
    <w:p w14:paraId="47AFEFFA" w14:textId="77777777" w:rsidR="000A0A6E" w:rsidRPr="000A0A6E" w:rsidRDefault="000A0A6E" w:rsidP="000A0A6E">
      <w:pPr>
        <w:spacing w:after="0" w:line="360" w:lineRule="auto"/>
        <w:ind w:left="284"/>
        <w:jc w:val="both"/>
        <w:rPr>
          <w:rFonts w:eastAsia="Times New Roman" w:cs="Times New Roman"/>
          <w:color w:val="000000"/>
          <w:sz w:val="32"/>
          <w:szCs w:val="32"/>
          <w:highlight w:val="cyan"/>
          <w:lang w:eastAsia="es-CO"/>
        </w:rPr>
      </w:pPr>
      <w:r w:rsidRPr="000A0A6E">
        <w:rPr>
          <w:rFonts w:eastAsia="Times New Roman" w:cs="Times New Roman"/>
          <w:i/>
          <w:iCs/>
          <w:color w:val="000000"/>
          <w:sz w:val="32"/>
          <w:szCs w:val="32"/>
          <w:highlight w:val="cyan"/>
          <w:lang w:eastAsia="es-CO"/>
        </w:rPr>
        <w:t>(…)</w:t>
      </w:r>
    </w:p>
    <w:p w14:paraId="43962169" w14:textId="77777777" w:rsidR="000A0A6E" w:rsidRPr="000A0A6E" w:rsidRDefault="000A0A6E" w:rsidP="000A0A6E">
      <w:pPr>
        <w:spacing w:after="0" w:line="360" w:lineRule="auto"/>
        <w:ind w:left="284"/>
        <w:jc w:val="both"/>
        <w:rPr>
          <w:rFonts w:eastAsia="Times New Roman" w:cs="Times New Roman"/>
          <w:color w:val="000000"/>
          <w:sz w:val="32"/>
          <w:szCs w:val="32"/>
          <w:highlight w:val="cyan"/>
          <w:lang w:eastAsia="es-CO"/>
        </w:rPr>
      </w:pPr>
      <w:r w:rsidRPr="000A0A6E">
        <w:rPr>
          <w:rFonts w:eastAsia="Times New Roman" w:cs="Times New Roman"/>
          <w:i/>
          <w:iCs/>
          <w:color w:val="000000"/>
          <w:sz w:val="32"/>
          <w:szCs w:val="32"/>
          <w:highlight w:val="cyan"/>
          <w:lang w:eastAsia="es-CO"/>
        </w:rPr>
        <w:t> </w:t>
      </w:r>
    </w:p>
    <w:p w14:paraId="718C9FF2" w14:textId="77777777" w:rsidR="000A0A6E" w:rsidRPr="000A0A6E" w:rsidRDefault="000A0A6E" w:rsidP="000A0A6E">
      <w:pPr>
        <w:spacing w:after="0" w:line="360" w:lineRule="auto"/>
        <w:ind w:left="284"/>
        <w:jc w:val="both"/>
        <w:rPr>
          <w:rFonts w:eastAsia="Times New Roman" w:cs="Times New Roman"/>
          <w:color w:val="000000"/>
          <w:sz w:val="32"/>
          <w:szCs w:val="32"/>
          <w:lang w:eastAsia="es-CO"/>
        </w:rPr>
      </w:pPr>
      <w:r w:rsidRPr="000A0A6E">
        <w:rPr>
          <w:rFonts w:eastAsia="Times New Roman" w:cs="Times New Roman"/>
          <w:i/>
          <w:iCs/>
          <w:color w:val="000000"/>
          <w:sz w:val="32"/>
          <w:szCs w:val="32"/>
          <w:highlight w:val="cyan"/>
          <w:lang w:eastAsia="es-CO"/>
        </w:rPr>
        <w:t xml:space="preserve">(…) el ingreso que recibe una sociedad extranjera sin domicilio en Colombia por la enajenación de un bien </w:t>
      </w:r>
      <w:proofErr w:type="gramStart"/>
      <w:r w:rsidRPr="000A0A6E">
        <w:rPr>
          <w:rFonts w:eastAsia="Times New Roman" w:cs="Times New Roman"/>
          <w:i/>
          <w:iCs/>
          <w:color w:val="000000"/>
          <w:sz w:val="32"/>
          <w:szCs w:val="32"/>
          <w:highlight w:val="cyan"/>
          <w:lang w:eastAsia="es-CO"/>
        </w:rPr>
        <w:t>inmueble,</w:t>
      </w:r>
      <w:proofErr w:type="gramEnd"/>
      <w:r w:rsidRPr="000A0A6E">
        <w:rPr>
          <w:rFonts w:eastAsia="Times New Roman" w:cs="Times New Roman"/>
          <w:i/>
          <w:iCs/>
          <w:color w:val="000000"/>
          <w:sz w:val="32"/>
          <w:szCs w:val="32"/>
          <w:highlight w:val="cyan"/>
          <w:lang w:eastAsia="es-CO"/>
        </w:rPr>
        <w:t xml:space="preserve"> está sometido a la </w:t>
      </w:r>
      <w:r w:rsidRPr="000A0A6E">
        <w:rPr>
          <w:rFonts w:eastAsia="Times New Roman" w:cs="Times New Roman"/>
          <w:i/>
          <w:iCs/>
          <w:color w:val="000000"/>
          <w:sz w:val="32"/>
          <w:szCs w:val="32"/>
          <w:highlight w:val="green"/>
          <w:lang w:eastAsia="es-CO"/>
        </w:rPr>
        <w:t>retención en la fuente del 15%.</w:t>
      </w:r>
    </w:p>
    <w:p w14:paraId="3AE0E8D9" w14:textId="77777777" w:rsidR="000A0A6E" w:rsidRPr="000A0A6E" w:rsidRDefault="000A0A6E" w:rsidP="000A0A6E">
      <w:pPr>
        <w:spacing w:after="0" w:line="360" w:lineRule="auto"/>
        <w:ind w:left="284"/>
        <w:jc w:val="both"/>
        <w:rPr>
          <w:rFonts w:eastAsia="Times New Roman" w:cs="Times New Roman"/>
          <w:color w:val="000000"/>
          <w:szCs w:val="24"/>
          <w:lang w:eastAsia="es-CO"/>
        </w:rPr>
      </w:pPr>
      <w:r w:rsidRPr="000A0A6E">
        <w:rPr>
          <w:rFonts w:eastAsia="Times New Roman" w:cs="Times New Roman"/>
          <w:i/>
          <w:iCs/>
          <w:color w:val="000000"/>
          <w:szCs w:val="24"/>
          <w:lang w:eastAsia="es-CO"/>
        </w:rPr>
        <w:t> </w:t>
      </w:r>
    </w:p>
    <w:p w14:paraId="61518FE4" w14:textId="77777777" w:rsidR="000A0A6E" w:rsidRPr="000A0A6E" w:rsidRDefault="000A0A6E" w:rsidP="000A0A6E">
      <w:pPr>
        <w:spacing w:after="0" w:line="360" w:lineRule="auto"/>
        <w:ind w:left="284"/>
        <w:jc w:val="both"/>
        <w:rPr>
          <w:rFonts w:eastAsia="Times New Roman" w:cs="Times New Roman"/>
          <w:color w:val="000000"/>
          <w:sz w:val="32"/>
          <w:szCs w:val="32"/>
          <w:lang w:eastAsia="es-CO"/>
        </w:rPr>
      </w:pPr>
      <w:r w:rsidRPr="000A0A6E">
        <w:rPr>
          <w:rFonts w:eastAsia="Times New Roman" w:cs="Times New Roman"/>
          <w:i/>
          <w:iCs/>
          <w:color w:val="000000"/>
          <w:sz w:val="32"/>
          <w:szCs w:val="32"/>
          <w:highlight w:val="yellow"/>
          <w:lang w:eastAsia="es-CO"/>
        </w:rPr>
        <w:t>Quien efectúa el pago, si tiene la calidad de agente retenedor, </w:t>
      </w:r>
      <w:r w:rsidRPr="000A0A6E">
        <w:rPr>
          <w:rFonts w:eastAsia="Times New Roman" w:cs="Times New Roman"/>
          <w:b/>
          <w:bCs/>
          <w:i/>
          <w:iCs/>
          <w:color w:val="000000"/>
          <w:sz w:val="32"/>
          <w:szCs w:val="32"/>
          <w:highlight w:val="yellow"/>
          <w:lang w:eastAsia="es-CO"/>
        </w:rPr>
        <w:t>debe practicar esta retención</w:t>
      </w:r>
      <w:r w:rsidRPr="000A0A6E">
        <w:rPr>
          <w:rFonts w:eastAsia="Times New Roman" w:cs="Times New Roman"/>
          <w:i/>
          <w:iCs/>
          <w:color w:val="000000"/>
          <w:sz w:val="32"/>
          <w:szCs w:val="32"/>
          <w:highlight w:val="yellow"/>
          <w:lang w:eastAsia="es-CO"/>
        </w:rPr>
        <w:t xml:space="preserve">. </w:t>
      </w:r>
      <w:r w:rsidRPr="000A0A6E">
        <w:rPr>
          <w:rFonts w:eastAsia="Times New Roman" w:cs="Times New Roman"/>
          <w:b/>
          <w:bCs/>
          <w:i/>
          <w:iCs/>
          <w:color w:val="000000"/>
          <w:sz w:val="32"/>
          <w:szCs w:val="32"/>
          <w:highlight w:val="yellow"/>
          <w:u w:val="single"/>
          <w:lang w:eastAsia="es-CO"/>
        </w:rPr>
        <w:t>El valor base para efectuar la retención es el valor bruto del respectivo pago</w:t>
      </w:r>
      <w:r w:rsidRPr="000A0A6E">
        <w:rPr>
          <w:rFonts w:eastAsia="Times New Roman" w:cs="Times New Roman"/>
          <w:i/>
          <w:iCs/>
          <w:color w:val="000000"/>
          <w:sz w:val="32"/>
          <w:szCs w:val="32"/>
          <w:highlight w:val="yellow"/>
          <w:lang w:eastAsia="es-CO"/>
        </w:rPr>
        <w:t>, es decir, la totalidad del pago” </w:t>
      </w:r>
      <w:r w:rsidRPr="000A0A6E">
        <w:rPr>
          <w:rFonts w:eastAsia="Times New Roman" w:cs="Times New Roman"/>
          <w:color w:val="000000"/>
          <w:sz w:val="32"/>
          <w:szCs w:val="32"/>
          <w:highlight w:val="yellow"/>
          <w:lang w:eastAsia="es-CO"/>
        </w:rPr>
        <w:t>(resaltado fuera de texto).</w:t>
      </w:r>
    </w:p>
    <w:p w14:paraId="110A0D79"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49B3A729"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Lo anterior sin perjuicio de la obligación de presentar la respectiva declaración del impuesto sobre la renta por cambio de titular de la inversión extranjera, así como de la debida diligencia que debe adelantar el notario a que haya lugar.</w:t>
      </w:r>
    </w:p>
    <w:p w14:paraId="0C209F52"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67D21EAE"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 </w:t>
      </w:r>
    </w:p>
    <w:p w14:paraId="02EFE017"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Atentamente,</w:t>
      </w:r>
    </w:p>
    <w:p w14:paraId="477494E4"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b/>
          <w:bCs/>
          <w:color w:val="000000"/>
          <w:szCs w:val="24"/>
          <w:lang w:eastAsia="es-CO"/>
        </w:rPr>
        <w:t> </w:t>
      </w:r>
    </w:p>
    <w:p w14:paraId="5E80D40F"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b/>
          <w:bCs/>
          <w:color w:val="000000"/>
          <w:szCs w:val="24"/>
          <w:lang w:eastAsia="es-CO"/>
        </w:rPr>
        <w:t> </w:t>
      </w:r>
    </w:p>
    <w:p w14:paraId="0F541D24"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b/>
          <w:bCs/>
          <w:color w:val="000000"/>
          <w:szCs w:val="24"/>
          <w:lang w:eastAsia="es-CO"/>
        </w:rPr>
        <w:lastRenderedPageBreak/>
        <w:t>PABLO EMILIO MENDOZA VELILLA</w:t>
      </w:r>
    </w:p>
    <w:p w14:paraId="28EEB1D1"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Subdirector de Gestión Normativa y Doctrina</w:t>
      </w:r>
    </w:p>
    <w:p w14:paraId="68285A31" w14:textId="77777777" w:rsidR="000A0A6E" w:rsidRP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Dirección de Gestión Jurídica</w:t>
      </w:r>
    </w:p>
    <w:p w14:paraId="6F18FDA3" w14:textId="341B2F6C" w:rsidR="000A0A6E" w:rsidRDefault="000A0A6E" w:rsidP="000A0A6E">
      <w:pPr>
        <w:spacing w:after="0" w:line="360" w:lineRule="auto"/>
        <w:jc w:val="both"/>
        <w:rPr>
          <w:rFonts w:eastAsia="Times New Roman" w:cs="Times New Roman"/>
          <w:color w:val="000000"/>
          <w:szCs w:val="24"/>
          <w:lang w:eastAsia="es-CO"/>
        </w:rPr>
      </w:pPr>
      <w:r w:rsidRPr="000A0A6E">
        <w:rPr>
          <w:rFonts w:eastAsia="Times New Roman" w:cs="Times New Roman"/>
          <w:color w:val="000000"/>
          <w:szCs w:val="24"/>
          <w:lang w:eastAsia="es-CO"/>
        </w:rPr>
        <w:t>UAE-DIAN</w:t>
      </w:r>
    </w:p>
    <w:p w14:paraId="11F700A7" w14:textId="6E762D0E" w:rsidR="000A0A6E" w:rsidRPr="000A0A6E" w:rsidRDefault="000A0A6E" w:rsidP="000A0A6E">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___________________________________________________________________________</w:t>
      </w:r>
    </w:p>
    <w:p w14:paraId="3A77CFDC" w14:textId="77777777" w:rsidR="007F5CC8" w:rsidRPr="000A0A6E" w:rsidRDefault="007F5CC8" w:rsidP="000A0A6E">
      <w:pPr>
        <w:spacing w:line="360" w:lineRule="auto"/>
        <w:rPr>
          <w:rFonts w:cs="Times New Roman"/>
          <w:szCs w:val="24"/>
        </w:rPr>
      </w:pPr>
    </w:p>
    <w:sectPr w:rsidR="007F5CC8" w:rsidRPr="000A0A6E"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A6E"/>
    <w:rsid w:val="000A0A6E"/>
    <w:rsid w:val="000F3837"/>
    <w:rsid w:val="001E311E"/>
    <w:rsid w:val="00434A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9C4FB"/>
  <w15:chartTrackingRefBased/>
  <w15:docId w15:val="{4B29DBD1-CA6A-4CBB-869D-7EE5D458A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8858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93" TargetMode="External"/><Relationship Id="rId13" Type="http://schemas.openxmlformats.org/officeDocument/2006/relationships/hyperlink" Target="https://www.ceta.org.co/html/vista_de_un_articulo.asp?Norma=504"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ceta.org.co/html/vista_de_un_articulo.asp?Norma=496" TargetMode="External"/><Relationship Id="rId12" Type="http://schemas.openxmlformats.org/officeDocument/2006/relationships/hyperlink" Target="https://www.ceta.org.co/html/vista_de_un_articulo.asp?Norma=54"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ceta.org.co/html/vista_de_un_articulo.asp?Norma=504" TargetMode="External"/><Relationship Id="rId1" Type="http://schemas.openxmlformats.org/officeDocument/2006/relationships/styles" Target="styles.xml"/><Relationship Id="rId6" Type="http://schemas.openxmlformats.org/officeDocument/2006/relationships/hyperlink" Target="https://www.ceta.org.co/html/vista_de_un_articulo.asp?Norma=493" TargetMode="External"/><Relationship Id="rId11" Type="http://schemas.openxmlformats.org/officeDocument/2006/relationships/hyperlink" Target="https://www.ceta.org.co/html/vista_de_un_articulo.asp?Norma=493" TargetMode="External"/><Relationship Id="rId5" Type="http://schemas.openxmlformats.org/officeDocument/2006/relationships/hyperlink" Target="https://www.ceta.org.co/html/vista_de_un_articulo.asp?Norma=504" TargetMode="External"/><Relationship Id="rId15" Type="http://schemas.openxmlformats.org/officeDocument/2006/relationships/hyperlink" Target="https://www.ceta.org.co/html/vista_de_un_articulo.asp?Norma=513" TargetMode="External"/><Relationship Id="rId10" Type="http://schemas.openxmlformats.org/officeDocument/2006/relationships/hyperlink" Target="https://www.ceta.org.co/html/vista_de_un_articulo.asp?Norma=496" TargetMode="External"/><Relationship Id="rId4" Type="http://schemas.openxmlformats.org/officeDocument/2006/relationships/hyperlink" Target="https://www.ceta.org.co/html/vista_de_un_articulo.asp?Norma=496" TargetMode="External"/><Relationship Id="rId9" Type="http://schemas.openxmlformats.org/officeDocument/2006/relationships/hyperlink" Target="https://www.ceta.org.co/html/vista_de_un_articulo.asp?Norma=496" TargetMode="External"/><Relationship Id="rId14" Type="http://schemas.openxmlformats.org/officeDocument/2006/relationships/hyperlink" Target="https://www.ceta.org.co/html/vista_de_un_articulo.asp?Norma=504"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1108</Words>
  <Characters>6100</Characters>
  <Application>Microsoft Office Word</Application>
  <DocSecurity>0</DocSecurity>
  <Lines>50</Lines>
  <Paragraphs>14</Paragraphs>
  <ScaleCrop>false</ScaleCrop>
  <Company/>
  <LinksUpToDate>false</LinksUpToDate>
  <CharactersWithSpaces>7194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2021-03-26T01:35:00Z</dcterms:created>
  <dcterms:modified xsi:type="dcterms:W3CDTF">2021-03-26T01:40:00Z</dcterms:modified>
</cp:coreProperties>
</file>