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8722" w14:textId="77777777" w:rsidR="00B22A28" w:rsidRPr="00B22A28" w:rsidRDefault="00B22A28" w:rsidP="00B22A28">
      <w:pPr>
        <w:spacing w:after="0" w:line="240" w:lineRule="auto"/>
        <w:jc w:val="center"/>
        <w:rPr>
          <w:rFonts w:ascii="Arial" w:eastAsia="Times New Roman" w:hAnsi="Arial" w:cs="Arial"/>
          <w:color w:val="000000"/>
          <w:sz w:val="18"/>
          <w:szCs w:val="18"/>
          <w:lang w:eastAsia="es-CO"/>
        </w:rPr>
      </w:pPr>
      <w:r w:rsidRPr="00B22A28">
        <w:rPr>
          <w:rFonts w:ascii="Segoe UI" w:eastAsia="Times New Roman" w:hAnsi="Segoe UI" w:cs="Segoe UI"/>
          <w:b/>
          <w:bCs/>
          <w:color w:val="0000FF"/>
          <w:sz w:val="28"/>
          <w:szCs w:val="28"/>
          <w:lang w:eastAsia="es-CO"/>
        </w:rPr>
        <w:t xml:space="preserve">OFICIO </w:t>
      </w:r>
      <w:proofErr w:type="spellStart"/>
      <w:r w:rsidRPr="00B22A28">
        <w:rPr>
          <w:rFonts w:ascii="Segoe UI" w:eastAsia="Times New Roman" w:hAnsi="Segoe UI" w:cs="Segoe UI"/>
          <w:b/>
          <w:bCs/>
          <w:color w:val="0000FF"/>
          <w:sz w:val="28"/>
          <w:szCs w:val="28"/>
          <w:lang w:eastAsia="es-CO"/>
        </w:rPr>
        <w:t>N°</w:t>
      </w:r>
      <w:proofErr w:type="spellEnd"/>
      <w:r w:rsidRPr="00B22A28">
        <w:rPr>
          <w:rFonts w:ascii="Segoe UI" w:eastAsia="Times New Roman" w:hAnsi="Segoe UI" w:cs="Segoe UI"/>
          <w:b/>
          <w:bCs/>
          <w:color w:val="0000FF"/>
          <w:sz w:val="28"/>
          <w:szCs w:val="28"/>
          <w:lang w:eastAsia="es-CO"/>
        </w:rPr>
        <w:t xml:space="preserve"> 1381 [908675]</w:t>
      </w:r>
    </w:p>
    <w:p w14:paraId="421BFF70" w14:textId="77777777" w:rsidR="00B22A28" w:rsidRPr="00B22A28" w:rsidRDefault="00B22A28" w:rsidP="00B22A28">
      <w:pPr>
        <w:spacing w:after="0" w:line="240" w:lineRule="auto"/>
        <w:jc w:val="center"/>
        <w:rPr>
          <w:rFonts w:ascii="Arial" w:eastAsia="Times New Roman" w:hAnsi="Arial" w:cs="Arial"/>
          <w:color w:val="000000"/>
          <w:sz w:val="18"/>
          <w:szCs w:val="18"/>
          <w:lang w:eastAsia="es-CO"/>
        </w:rPr>
      </w:pPr>
      <w:r w:rsidRPr="00B22A28">
        <w:rPr>
          <w:rFonts w:ascii="Segoe UI" w:eastAsia="Times New Roman" w:hAnsi="Segoe UI" w:cs="Segoe UI"/>
          <w:b/>
          <w:bCs/>
          <w:color w:val="0000FF"/>
          <w:sz w:val="28"/>
          <w:szCs w:val="28"/>
          <w:lang w:eastAsia="es-CO"/>
        </w:rPr>
        <w:t>26-08-2021</w:t>
      </w:r>
    </w:p>
    <w:p w14:paraId="47234E98" w14:textId="77777777" w:rsidR="00B22A28" w:rsidRPr="00B22A28" w:rsidRDefault="00B22A28" w:rsidP="00B22A28">
      <w:pPr>
        <w:spacing w:after="0" w:line="240" w:lineRule="auto"/>
        <w:jc w:val="center"/>
        <w:rPr>
          <w:rFonts w:ascii="Arial" w:eastAsia="Times New Roman" w:hAnsi="Arial" w:cs="Arial"/>
          <w:color w:val="000000"/>
          <w:sz w:val="18"/>
          <w:szCs w:val="18"/>
          <w:lang w:eastAsia="es-CO"/>
        </w:rPr>
      </w:pPr>
      <w:r w:rsidRPr="00B22A28">
        <w:rPr>
          <w:rFonts w:ascii="Segoe UI" w:eastAsia="Times New Roman" w:hAnsi="Segoe UI" w:cs="Segoe UI"/>
          <w:b/>
          <w:bCs/>
          <w:color w:val="0000FF"/>
          <w:sz w:val="28"/>
          <w:szCs w:val="28"/>
          <w:lang w:eastAsia="es-CO"/>
        </w:rPr>
        <w:t>DIAN</w:t>
      </w:r>
    </w:p>
    <w:p w14:paraId="308AEE11"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b/>
          <w:bCs/>
          <w:color w:val="0000FF"/>
          <w:sz w:val="18"/>
          <w:szCs w:val="18"/>
          <w:lang w:eastAsia="es-CO"/>
        </w:rPr>
        <w:t> </w:t>
      </w:r>
    </w:p>
    <w:p w14:paraId="5CDBDBA4"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b/>
          <w:bCs/>
          <w:color w:val="0000FF"/>
          <w:sz w:val="22"/>
          <w:lang w:eastAsia="es-CO"/>
        </w:rPr>
        <w:t> </w:t>
      </w:r>
    </w:p>
    <w:p w14:paraId="7985F7C5"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100208221-1381</w:t>
      </w:r>
    </w:p>
    <w:p w14:paraId="237F2E90"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Bogotá, D.C.</w:t>
      </w:r>
    </w:p>
    <w:p w14:paraId="612A16AA"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4051"/>
      </w:tblGrid>
      <w:tr w:rsidR="00B22A28" w:rsidRPr="00B22A28" w14:paraId="76BB03DC" w14:textId="77777777" w:rsidTr="00B22A28">
        <w:tc>
          <w:tcPr>
            <w:tcW w:w="0" w:type="auto"/>
            <w:tcBorders>
              <w:top w:val="nil"/>
              <w:left w:val="nil"/>
              <w:bottom w:val="nil"/>
              <w:right w:val="nil"/>
            </w:tcBorders>
            <w:shd w:val="clear" w:color="auto" w:fill="auto"/>
            <w:tcMar>
              <w:top w:w="0" w:type="dxa"/>
              <w:left w:w="108" w:type="dxa"/>
              <w:bottom w:w="0" w:type="dxa"/>
              <w:right w:w="108" w:type="dxa"/>
            </w:tcMar>
            <w:hideMark/>
          </w:tcPr>
          <w:p w14:paraId="26B4551F"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32462C"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sz w:val="20"/>
                <w:szCs w:val="20"/>
                <w:lang w:eastAsia="es-CO"/>
              </w:rPr>
              <w:t>Impuesto sobre la renta y complementarios</w:t>
            </w:r>
          </w:p>
        </w:tc>
      </w:tr>
      <w:tr w:rsidR="00B22A28" w:rsidRPr="00B22A28" w14:paraId="37FF0433" w14:textId="77777777" w:rsidTr="00B22A28">
        <w:tc>
          <w:tcPr>
            <w:tcW w:w="0" w:type="auto"/>
            <w:tcBorders>
              <w:top w:val="nil"/>
              <w:left w:val="nil"/>
              <w:bottom w:val="nil"/>
              <w:right w:val="nil"/>
            </w:tcBorders>
            <w:shd w:val="clear" w:color="auto" w:fill="auto"/>
            <w:tcMar>
              <w:top w:w="0" w:type="dxa"/>
              <w:left w:w="108" w:type="dxa"/>
              <w:bottom w:w="0" w:type="dxa"/>
              <w:right w:w="108" w:type="dxa"/>
            </w:tcMar>
            <w:hideMark/>
          </w:tcPr>
          <w:p w14:paraId="7F90151D"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870606"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sz w:val="20"/>
                <w:szCs w:val="20"/>
                <w:lang w:eastAsia="es-CO"/>
              </w:rPr>
              <w:t>Avalúo como costo fiscal</w:t>
            </w:r>
          </w:p>
        </w:tc>
      </w:tr>
      <w:tr w:rsidR="00B22A28" w:rsidRPr="00B22A28" w14:paraId="4E51A901" w14:textId="77777777" w:rsidTr="00B22A28">
        <w:tc>
          <w:tcPr>
            <w:tcW w:w="0" w:type="auto"/>
            <w:tcBorders>
              <w:top w:val="nil"/>
              <w:left w:val="nil"/>
              <w:bottom w:val="nil"/>
              <w:right w:val="nil"/>
            </w:tcBorders>
            <w:shd w:val="clear" w:color="auto" w:fill="auto"/>
            <w:tcMar>
              <w:top w:w="0" w:type="dxa"/>
              <w:left w:w="108" w:type="dxa"/>
              <w:bottom w:w="0" w:type="dxa"/>
              <w:right w:w="108" w:type="dxa"/>
            </w:tcMar>
            <w:hideMark/>
          </w:tcPr>
          <w:p w14:paraId="4D50E135"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DC8F70" w14:textId="77777777" w:rsidR="00B22A28" w:rsidRPr="00B22A28" w:rsidRDefault="00B22A28" w:rsidP="00B22A28">
            <w:pPr>
              <w:spacing w:after="0" w:line="240" w:lineRule="auto"/>
              <w:jc w:val="both"/>
              <w:rPr>
                <w:rFonts w:ascii="Arial" w:eastAsia="Times New Roman" w:hAnsi="Arial" w:cs="Arial"/>
                <w:szCs w:val="24"/>
                <w:lang w:eastAsia="es-CO"/>
              </w:rPr>
            </w:pPr>
            <w:r w:rsidRPr="00B22A28">
              <w:rPr>
                <w:rFonts w:ascii="Segoe UI" w:eastAsia="Times New Roman" w:hAnsi="Segoe UI" w:cs="Segoe UI"/>
                <w:sz w:val="20"/>
                <w:szCs w:val="20"/>
                <w:lang w:eastAsia="es-CO"/>
              </w:rPr>
              <w:t>Artículo 354 de la Ley 1819 de 2016</w:t>
            </w:r>
          </w:p>
          <w:p w14:paraId="527785B7" w14:textId="77777777" w:rsidR="00B22A28" w:rsidRPr="00B22A28" w:rsidRDefault="00B22A28" w:rsidP="00B22A28">
            <w:pPr>
              <w:spacing w:after="0" w:line="240" w:lineRule="auto"/>
              <w:jc w:val="both"/>
              <w:rPr>
                <w:rFonts w:ascii="Arial" w:eastAsia="Times New Roman" w:hAnsi="Arial" w:cs="Arial"/>
                <w:szCs w:val="24"/>
                <w:lang w:eastAsia="es-CO"/>
              </w:rPr>
            </w:pPr>
            <w:hyperlink r:id="rId4" w:tooltip="Estatuto Tributario CETA" w:history="1">
              <w:r w:rsidRPr="00B22A28">
                <w:rPr>
                  <w:rFonts w:ascii="Segoe UI" w:eastAsia="Times New Roman" w:hAnsi="Segoe UI" w:cs="Segoe UI"/>
                  <w:color w:val="0089E1"/>
                  <w:sz w:val="20"/>
                  <w:szCs w:val="20"/>
                  <w:u w:val="single"/>
                  <w:lang w:eastAsia="es-CO"/>
                </w:rPr>
                <w:t>Artículo 72</w:t>
              </w:r>
            </w:hyperlink>
            <w:r w:rsidRPr="00B22A28">
              <w:rPr>
                <w:rFonts w:ascii="Segoe UI" w:eastAsia="Times New Roman" w:hAnsi="Segoe UI" w:cs="Segoe UI"/>
                <w:sz w:val="20"/>
                <w:szCs w:val="20"/>
                <w:lang w:eastAsia="es-CO"/>
              </w:rPr>
              <w:t> del Estatuto Tributario</w:t>
            </w:r>
          </w:p>
        </w:tc>
      </w:tr>
    </w:tbl>
    <w:p w14:paraId="2DCD57F1"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 </w:t>
      </w:r>
    </w:p>
    <w:p w14:paraId="39B38474"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36ED300E"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Cordial saludo,</w:t>
      </w:r>
    </w:p>
    <w:p w14:paraId="445961BA"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3406F1D7"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97893B5"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71C74EFB"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Mediante el radicado de la referencia, la peticionaria consulta si el avalúo de un bien inmueble contenido en la factura emitida por sistema de facturación por parte de la entidad territorial, puede ser utilizado para efectos del </w:t>
      </w:r>
      <w:hyperlink r:id="rId5" w:tooltip="Estatuto Tributario CETA" w:history="1">
        <w:r w:rsidRPr="00B22A28">
          <w:rPr>
            <w:rFonts w:ascii="Segoe UI" w:eastAsia="Times New Roman" w:hAnsi="Segoe UI" w:cs="Segoe UI"/>
            <w:color w:val="0089E1"/>
            <w:sz w:val="22"/>
            <w:u w:val="single"/>
            <w:lang w:eastAsia="es-CO"/>
          </w:rPr>
          <w:t>artículo 72</w:t>
        </w:r>
      </w:hyperlink>
      <w:r w:rsidRPr="00B22A28">
        <w:rPr>
          <w:rFonts w:ascii="Segoe UI" w:eastAsia="Times New Roman" w:hAnsi="Segoe UI" w:cs="Segoe UI"/>
          <w:sz w:val="22"/>
          <w:lang w:eastAsia="es-CO"/>
        </w:rPr>
        <w:t> del Estatuto Tributario, teniendo en cuenta que la entidad territorial ya no emite la declaración del impuesto predial.</w:t>
      </w:r>
    </w:p>
    <w:p w14:paraId="062DF749"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2C7467FD"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Sobre el particular, las consideraciones de este Despacho son las siguientes:</w:t>
      </w:r>
    </w:p>
    <w:p w14:paraId="08C61ECB"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339808F8"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En primer lugar, se debe tener en cuenta que mediante el artículo 354 de la Ley 1819 de 2016, se otorgó facultades a los entes territoriales para establecer sistemas de facturación para el cobro de sus tributos, así:</w:t>
      </w:r>
    </w:p>
    <w:p w14:paraId="6A9CE6E9"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i/>
          <w:iCs/>
          <w:sz w:val="22"/>
          <w:lang w:eastAsia="es-CO"/>
        </w:rPr>
        <w:t> </w:t>
      </w:r>
    </w:p>
    <w:p w14:paraId="20536A2A"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b/>
          <w:bCs/>
          <w:i/>
          <w:iCs/>
          <w:sz w:val="22"/>
          <w:lang w:eastAsia="es-CO"/>
        </w:rPr>
        <w:t>“Artículo 354. </w:t>
      </w:r>
      <w:r w:rsidRPr="00B22A28">
        <w:rPr>
          <w:rFonts w:ascii="Segoe UI" w:eastAsia="Times New Roman" w:hAnsi="Segoe UI" w:cs="Segoe UI"/>
          <w:i/>
          <w:iCs/>
          <w:sz w:val="22"/>
          <w:lang w:eastAsia="es-CO"/>
        </w:rPr>
        <w:t>Modifíquese el artículo 69 de la Ley 1111 de 2006, modificado por el artículo 58 de la Ley 1430 de 2010, el cual quedará así:</w:t>
      </w:r>
    </w:p>
    <w:p w14:paraId="3B1C87DA"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b/>
          <w:bCs/>
          <w:i/>
          <w:iCs/>
          <w:color w:val="000000"/>
          <w:sz w:val="18"/>
          <w:szCs w:val="18"/>
          <w:lang w:eastAsia="es-CO"/>
        </w:rPr>
        <w:t> </w:t>
      </w:r>
    </w:p>
    <w:p w14:paraId="509491AF"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b/>
          <w:bCs/>
          <w:i/>
          <w:iCs/>
          <w:color w:val="000000"/>
          <w:sz w:val="18"/>
          <w:szCs w:val="18"/>
          <w:lang w:eastAsia="es-CO"/>
        </w:rPr>
        <w:t>Artículo 69. Determinación oficial de los tributos territoriales por el sistema de facturación</w:t>
      </w:r>
      <w:r w:rsidRPr="00B22A28">
        <w:rPr>
          <w:rFonts w:ascii="Segoe UI" w:eastAsia="Times New Roman" w:hAnsi="Segoe UI" w:cs="Segoe UI"/>
          <w:i/>
          <w:iCs/>
          <w:color w:val="000000"/>
          <w:sz w:val="18"/>
          <w:szCs w:val="18"/>
          <w:lang w:eastAsia="es-CO"/>
        </w:rPr>
        <w:t>. </w:t>
      </w:r>
      <w:r w:rsidRPr="00B22A28">
        <w:rPr>
          <w:rFonts w:ascii="Segoe UI" w:eastAsia="Times New Roman" w:hAnsi="Segoe UI" w:cs="Segoe UI"/>
          <w:i/>
          <w:iCs/>
          <w:color w:val="000000"/>
          <w:sz w:val="18"/>
          <w:szCs w:val="18"/>
          <w:u w:val="single"/>
          <w:lang w:eastAsia="es-CO"/>
        </w:rPr>
        <w:t>Sin perjuicio de la utilización del </w:t>
      </w:r>
      <w:r w:rsidRPr="00B22A28">
        <w:rPr>
          <w:rFonts w:ascii="Segoe UI" w:eastAsia="Times New Roman" w:hAnsi="Segoe UI" w:cs="Segoe UI"/>
          <w:b/>
          <w:bCs/>
          <w:i/>
          <w:iCs/>
          <w:color w:val="000000"/>
          <w:sz w:val="18"/>
          <w:szCs w:val="18"/>
          <w:u w:val="single"/>
          <w:lang w:eastAsia="es-CO"/>
        </w:rPr>
        <w:t>sistema de declaración</w:t>
      </w:r>
      <w:r w:rsidRPr="00B22A28">
        <w:rPr>
          <w:rFonts w:ascii="Segoe UI" w:eastAsia="Times New Roman" w:hAnsi="Segoe UI" w:cs="Segoe UI"/>
          <w:i/>
          <w:iCs/>
          <w:color w:val="000000"/>
          <w:sz w:val="18"/>
          <w:szCs w:val="18"/>
          <w:u w:val="single"/>
          <w:lang w:eastAsia="es-CO"/>
        </w:rPr>
        <w:t>, para la determinación oficial del impuesto predial unificado</w:t>
      </w:r>
      <w:r w:rsidRPr="00B22A28">
        <w:rPr>
          <w:rFonts w:ascii="Segoe UI" w:eastAsia="Times New Roman" w:hAnsi="Segoe UI" w:cs="Segoe UI"/>
          <w:i/>
          <w:iCs/>
          <w:color w:val="000000"/>
          <w:sz w:val="18"/>
          <w:szCs w:val="18"/>
          <w:lang w:eastAsia="es-CO"/>
        </w:rPr>
        <w:t>, del impuesto sobre vehículos automotores y el de circulación y tránsito, </w:t>
      </w:r>
      <w:r w:rsidRPr="00B22A28">
        <w:rPr>
          <w:rFonts w:ascii="Segoe UI" w:eastAsia="Times New Roman" w:hAnsi="Segoe UI" w:cs="Segoe UI"/>
          <w:i/>
          <w:iCs/>
          <w:color w:val="000000"/>
          <w:sz w:val="18"/>
          <w:szCs w:val="18"/>
          <w:u w:val="single"/>
          <w:lang w:eastAsia="es-CO"/>
        </w:rPr>
        <w:t>las entidades territoriales </w:t>
      </w:r>
      <w:r w:rsidRPr="00B22A28">
        <w:rPr>
          <w:rFonts w:ascii="Segoe UI" w:eastAsia="Times New Roman" w:hAnsi="Segoe UI" w:cs="Segoe UI"/>
          <w:b/>
          <w:bCs/>
          <w:i/>
          <w:iCs/>
          <w:color w:val="000000"/>
          <w:sz w:val="18"/>
          <w:szCs w:val="18"/>
          <w:u w:val="single"/>
          <w:lang w:eastAsia="es-CO"/>
        </w:rPr>
        <w:t>podrán establecer sistemas de facturación </w:t>
      </w:r>
      <w:r w:rsidRPr="00B22A28">
        <w:rPr>
          <w:rFonts w:ascii="Segoe UI" w:eastAsia="Times New Roman" w:hAnsi="Segoe UI" w:cs="Segoe UI"/>
          <w:i/>
          <w:iCs/>
          <w:color w:val="000000"/>
          <w:sz w:val="18"/>
          <w:szCs w:val="18"/>
          <w:u w:val="single"/>
          <w:lang w:eastAsia="es-CO"/>
        </w:rPr>
        <w:t>que constituyan determinación oficial del tributo y presten mérito ejecutivo</w:t>
      </w:r>
      <w:r w:rsidRPr="00B22A28">
        <w:rPr>
          <w:rFonts w:ascii="Segoe UI" w:eastAsia="Times New Roman" w:hAnsi="Segoe UI" w:cs="Segoe UI"/>
          <w:i/>
          <w:iCs/>
          <w:color w:val="000000"/>
          <w:sz w:val="18"/>
          <w:szCs w:val="18"/>
          <w:lang w:eastAsia="es-CO"/>
        </w:rPr>
        <w:t>. (…)”. </w:t>
      </w:r>
      <w:r w:rsidRPr="00B22A28">
        <w:rPr>
          <w:rFonts w:ascii="Segoe UI" w:eastAsia="Times New Roman" w:hAnsi="Segoe UI" w:cs="Segoe UI"/>
          <w:color w:val="000000"/>
          <w:sz w:val="18"/>
          <w:szCs w:val="18"/>
          <w:lang w:eastAsia="es-CO"/>
        </w:rPr>
        <w:t>(Subrayado y negrilla por fuera de texto).</w:t>
      </w:r>
    </w:p>
    <w:p w14:paraId="6EA5B818"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66946288"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xml:space="preserve">De acuerdo con la norma citada, se tiene que actualmente, las entidades territoriales pueden determinar el impuesto predial utilizando i) el sistema de declaración o </w:t>
      </w:r>
      <w:proofErr w:type="spellStart"/>
      <w:r w:rsidRPr="00B22A28">
        <w:rPr>
          <w:rFonts w:ascii="Segoe UI" w:eastAsia="Times New Roman" w:hAnsi="Segoe UI" w:cs="Segoe UI"/>
          <w:sz w:val="22"/>
          <w:lang w:eastAsia="es-CO"/>
        </w:rPr>
        <w:t>ii</w:t>
      </w:r>
      <w:proofErr w:type="spellEnd"/>
      <w:r w:rsidRPr="00B22A28">
        <w:rPr>
          <w:rFonts w:ascii="Segoe UI" w:eastAsia="Times New Roman" w:hAnsi="Segoe UI" w:cs="Segoe UI"/>
          <w:sz w:val="22"/>
          <w:lang w:eastAsia="es-CO"/>
        </w:rPr>
        <w:t>) el sistema de facturación.</w:t>
      </w:r>
    </w:p>
    <w:p w14:paraId="6594F84F"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 </w:t>
      </w:r>
    </w:p>
    <w:p w14:paraId="1F06E709"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De otra parte, el </w:t>
      </w:r>
      <w:hyperlink r:id="rId6" w:tooltip="Estatuto Tributario CETA" w:history="1">
        <w:r w:rsidRPr="00B22A28">
          <w:rPr>
            <w:rFonts w:ascii="Segoe UI" w:eastAsia="Times New Roman" w:hAnsi="Segoe UI" w:cs="Segoe UI"/>
            <w:color w:val="0089E1"/>
            <w:sz w:val="18"/>
            <w:szCs w:val="18"/>
            <w:u w:val="single"/>
            <w:lang w:eastAsia="es-CO"/>
          </w:rPr>
          <w:t>artículo 72</w:t>
        </w:r>
      </w:hyperlink>
      <w:r w:rsidRPr="00B22A28">
        <w:rPr>
          <w:rFonts w:ascii="Segoe UI" w:eastAsia="Times New Roman" w:hAnsi="Segoe UI" w:cs="Segoe UI"/>
          <w:color w:val="000000"/>
          <w:sz w:val="18"/>
          <w:szCs w:val="18"/>
          <w:lang w:eastAsia="es-CO"/>
        </w:rPr>
        <w:t> del Estatuto Tributario dispone que el avalúo declarado para efectos del impuesto predial podrá ser tomado como costo fiscal para la determinación de la renta o ganancia ocasional que se produzca en la enajenación de inmuebles que constituyan activos fijos para el contribuyente, así:</w:t>
      </w:r>
    </w:p>
    <w:p w14:paraId="66DA132B"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 </w:t>
      </w:r>
    </w:p>
    <w:p w14:paraId="571E3CB9"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b/>
          <w:bCs/>
          <w:i/>
          <w:iCs/>
          <w:color w:val="000000"/>
          <w:sz w:val="18"/>
          <w:szCs w:val="18"/>
          <w:lang w:eastAsia="es-CO"/>
        </w:rPr>
        <w:t>“</w:t>
      </w:r>
      <w:hyperlink r:id="rId7" w:tooltip="Estatuto Tributario CETA" w:history="1">
        <w:r w:rsidRPr="00B22A28">
          <w:rPr>
            <w:rFonts w:ascii="Segoe UI" w:eastAsia="Times New Roman" w:hAnsi="Segoe UI" w:cs="Segoe UI"/>
            <w:b/>
            <w:bCs/>
            <w:i/>
            <w:iCs/>
            <w:color w:val="0089E1"/>
            <w:sz w:val="18"/>
            <w:szCs w:val="18"/>
            <w:u w:val="single"/>
            <w:lang w:eastAsia="es-CO"/>
          </w:rPr>
          <w:t>Artículo 72</w:t>
        </w:r>
      </w:hyperlink>
      <w:r w:rsidRPr="00B22A28">
        <w:rPr>
          <w:rFonts w:ascii="Segoe UI" w:eastAsia="Times New Roman" w:hAnsi="Segoe UI" w:cs="Segoe UI"/>
          <w:b/>
          <w:bCs/>
          <w:i/>
          <w:iCs/>
          <w:color w:val="000000"/>
          <w:sz w:val="18"/>
          <w:szCs w:val="18"/>
          <w:lang w:eastAsia="es-CO"/>
        </w:rPr>
        <w:t>. Avalúo como costo fiscal. </w:t>
      </w:r>
      <w:r w:rsidRPr="00B22A28">
        <w:rPr>
          <w:rFonts w:ascii="Segoe UI" w:eastAsia="Times New Roman" w:hAnsi="Segoe UI" w:cs="Segoe UI"/>
          <w:i/>
          <w:iCs/>
          <w:color w:val="000000"/>
          <w:sz w:val="18"/>
          <w:szCs w:val="18"/>
          <w:u w:val="single"/>
          <w:lang w:eastAsia="es-CO"/>
        </w:rPr>
        <w:t>El avalúo declarado para los fines del Impuesto Predial Unificado, en desarrollo de lo dispuesto por los artículos 13 y 14 de la Ley 44 de 1990 y 155 del Decreto 1421 de 1993, y los avalúos formados o actualizados por las autoridades catastrales, en los términos del artículo 5o. de la Ley 14 de 1983, podrán ser tomados como costo fiscal para la determinación de la renta o ganancia ocasional que se produzca en la enajenación de inmuebles que constituyan activos fijos para el contribuyente</w:t>
      </w:r>
      <w:r w:rsidRPr="00B22A28">
        <w:rPr>
          <w:rFonts w:ascii="Segoe UI" w:eastAsia="Times New Roman" w:hAnsi="Segoe UI" w:cs="Segoe UI"/>
          <w:i/>
          <w:iCs/>
          <w:color w:val="000000"/>
          <w:sz w:val="18"/>
          <w:szCs w:val="18"/>
          <w:lang w:eastAsia="es-CO"/>
        </w:rPr>
        <w:t xml:space="preserve">. Para estos fines, el </w:t>
      </w:r>
      <w:proofErr w:type="spellStart"/>
      <w:r w:rsidRPr="00B22A28">
        <w:rPr>
          <w:rFonts w:ascii="Segoe UI" w:eastAsia="Times New Roman" w:hAnsi="Segoe UI" w:cs="Segoe UI"/>
          <w:i/>
          <w:iCs/>
          <w:color w:val="000000"/>
          <w:sz w:val="18"/>
          <w:szCs w:val="18"/>
          <w:lang w:eastAsia="es-CO"/>
        </w:rPr>
        <w:t>autoavalúo</w:t>
      </w:r>
      <w:proofErr w:type="spellEnd"/>
      <w:r w:rsidRPr="00B22A28">
        <w:rPr>
          <w:rFonts w:ascii="Segoe UI" w:eastAsia="Times New Roman" w:hAnsi="Segoe UI" w:cs="Segoe UI"/>
          <w:i/>
          <w:iCs/>
          <w:color w:val="000000"/>
          <w:sz w:val="18"/>
          <w:szCs w:val="18"/>
          <w:lang w:eastAsia="es-CO"/>
        </w:rPr>
        <w:t xml:space="preserve"> o avalúo aceptable como costo fiscal, será el que figure </w:t>
      </w:r>
      <w:r w:rsidRPr="00B22A28">
        <w:rPr>
          <w:rFonts w:ascii="Segoe UI" w:eastAsia="Times New Roman" w:hAnsi="Segoe UI" w:cs="Segoe UI"/>
          <w:i/>
          <w:iCs/>
          <w:color w:val="000000"/>
          <w:sz w:val="18"/>
          <w:szCs w:val="18"/>
          <w:u w:val="single"/>
          <w:lang w:eastAsia="es-CO"/>
        </w:rPr>
        <w:t>en la declaración del Impuesto Predial Unificado y/o declaración de renta</w:t>
      </w:r>
      <w:r w:rsidRPr="00B22A28">
        <w:rPr>
          <w:rFonts w:ascii="Segoe UI" w:eastAsia="Times New Roman" w:hAnsi="Segoe UI" w:cs="Segoe UI"/>
          <w:i/>
          <w:iCs/>
          <w:color w:val="000000"/>
          <w:sz w:val="18"/>
          <w:szCs w:val="18"/>
          <w:lang w:eastAsia="es-CO"/>
        </w:rPr>
        <w:t xml:space="preserve">, según el caso, correspondiente al año anterior al de la enajenación. Para este propósito no se tendrán en cuenta las correcciones </w:t>
      </w:r>
      <w:r w:rsidRPr="00B22A28">
        <w:rPr>
          <w:rFonts w:ascii="Segoe UI" w:eastAsia="Times New Roman" w:hAnsi="Segoe UI" w:cs="Segoe UI"/>
          <w:i/>
          <w:iCs/>
          <w:color w:val="000000"/>
          <w:sz w:val="18"/>
          <w:szCs w:val="18"/>
          <w:lang w:eastAsia="es-CO"/>
        </w:rPr>
        <w:lastRenderedPageBreak/>
        <w:t>o adiciones a las declaraciones tributarias ni los avalúos no formados a los cuales se refiere el artículo 7o. de la Ley 14 de 1983.</w:t>
      </w:r>
    </w:p>
    <w:p w14:paraId="3E0C78D2"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 </w:t>
      </w:r>
    </w:p>
    <w:p w14:paraId="7F83F48A" w14:textId="77777777" w:rsidR="00B22A28" w:rsidRPr="00B22A28" w:rsidRDefault="00B22A28" w:rsidP="00B22A28">
      <w:pPr>
        <w:spacing w:after="0" w:line="240" w:lineRule="auto"/>
        <w:ind w:left="180"/>
        <w:jc w:val="both"/>
        <w:rPr>
          <w:rFonts w:ascii="Arial" w:eastAsia="Times New Roman" w:hAnsi="Arial" w:cs="Arial"/>
          <w:color w:val="000000"/>
          <w:sz w:val="18"/>
          <w:szCs w:val="18"/>
          <w:lang w:eastAsia="es-CO"/>
        </w:rPr>
      </w:pPr>
      <w:r w:rsidRPr="00B22A28">
        <w:rPr>
          <w:rFonts w:ascii="Segoe UI" w:eastAsia="Times New Roman" w:hAnsi="Segoe UI" w:cs="Segoe UI"/>
          <w:i/>
          <w:iCs/>
          <w:sz w:val="22"/>
          <w:lang w:eastAsia="es-CO"/>
        </w:rPr>
        <w:t xml:space="preserve">En caso de tomarse como costo fiscal el avalúo o </w:t>
      </w:r>
      <w:proofErr w:type="spellStart"/>
      <w:r w:rsidRPr="00B22A28">
        <w:rPr>
          <w:rFonts w:ascii="Segoe UI" w:eastAsia="Times New Roman" w:hAnsi="Segoe UI" w:cs="Segoe UI"/>
          <w:i/>
          <w:iCs/>
          <w:sz w:val="22"/>
          <w:lang w:eastAsia="es-CO"/>
        </w:rPr>
        <w:t>autoavalúo</w:t>
      </w:r>
      <w:proofErr w:type="spellEnd"/>
      <w:r w:rsidRPr="00B22A28">
        <w:rPr>
          <w:rFonts w:ascii="Segoe UI" w:eastAsia="Times New Roman" w:hAnsi="Segoe UI" w:cs="Segoe UI"/>
          <w:i/>
          <w:iCs/>
          <w:sz w:val="22"/>
          <w:lang w:eastAsia="es-CO"/>
        </w:rPr>
        <w:t>, en el momento de la enajenación del inmueble, se restarán del costo fiscal las depreciaciones que hayan sido deducidas para fines fiscales”. </w:t>
      </w:r>
      <w:r w:rsidRPr="00B22A28">
        <w:rPr>
          <w:rFonts w:ascii="Segoe UI" w:eastAsia="Times New Roman" w:hAnsi="Segoe UI" w:cs="Segoe UI"/>
          <w:sz w:val="22"/>
          <w:lang w:eastAsia="es-CO"/>
        </w:rPr>
        <w:t>(Subrayado fuera de texto).</w:t>
      </w:r>
    </w:p>
    <w:p w14:paraId="044953B0"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0C1C3CAA"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Ahora, respecto a su consulta es necesario precisar que el </w:t>
      </w:r>
      <w:hyperlink r:id="rId8" w:tooltip="Estatuto Tributario CETA" w:history="1">
        <w:r w:rsidRPr="00B22A28">
          <w:rPr>
            <w:rFonts w:ascii="Segoe UI" w:eastAsia="Times New Roman" w:hAnsi="Segoe UI" w:cs="Segoe UI"/>
            <w:color w:val="0089E1"/>
            <w:sz w:val="22"/>
            <w:u w:val="single"/>
            <w:lang w:eastAsia="es-CO"/>
          </w:rPr>
          <w:t>artículo 72</w:t>
        </w:r>
      </w:hyperlink>
      <w:r w:rsidRPr="00B22A28">
        <w:rPr>
          <w:rFonts w:ascii="Segoe UI" w:eastAsia="Times New Roman" w:hAnsi="Segoe UI" w:cs="Segoe UI"/>
          <w:sz w:val="22"/>
          <w:lang w:eastAsia="es-CO"/>
        </w:rPr>
        <w:t> </w:t>
      </w:r>
      <w:proofErr w:type="spellStart"/>
      <w:r w:rsidRPr="00B22A28">
        <w:rPr>
          <w:rFonts w:ascii="Segoe UI" w:eastAsia="Times New Roman" w:hAnsi="Segoe UI" w:cs="Segoe UI"/>
          <w:i/>
          <w:iCs/>
          <w:sz w:val="22"/>
          <w:lang w:eastAsia="es-CO"/>
        </w:rPr>
        <w:t>ibídem</w:t>
      </w:r>
      <w:proofErr w:type="spellEnd"/>
      <w:r w:rsidRPr="00B22A28">
        <w:rPr>
          <w:rFonts w:ascii="Segoe UI" w:eastAsia="Times New Roman" w:hAnsi="Segoe UI" w:cs="Segoe UI"/>
          <w:i/>
          <w:iCs/>
          <w:sz w:val="22"/>
          <w:lang w:eastAsia="es-CO"/>
        </w:rPr>
        <w:t> </w:t>
      </w:r>
      <w:r w:rsidRPr="00B22A28">
        <w:rPr>
          <w:rFonts w:ascii="Segoe UI" w:eastAsia="Times New Roman" w:hAnsi="Segoe UI" w:cs="Segoe UI"/>
          <w:sz w:val="22"/>
          <w:lang w:eastAsia="es-CO"/>
        </w:rPr>
        <w:t>no establece expresamente el sistema que debe ser utilizado por parte de la entidad territorial para que el contribuyente del impuesto de renta y complementarios pueda utilizar el avalúo del impuesto predial unificado para los fines de dicho artículo, considerando la modificación introducida por el artículo 354 de la Ley 1819 de 2016.</w:t>
      </w:r>
    </w:p>
    <w:p w14:paraId="3250024D"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427514D2"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Así, es posible concluir que, independientemente del sistema utilizado por la entidad territorial para determinar el impuesto predial unificado, el contribuyente del impuesto de renta podrá utilizar el avalúo de la declaración o el avalúo incluido en la factura cuando la entidad utilice el sistema de facturación, para efectos del </w:t>
      </w:r>
      <w:hyperlink r:id="rId9" w:tooltip="Estatuto Tributario CETA" w:history="1">
        <w:r w:rsidRPr="00B22A28">
          <w:rPr>
            <w:rFonts w:ascii="Segoe UI" w:eastAsia="Times New Roman" w:hAnsi="Segoe UI" w:cs="Segoe UI"/>
            <w:color w:val="0089E1"/>
            <w:sz w:val="22"/>
            <w:u w:val="single"/>
            <w:lang w:eastAsia="es-CO"/>
          </w:rPr>
          <w:t>artículo 72</w:t>
        </w:r>
      </w:hyperlink>
      <w:r w:rsidRPr="00B22A28">
        <w:rPr>
          <w:rFonts w:ascii="Segoe UI" w:eastAsia="Times New Roman" w:hAnsi="Segoe UI" w:cs="Segoe UI"/>
          <w:sz w:val="22"/>
          <w:lang w:eastAsia="es-CO"/>
        </w:rPr>
        <w:t> </w:t>
      </w:r>
      <w:proofErr w:type="spellStart"/>
      <w:r w:rsidRPr="00B22A28">
        <w:rPr>
          <w:rFonts w:ascii="Segoe UI" w:eastAsia="Times New Roman" w:hAnsi="Segoe UI" w:cs="Segoe UI"/>
          <w:i/>
          <w:iCs/>
          <w:sz w:val="22"/>
          <w:lang w:eastAsia="es-CO"/>
        </w:rPr>
        <w:t>ibídem</w:t>
      </w:r>
      <w:proofErr w:type="spellEnd"/>
      <w:r w:rsidRPr="00B22A28">
        <w:rPr>
          <w:rFonts w:ascii="Segoe UI" w:eastAsia="Times New Roman" w:hAnsi="Segoe UI" w:cs="Segoe UI"/>
          <w:sz w:val="22"/>
          <w:lang w:eastAsia="es-CO"/>
        </w:rPr>
        <w:t>, siempre que se cumplan los demás requisitos incluidos en dicho artículo.</w:t>
      </w:r>
    </w:p>
    <w:p w14:paraId="20AC95C1"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686BB854"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 </w:t>
      </w:r>
    </w:p>
    <w:p w14:paraId="078B613C"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Atentamente,</w:t>
      </w:r>
    </w:p>
    <w:p w14:paraId="091DF1CC"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b/>
          <w:bCs/>
          <w:sz w:val="22"/>
          <w:lang w:eastAsia="es-CO"/>
        </w:rPr>
        <w:t> </w:t>
      </w:r>
    </w:p>
    <w:p w14:paraId="5CD1DF06"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b/>
          <w:bCs/>
          <w:sz w:val="22"/>
          <w:lang w:eastAsia="es-CO"/>
        </w:rPr>
        <w:t> </w:t>
      </w:r>
    </w:p>
    <w:p w14:paraId="7A65C0B1"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b/>
          <w:bCs/>
          <w:sz w:val="22"/>
          <w:lang w:eastAsia="es-CO"/>
        </w:rPr>
        <w:t>NICOLÁS BERNAL ABELLA</w:t>
      </w:r>
    </w:p>
    <w:p w14:paraId="2C9E4C80"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Subdirector de Gestión Normativa y Doctrina (E)</w:t>
      </w:r>
    </w:p>
    <w:p w14:paraId="4FE98A43"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sz w:val="22"/>
          <w:lang w:eastAsia="es-CO"/>
        </w:rPr>
        <w:t>Dirección de Gestión Jurídica</w:t>
      </w:r>
    </w:p>
    <w:p w14:paraId="4D6A1C48" w14:textId="77777777" w:rsidR="00B22A28" w:rsidRPr="00B22A28" w:rsidRDefault="00B22A28" w:rsidP="00B22A28">
      <w:pPr>
        <w:spacing w:after="0" w:line="240" w:lineRule="auto"/>
        <w:jc w:val="both"/>
        <w:rPr>
          <w:rFonts w:ascii="Arial" w:eastAsia="Times New Roman" w:hAnsi="Arial" w:cs="Arial"/>
          <w:color w:val="000000"/>
          <w:sz w:val="18"/>
          <w:szCs w:val="18"/>
          <w:lang w:eastAsia="es-CO"/>
        </w:rPr>
      </w:pPr>
      <w:r w:rsidRPr="00B22A28">
        <w:rPr>
          <w:rFonts w:ascii="Segoe UI" w:eastAsia="Times New Roman" w:hAnsi="Segoe UI" w:cs="Segoe UI"/>
          <w:color w:val="000000"/>
          <w:sz w:val="18"/>
          <w:szCs w:val="18"/>
          <w:lang w:eastAsia="es-CO"/>
        </w:rPr>
        <w:t>UAE-DIAN</w:t>
      </w:r>
    </w:p>
    <w:p w14:paraId="7240D8D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28"/>
    <w:rsid w:val="000F3837"/>
    <w:rsid w:val="001E311E"/>
    <w:rsid w:val="00434AE6"/>
    <w:rsid w:val="007F5CC8"/>
    <w:rsid w:val="008779BE"/>
    <w:rsid w:val="00B22A2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7911"/>
  <w15:chartTrackingRefBased/>
  <w15:docId w15:val="{052FF668-A229-44AA-A10E-B6854471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1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13" TargetMode="External"/><Relationship Id="rId11" Type="http://schemas.openxmlformats.org/officeDocument/2006/relationships/theme" Target="theme/theme1.xml"/><Relationship Id="rId5" Type="http://schemas.openxmlformats.org/officeDocument/2006/relationships/hyperlink" Target="https://www.ceta.org.co/html/vista_de_un_articulo.asp?Norma=113"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13" TargetMode="External"/><Relationship Id="rId9" Type="http://schemas.openxmlformats.org/officeDocument/2006/relationships/hyperlink" Target="https://www.ceta.org.co/html/vista_de_un_articulo.asp?Norma=1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4633</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2021-11-25T23:19:00Z</dcterms:created>
  <dcterms:modified xsi:type="dcterms:W3CDTF">2021-11-25T23:21:00Z</dcterms:modified>
</cp:coreProperties>
</file>