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C8BA1" w14:textId="77777777" w:rsidR="00474CE6" w:rsidRPr="00474CE6" w:rsidRDefault="00474CE6" w:rsidP="00474CE6">
      <w:pPr>
        <w:spacing w:after="0" w:line="240" w:lineRule="auto"/>
        <w:jc w:val="center"/>
        <w:rPr>
          <w:rFonts w:ascii="Arial" w:eastAsia="Times New Roman" w:hAnsi="Arial" w:cs="Arial"/>
          <w:color w:val="000000"/>
          <w:sz w:val="18"/>
          <w:szCs w:val="18"/>
          <w:lang w:eastAsia="es-CO"/>
        </w:rPr>
      </w:pPr>
      <w:r w:rsidRPr="00474CE6">
        <w:rPr>
          <w:rFonts w:ascii="Segoe UI" w:eastAsia="Times New Roman" w:hAnsi="Segoe UI" w:cs="Segoe UI"/>
          <w:b/>
          <w:bCs/>
          <w:color w:val="0000FF"/>
          <w:sz w:val="28"/>
          <w:szCs w:val="28"/>
          <w:lang w:eastAsia="es-CO"/>
        </w:rPr>
        <w:t xml:space="preserve">OFICIO </w:t>
      </w:r>
      <w:proofErr w:type="spellStart"/>
      <w:r w:rsidRPr="00474CE6">
        <w:rPr>
          <w:rFonts w:ascii="Segoe UI" w:eastAsia="Times New Roman" w:hAnsi="Segoe UI" w:cs="Segoe UI"/>
          <w:b/>
          <w:bCs/>
          <w:color w:val="0000FF"/>
          <w:sz w:val="28"/>
          <w:szCs w:val="28"/>
          <w:lang w:eastAsia="es-CO"/>
        </w:rPr>
        <w:t>Nº</w:t>
      </w:r>
      <w:proofErr w:type="spellEnd"/>
      <w:r w:rsidRPr="00474CE6">
        <w:rPr>
          <w:rFonts w:ascii="Segoe UI" w:eastAsia="Times New Roman" w:hAnsi="Segoe UI" w:cs="Segoe UI"/>
          <w:b/>
          <w:bCs/>
          <w:color w:val="0000FF"/>
          <w:sz w:val="28"/>
          <w:szCs w:val="28"/>
          <w:lang w:eastAsia="es-CO"/>
        </w:rPr>
        <w:t xml:space="preserve"> 1375 [908671]</w:t>
      </w:r>
    </w:p>
    <w:p w14:paraId="2025919B" w14:textId="77777777" w:rsidR="00474CE6" w:rsidRPr="00474CE6" w:rsidRDefault="00474CE6" w:rsidP="00474CE6">
      <w:pPr>
        <w:spacing w:after="0" w:line="240" w:lineRule="auto"/>
        <w:jc w:val="center"/>
        <w:rPr>
          <w:rFonts w:ascii="Arial" w:eastAsia="Times New Roman" w:hAnsi="Arial" w:cs="Arial"/>
          <w:color w:val="000000"/>
          <w:sz w:val="18"/>
          <w:szCs w:val="18"/>
          <w:lang w:eastAsia="es-CO"/>
        </w:rPr>
      </w:pPr>
      <w:r w:rsidRPr="00474CE6">
        <w:rPr>
          <w:rFonts w:ascii="Segoe UI" w:eastAsia="Times New Roman" w:hAnsi="Segoe UI" w:cs="Segoe UI"/>
          <w:b/>
          <w:bCs/>
          <w:color w:val="0000FF"/>
          <w:sz w:val="28"/>
          <w:szCs w:val="28"/>
          <w:lang w:eastAsia="es-CO"/>
        </w:rPr>
        <w:t>26-08-2021</w:t>
      </w:r>
    </w:p>
    <w:p w14:paraId="5C4FB349" w14:textId="77777777" w:rsidR="00474CE6" w:rsidRPr="00474CE6" w:rsidRDefault="00474CE6" w:rsidP="00474CE6">
      <w:pPr>
        <w:spacing w:after="0" w:line="240" w:lineRule="auto"/>
        <w:jc w:val="center"/>
        <w:rPr>
          <w:rFonts w:ascii="Arial" w:eastAsia="Times New Roman" w:hAnsi="Arial" w:cs="Arial"/>
          <w:color w:val="000000"/>
          <w:sz w:val="18"/>
          <w:szCs w:val="18"/>
          <w:lang w:eastAsia="es-CO"/>
        </w:rPr>
      </w:pPr>
      <w:r w:rsidRPr="00474CE6">
        <w:rPr>
          <w:rFonts w:ascii="Segoe UI" w:eastAsia="Times New Roman" w:hAnsi="Segoe UI" w:cs="Segoe UI"/>
          <w:b/>
          <w:bCs/>
          <w:color w:val="0000FF"/>
          <w:sz w:val="28"/>
          <w:szCs w:val="28"/>
          <w:lang w:eastAsia="es-CO"/>
        </w:rPr>
        <w:t>DIAN</w:t>
      </w:r>
    </w:p>
    <w:p w14:paraId="789DD86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5A83BBF0"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0ACDBBD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Subdirección de Gestión Normativa y Doctrina</w:t>
      </w:r>
    </w:p>
    <w:p w14:paraId="11ABA57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100208221-1375</w:t>
      </w:r>
    </w:p>
    <w:p w14:paraId="00F7537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Bogotá, D.C.</w:t>
      </w:r>
    </w:p>
    <w:p w14:paraId="2B4AE862"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73C1C8B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sz w:val="22"/>
          <w:lang w:eastAsia="es-CO"/>
        </w:rPr>
        <w:t>Tema</w:t>
      </w:r>
      <w:r w:rsidRPr="00474CE6">
        <w:rPr>
          <w:rFonts w:ascii="Segoe UI" w:eastAsia="Times New Roman" w:hAnsi="Segoe UI" w:cs="Segoe UI"/>
          <w:sz w:val="22"/>
          <w:lang w:eastAsia="es-CO"/>
        </w:rPr>
        <w:t> Impuesto a la renta y complementarios</w:t>
      </w:r>
    </w:p>
    <w:p w14:paraId="6C3F4839"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sz w:val="22"/>
          <w:lang w:eastAsia="es-CO"/>
        </w:rPr>
        <w:t>Descriptor</w:t>
      </w:r>
      <w:r w:rsidRPr="00474CE6">
        <w:rPr>
          <w:rFonts w:ascii="Segoe UI" w:eastAsia="Times New Roman" w:hAnsi="Segoe UI" w:cs="Segoe UI"/>
          <w:sz w:val="22"/>
          <w:lang w:eastAsia="es-CO"/>
        </w:rPr>
        <w:t> Inventarios como activos</w:t>
      </w:r>
    </w:p>
    <w:p w14:paraId="52C2AC77"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color w:val="000000"/>
          <w:sz w:val="18"/>
          <w:szCs w:val="18"/>
          <w:lang w:eastAsia="es-CO"/>
        </w:rPr>
        <w:t>Fuentes Formales</w:t>
      </w:r>
      <w:r w:rsidRPr="00474CE6">
        <w:rPr>
          <w:rFonts w:ascii="Segoe UI" w:eastAsia="Times New Roman" w:hAnsi="Segoe UI" w:cs="Segoe UI"/>
          <w:color w:val="000000"/>
          <w:sz w:val="18"/>
          <w:szCs w:val="18"/>
          <w:lang w:eastAsia="es-CO"/>
        </w:rPr>
        <w:t> Artículos </w:t>
      </w:r>
      <w:hyperlink r:id="rId4" w:tooltip="Estatuto Tributario CETA" w:history="1">
        <w:r w:rsidRPr="00474CE6">
          <w:rPr>
            <w:rFonts w:ascii="Segoe UI" w:eastAsia="Times New Roman" w:hAnsi="Segoe UI" w:cs="Segoe UI"/>
            <w:color w:val="0089E1"/>
            <w:sz w:val="18"/>
            <w:szCs w:val="18"/>
            <w:lang w:eastAsia="es-CO"/>
          </w:rPr>
          <w:t>21-1</w:t>
        </w:r>
      </w:hyperlink>
      <w:r w:rsidRPr="00474CE6">
        <w:rPr>
          <w:rFonts w:ascii="Segoe UI" w:eastAsia="Times New Roman" w:hAnsi="Segoe UI" w:cs="Segoe UI"/>
          <w:color w:val="000000"/>
          <w:sz w:val="18"/>
          <w:szCs w:val="18"/>
          <w:lang w:eastAsia="es-CO"/>
        </w:rPr>
        <w:t> y </w:t>
      </w:r>
      <w:hyperlink r:id="rId5" w:tooltip="Estatuto Tributario CETA" w:history="1">
        <w:r w:rsidRPr="00474CE6">
          <w:rPr>
            <w:rFonts w:ascii="Segoe UI" w:eastAsia="Times New Roman" w:hAnsi="Segoe UI" w:cs="Segoe UI"/>
            <w:color w:val="0089E1"/>
            <w:sz w:val="18"/>
            <w:szCs w:val="18"/>
            <w:lang w:eastAsia="es-CO"/>
          </w:rPr>
          <w:t>102-4</w:t>
        </w:r>
      </w:hyperlink>
      <w:r w:rsidRPr="00474CE6">
        <w:rPr>
          <w:rFonts w:ascii="Segoe UI" w:eastAsia="Times New Roman" w:hAnsi="Segoe UI" w:cs="Segoe UI"/>
          <w:color w:val="000000"/>
          <w:sz w:val="18"/>
          <w:szCs w:val="18"/>
          <w:lang w:eastAsia="es-CO"/>
        </w:rPr>
        <w:t> del Estatuto Tributario</w:t>
      </w:r>
    </w:p>
    <w:p w14:paraId="115F3184"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0BFB5818"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Cordial saludo,</w:t>
      </w:r>
    </w:p>
    <w:p w14:paraId="446F3A9B"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7A281463"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6EA31020"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00AE86B4"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La consulta del peticionario está orientada a saber cómo se deben reconocer en las declaraciones tributarias del impuesto sobre la renta los saldos de inventarios de los medios de pago o tarjetas prepago de telefonía celular.</w:t>
      </w:r>
    </w:p>
    <w:p w14:paraId="42724A3C"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3596A508"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Al respecto, las consideraciones de este Despacho son las siguientes:</w:t>
      </w:r>
    </w:p>
    <w:p w14:paraId="6F4602E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6BEAB122"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El </w:t>
      </w:r>
      <w:hyperlink r:id="rId6" w:tooltip="Estatuto Tributario CETA" w:history="1">
        <w:r w:rsidRPr="00474CE6">
          <w:rPr>
            <w:rFonts w:ascii="Segoe UI" w:eastAsia="Times New Roman" w:hAnsi="Segoe UI" w:cs="Segoe UI"/>
            <w:color w:val="0089E1"/>
            <w:sz w:val="22"/>
            <w:lang w:eastAsia="es-CO"/>
          </w:rPr>
          <w:t>artículo 21-1</w:t>
        </w:r>
      </w:hyperlink>
      <w:r w:rsidRPr="00474CE6">
        <w:rPr>
          <w:rFonts w:ascii="Segoe UI" w:eastAsia="Times New Roman" w:hAnsi="Segoe UI" w:cs="Segoe UI"/>
          <w:sz w:val="22"/>
          <w:lang w:eastAsia="es-CO"/>
        </w:rPr>
        <w:t> del Estatuto Tributario, adicionado por la Ley 1819 de 2016, establece que para la determinación del impuesto sobre la renta y complementarios, en el valor de los activos, pasivos, patrimonio, ingresos, costos y gastos, los sujetos pasivos de este impuesto obligados a llevar contabilidad aplicarán los sistemas de reconocimientos y medición, de conformidad con los marcos técnicos normativos contables vigentes en Colombia, cuando la ley tributaria remita expresamente a ellas y en los casos en que esta no regule la materia. En todo caso, la ley tributaria puede disponer de forma expresa un tratamiento diferente, de conformidad con el artículo 4 de la Ley 1314 de 2009.</w:t>
      </w:r>
    </w:p>
    <w:p w14:paraId="259A555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2CC9E645"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Así mismo, en sus parágrafos 1 y 2, determina:</w:t>
      </w:r>
    </w:p>
    <w:p w14:paraId="5893A6D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i/>
          <w:iCs/>
          <w:sz w:val="22"/>
          <w:lang w:eastAsia="es-CO"/>
        </w:rPr>
        <w:t> </w:t>
      </w:r>
    </w:p>
    <w:p w14:paraId="3374E578" w14:textId="77777777" w:rsidR="00474CE6" w:rsidRPr="00474CE6" w:rsidRDefault="00474CE6" w:rsidP="00474CE6">
      <w:pPr>
        <w:spacing w:after="0" w:line="240" w:lineRule="auto"/>
        <w:ind w:left="284"/>
        <w:jc w:val="both"/>
        <w:rPr>
          <w:rFonts w:ascii="Arial" w:eastAsia="Times New Roman" w:hAnsi="Arial" w:cs="Arial"/>
          <w:color w:val="000000"/>
          <w:sz w:val="18"/>
          <w:szCs w:val="18"/>
          <w:lang w:eastAsia="es-CO"/>
        </w:rPr>
      </w:pPr>
      <w:r w:rsidRPr="00474CE6">
        <w:rPr>
          <w:rFonts w:ascii="Segoe UI" w:eastAsia="Times New Roman" w:hAnsi="Segoe UI" w:cs="Segoe UI"/>
          <w:i/>
          <w:iCs/>
          <w:sz w:val="22"/>
          <w:lang w:eastAsia="es-CO"/>
        </w:rPr>
        <w:t>“</w:t>
      </w:r>
      <w:r w:rsidRPr="00474CE6">
        <w:rPr>
          <w:rFonts w:ascii="Segoe UI" w:eastAsia="Times New Roman" w:hAnsi="Segoe UI" w:cs="Segoe UI"/>
          <w:b/>
          <w:bCs/>
          <w:i/>
          <w:iCs/>
          <w:sz w:val="22"/>
          <w:lang w:eastAsia="es-CO"/>
        </w:rPr>
        <w:t>Parágrafo 1°.</w:t>
      </w:r>
      <w:r w:rsidRPr="00474CE6">
        <w:rPr>
          <w:rFonts w:ascii="Segoe UI" w:eastAsia="Times New Roman" w:hAnsi="Segoe UI" w:cs="Segoe UI"/>
          <w:i/>
          <w:iCs/>
          <w:sz w:val="22"/>
          <w:lang w:eastAsia="es-CO"/>
        </w:rPr>
        <w:t> Los activos, pasivos, patrimonio, ingresos, costos y gastos deberán tener en cuenta la base contable de acumulación o devengo, la cual describe los efectos de las transacciones y otros sucesos y circunstancias sobre los recursos económicos y los derechos de los acreedores de la entidad que informa en los períodos en que esos efectos tienen lugar, incluso si los cobros y pagos resultantes se producen en un período diferente.</w:t>
      </w:r>
    </w:p>
    <w:p w14:paraId="2693F221" w14:textId="77777777" w:rsidR="00474CE6" w:rsidRPr="00474CE6" w:rsidRDefault="00474CE6" w:rsidP="00474CE6">
      <w:pPr>
        <w:spacing w:after="0" w:line="240" w:lineRule="auto"/>
        <w:ind w:left="284"/>
        <w:jc w:val="both"/>
        <w:rPr>
          <w:rFonts w:ascii="Arial" w:eastAsia="Times New Roman" w:hAnsi="Arial" w:cs="Arial"/>
          <w:color w:val="000000"/>
          <w:sz w:val="18"/>
          <w:szCs w:val="18"/>
          <w:lang w:eastAsia="es-CO"/>
        </w:rPr>
      </w:pPr>
      <w:r w:rsidRPr="00474CE6">
        <w:rPr>
          <w:rFonts w:ascii="Segoe UI" w:eastAsia="Times New Roman" w:hAnsi="Segoe UI" w:cs="Segoe UI"/>
          <w:i/>
          <w:iCs/>
          <w:color w:val="000000"/>
          <w:sz w:val="18"/>
          <w:szCs w:val="18"/>
          <w:lang w:eastAsia="es-CO"/>
        </w:rPr>
        <w:t> </w:t>
      </w:r>
    </w:p>
    <w:p w14:paraId="14BCA50C" w14:textId="77777777" w:rsidR="00474CE6" w:rsidRPr="00474CE6" w:rsidRDefault="00474CE6" w:rsidP="00474CE6">
      <w:pPr>
        <w:spacing w:after="0" w:line="240" w:lineRule="auto"/>
        <w:ind w:left="284"/>
        <w:jc w:val="both"/>
        <w:rPr>
          <w:rFonts w:ascii="Arial" w:eastAsia="Times New Roman" w:hAnsi="Arial" w:cs="Arial"/>
          <w:color w:val="000000"/>
          <w:sz w:val="18"/>
          <w:szCs w:val="18"/>
          <w:lang w:eastAsia="es-CO"/>
        </w:rPr>
      </w:pPr>
      <w:r w:rsidRPr="00474CE6">
        <w:rPr>
          <w:rFonts w:ascii="Segoe UI" w:eastAsia="Times New Roman" w:hAnsi="Segoe UI" w:cs="Segoe UI"/>
          <w:i/>
          <w:iCs/>
          <w:color w:val="000000"/>
          <w:sz w:val="18"/>
          <w:szCs w:val="18"/>
          <w:lang w:eastAsia="es-CO"/>
        </w:rPr>
        <w:t>Cuando se utiliza la base contable de acumulación o devengo, una entidad reconocerá partidas como activos, pasivos, patrimonio, ingresos, costos y gastos, cuando satisfagan las definiciones y los criterios de reconocimiento previstos para tales elementos, de acuerdo con los marcos técnicos normativos contables que le sean aplicables al obligado a llevar contabilidad.</w:t>
      </w:r>
    </w:p>
    <w:p w14:paraId="241474A9" w14:textId="77777777" w:rsidR="00474CE6" w:rsidRPr="00474CE6" w:rsidRDefault="00474CE6" w:rsidP="00474CE6">
      <w:pPr>
        <w:spacing w:after="0" w:line="240" w:lineRule="auto"/>
        <w:ind w:left="284"/>
        <w:jc w:val="both"/>
        <w:rPr>
          <w:rFonts w:ascii="Arial" w:eastAsia="Times New Roman" w:hAnsi="Arial" w:cs="Arial"/>
          <w:color w:val="000000"/>
          <w:sz w:val="18"/>
          <w:szCs w:val="18"/>
          <w:lang w:eastAsia="es-CO"/>
        </w:rPr>
      </w:pPr>
      <w:r w:rsidRPr="00474CE6">
        <w:rPr>
          <w:rFonts w:ascii="Segoe UI" w:eastAsia="Times New Roman" w:hAnsi="Segoe UI" w:cs="Segoe UI"/>
          <w:i/>
          <w:iCs/>
          <w:sz w:val="22"/>
          <w:lang w:eastAsia="es-CO"/>
        </w:rPr>
        <w:t> </w:t>
      </w:r>
    </w:p>
    <w:p w14:paraId="3FCC2CD2" w14:textId="77777777" w:rsidR="00474CE6" w:rsidRPr="00474CE6" w:rsidRDefault="00474CE6" w:rsidP="00474CE6">
      <w:pPr>
        <w:spacing w:after="0" w:line="240" w:lineRule="auto"/>
        <w:ind w:left="284"/>
        <w:jc w:val="both"/>
        <w:rPr>
          <w:rFonts w:ascii="Arial" w:eastAsia="Times New Roman" w:hAnsi="Arial" w:cs="Arial"/>
          <w:color w:val="000000"/>
          <w:sz w:val="18"/>
          <w:szCs w:val="18"/>
          <w:lang w:eastAsia="es-CO"/>
        </w:rPr>
      </w:pPr>
      <w:r w:rsidRPr="00474CE6">
        <w:rPr>
          <w:rFonts w:ascii="Segoe UI" w:eastAsia="Times New Roman" w:hAnsi="Segoe UI" w:cs="Segoe UI"/>
          <w:b/>
          <w:bCs/>
          <w:i/>
          <w:iCs/>
          <w:sz w:val="22"/>
          <w:lang w:eastAsia="es-CO"/>
        </w:rPr>
        <w:t>Parágrafo 2°.</w:t>
      </w:r>
      <w:r w:rsidRPr="00474CE6">
        <w:rPr>
          <w:rFonts w:ascii="Segoe UI" w:eastAsia="Times New Roman" w:hAnsi="Segoe UI" w:cs="Segoe UI"/>
          <w:i/>
          <w:iCs/>
          <w:sz w:val="22"/>
          <w:lang w:eastAsia="es-CO"/>
        </w:rPr>
        <w:t> Los contribuyentes personas naturales que opten por llevar contabilidad se someterán a las reglas previstas en este artículo y demás normas previstas en este Estatuto para los obligados a llevar contabilidad”.</w:t>
      </w:r>
    </w:p>
    <w:p w14:paraId="16E03B53"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33509A1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xml:space="preserve">Es así como para los efectos de su aplicación, cuando el Estatuto Tributario hace remisión al marco técnico normativo contable, técnica contable, normas de contabilidad generalmente aceptadas </w:t>
      </w:r>
      <w:r w:rsidRPr="00474CE6">
        <w:rPr>
          <w:rFonts w:ascii="Segoe UI" w:eastAsia="Times New Roman" w:hAnsi="Segoe UI" w:cs="Segoe UI"/>
          <w:sz w:val="22"/>
          <w:lang w:eastAsia="es-CO"/>
        </w:rPr>
        <w:lastRenderedPageBreak/>
        <w:t>en Colombia y contabilidad por el sistema de causación, se está refiriendo a las normas de contabilidad vigentes en Colombia. Razón por la cual, todas las personas naturales que llevan contabilidad, sociedades y personas jurídicas, estarán obligadas a su riguroso cumplimiento.</w:t>
      </w:r>
    </w:p>
    <w:p w14:paraId="36356F3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3AF8E75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xml:space="preserve">Ahora bien, para efectos tributarios, las mediciones que se efectúen a valor presente o valor razonable de conformidad con los marcos técnicos normativos </w:t>
      </w:r>
      <w:proofErr w:type="gramStart"/>
      <w:r w:rsidRPr="00474CE6">
        <w:rPr>
          <w:rFonts w:ascii="Segoe UI" w:eastAsia="Times New Roman" w:hAnsi="Segoe UI" w:cs="Segoe UI"/>
          <w:sz w:val="22"/>
          <w:lang w:eastAsia="es-CO"/>
        </w:rPr>
        <w:t>contables,</w:t>
      </w:r>
      <w:proofErr w:type="gramEnd"/>
      <w:r w:rsidRPr="00474CE6">
        <w:rPr>
          <w:rFonts w:ascii="Segoe UI" w:eastAsia="Times New Roman" w:hAnsi="Segoe UI" w:cs="Segoe UI"/>
          <w:sz w:val="22"/>
          <w:lang w:eastAsia="es-CO"/>
        </w:rPr>
        <w:t xml:space="preserve"> deberán reconocerse al costo, precio de adquisición o valor nominal, siempre y cuando no exista un tratamiento diferente en normas especiales tributarias. Por consiguiente, tal como lo dispone el parágrafo 6º del </w:t>
      </w:r>
      <w:hyperlink r:id="rId7" w:tooltip="Estatuto Tributario CETA" w:history="1">
        <w:r w:rsidRPr="00474CE6">
          <w:rPr>
            <w:rFonts w:ascii="Segoe UI" w:eastAsia="Times New Roman" w:hAnsi="Segoe UI" w:cs="Segoe UI"/>
            <w:color w:val="0089E1"/>
            <w:sz w:val="22"/>
            <w:lang w:eastAsia="es-CO"/>
          </w:rPr>
          <w:t>artículo 21-1</w:t>
        </w:r>
      </w:hyperlink>
      <w:r w:rsidRPr="00474CE6">
        <w:rPr>
          <w:rFonts w:ascii="Segoe UI" w:eastAsia="Times New Roman" w:hAnsi="Segoe UI" w:cs="Segoe UI"/>
          <w:sz w:val="22"/>
          <w:lang w:eastAsia="es-CO"/>
        </w:rPr>
        <w:t> del Estatuto Tributario, las diferencias que resulten del sistema de medición contable y fiscal no tendrán efectos en el impuesto sobre la renta y complementarios hasta que la transacción se realice mediante la transferencia económica del activo o la extinción del pasivo, según corresponda.</w:t>
      </w:r>
    </w:p>
    <w:p w14:paraId="79D03505"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438EEC0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De otra parte, se recuerda que el Consejo Técnico de la Contaduría con anterioridad a la entrada en vigencia de la norma antedicha, en reiterados pronunciamientos adoptados para efectos tributarios, señaló el manejo de los inventarios de este tipo de tarjetas prepago de recarga de servicio telefónico móvil por parte de los operados comercializadores, indicando en su momento que las tarjetas prepago analizadas constituyen, para los encargados de su comercialización, un recurso obtenido por el ente económico como resultado de eventos pasados de cuya utilización se espera que fluyan a la empresa beneficios económicos futuros, razón por la cual ameritan una representación financiera.</w:t>
      </w:r>
    </w:p>
    <w:p w14:paraId="5D0212C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33971949"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xml:space="preserve">Coligiendo que deben tratarse como un activo, puesto que, a pesar de la inmaterialidad del servicio incorporado en ellos, es necesario otorgarles atributos de bienes materiales, cuantificables, negociables y valorizables, más allá de que se les haya dado también una representación tangible y material representada en el plástico que llega al consumidor en la forma de la comúnmente denominado </w:t>
      </w:r>
      <w:proofErr w:type="gramStart"/>
      <w:r w:rsidRPr="00474CE6">
        <w:rPr>
          <w:rFonts w:ascii="Segoe UI" w:eastAsia="Times New Roman" w:hAnsi="Segoe UI" w:cs="Segoe UI"/>
          <w:sz w:val="22"/>
          <w:lang w:eastAsia="es-CO"/>
        </w:rPr>
        <w:t>tarjeta prepago</w:t>
      </w:r>
      <w:proofErr w:type="gramEnd"/>
      <w:r w:rsidRPr="00474CE6">
        <w:rPr>
          <w:rFonts w:ascii="Segoe UI" w:eastAsia="Times New Roman" w:hAnsi="Segoe UI" w:cs="Segoe UI"/>
          <w:sz w:val="22"/>
          <w:lang w:eastAsia="es-CO"/>
        </w:rPr>
        <w:t>. A su vez, dispuso en ese entonces su manejo conforme a lo previsto por el inciso primero del Artículo 63 del Decreto 2649 de 1993 y al artículo 129 de la norma </w:t>
      </w:r>
      <w:proofErr w:type="spellStart"/>
      <w:r w:rsidRPr="00474CE6">
        <w:rPr>
          <w:rFonts w:ascii="Segoe UI" w:eastAsia="Times New Roman" w:hAnsi="Segoe UI" w:cs="Segoe UI"/>
          <w:i/>
          <w:iCs/>
          <w:sz w:val="22"/>
          <w:lang w:eastAsia="es-CO"/>
        </w:rPr>
        <w:t>ibídem</w:t>
      </w:r>
      <w:proofErr w:type="spellEnd"/>
      <w:r w:rsidRPr="00474CE6">
        <w:rPr>
          <w:rFonts w:ascii="Segoe UI" w:eastAsia="Times New Roman" w:hAnsi="Segoe UI" w:cs="Segoe UI"/>
          <w:sz w:val="22"/>
          <w:lang w:eastAsia="es-CO"/>
        </w:rPr>
        <w:t>, norma vigente en ese momento.</w:t>
      </w:r>
    </w:p>
    <w:p w14:paraId="46B1D9D0"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2FFDE7A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Situación que hoy en día debe evaluarse bajo los razonamientos y descripciones vigentes, en desarrollo de la Ley 1314 de 2009, del Decreto 2420 de 2015 y demás normas complementarias emitidas para tal efecto.</w:t>
      </w:r>
    </w:p>
    <w:p w14:paraId="3AAD3C33"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22EB4965"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xml:space="preserve">En consecuencia, en concordancia con el artículo 4 de la Ley 1314 de 2009 las normas expedidas en desarrollo de dicha </w:t>
      </w:r>
      <w:proofErr w:type="gramStart"/>
      <w:r w:rsidRPr="00474CE6">
        <w:rPr>
          <w:rFonts w:ascii="Segoe UI" w:eastAsia="Times New Roman" w:hAnsi="Segoe UI" w:cs="Segoe UI"/>
          <w:sz w:val="22"/>
          <w:lang w:eastAsia="es-CO"/>
        </w:rPr>
        <w:t>ley,</w:t>
      </w:r>
      <w:proofErr w:type="gramEnd"/>
      <w:r w:rsidRPr="00474CE6">
        <w:rPr>
          <w:rFonts w:ascii="Segoe UI" w:eastAsia="Times New Roman" w:hAnsi="Segoe UI" w:cs="Segoe UI"/>
          <w:sz w:val="22"/>
          <w:lang w:eastAsia="es-CO"/>
        </w:rPr>
        <w:t xml:space="preserve"> únicamente tendrán efecto impositivo cuando las leyes tributarias remitan expresamente a ellas o cuando estas no regulen la materia. Aspecto de vital importancia, para tener en cuenta en la aplicación del </w:t>
      </w:r>
      <w:hyperlink r:id="rId8" w:tooltip="Estatuto Tributario CETA" w:history="1">
        <w:r w:rsidRPr="00474CE6">
          <w:rPr>
            <w:rFonts w:ascii="Segoe UI" w:eastAsia="Times New Roman" w:hAnsi="Segoe UI" w:cs="Segoe UI"/>
            <w:color w:val="0089E1"/>
            <w:sz w:val="22"/>
            <w:lang w:eastAsia="es-CO"/>
          </w:rPr>
          <w:t>artículo 21-1</w:t>
        </w:r>
      </w:hyperlink>
      <w:r w:rsidRPr="00474CE6">
        <w:rPr>
          <w:rFonts w:ascii="Segoe UI" w:eastAsia="Times New Roman" w:hAnsi="Segoe UI" w:cs="Segoe UI"/>
          <w:sz w:val="22"/>
          <w:lang w:eastAsia="es-CO"/>
        </w:rPr>
        <w:t> del Estatuto Tributario cuando se trate de establecer el valor del inventario.</w:t>
      </w:r>
    </w:p>
    <w:p w14:paraId="376B6B81"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color w:val="000000"/>
          <w:sz w:val="18"/>
          <w:szCs w:val="18"/>
          <w:lang w:eastAsia="es-CO"/>
        </w:rPr>
        <w:t> </w:t>
      </w:r>
    </w:p>
    <w:p w14:paraId="2F07F61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color w:val="000000"/>
          <w:sz w:val="18"/>
          <w:szCs w:val="18"/>
          <w:lang w:eastAsia="es-CO"/>
        </w:rPr>
        <w:t>Por tanto, para efectos fiscales de la declaración del impuesto sobre la renta y complementarios relacionados con activos, se recomienda atender la norma referida para efectos del cálculo de este tipo de inventarios a llevar en las declaraciones tributarias, según los sistemas de reconocimiento y medición a que hace referencia el Estatuto Tributario en su </w:t>
      </w:r>
      <w:hyperlink r:id="rId9" w:tooltip="Estatuto Tributario CETA" w:history="1">
        <w:r w:rsidRPr="00474CE6">
          <w:rPr>
            <w:rFonts w:ascii="Segoe UI" w:eastAsia="Times New Roman" w:hAnsi="Segoe UI" w:cs="Segoe UI"/>
            <w:color w:val="0089E1"/>
            <w:sz w:val="18"/>
            <w:szCs w:val="18"/>
            <w:lang w:eastAsia="es-CO"/>
          </w:rPr>
          <w:t>artículo 21-1</w:t>
        </w:r>
      </w:hyperlink>
      <w:r w:rsidRPr="00474CE6">
        <w:rPr>
          <w:rFonts w:ascii="Segoe UI" w:eastAsia="Times New Roman" w:hAnsi="Segoe UI" w:cs="Segoe UI"/>
          <w:color w:val="000000"/>
          <w:sz w:val="18"/>
          <w:szCs w:val="18"/>
          <w:lang w:eastAsia="es-CO"/>
        </w:rPr>
        <w:t> </w:t>
      </w:r>
      <w:proofErr w:type="spellStart"/>
      <w:r w:rsidRPr="00474CE6">
        <w:rPr>
          <w:rFonts w:ascii="Segoe UI" w:eastAsia="Times New Roman" w:hAnsi="Segoe UI" w:cs="Segoe UI"/>
          <w:i/>
          <w:iCs/>
          <w:color w:val="000000"/>
          <w:sz w:val="18"/>
          <w:szCs w:val="18"/>
          <w:lang w:eastAsia="es-CO"/>
        </w:rPr>
        <w:t>ibídem</w:t>
      </w:r>
      <w:proofErr w:type="spellEnd"/>
      <w:r w:rsidRPr="00474CE6">
        <w:rPr>
          <w:rFonts w:ascii="Segoe UI" w:eastAsia="Times New Roman" w:hAnsi="Segoe UI" w:cs="Segoe UI"/>
          <w:color w:val="000000"/>
          <w:sz w:val="18"/>
          <w:szCs w:val="18"/>
          <w:lang w:eastAsia="es-CO"/>
        </w:rPr>
        <w:t>.</w:t>
      </w:r>
    </w:p>
    <w:p w14:paraId="5F790CCC"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41ECE7A5"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Finalmente, en cuanto a la determinación de los ingresos brutos derivados de la compraventa de medios de pago en la prestación de servicios de telefonía móvil, se sugiere al peticionario consultar lo dispuesto en el </w:t>
      </w:r>
      <w:hyperlink r:id="rId10" w:tooltip="Estatuto Tributario CETA" w:history="1">
        <w:r w:rsidRPr="00474CE6">
          <w:rPr>
            <w:rFonts w:ascii="Segoe UI" w:eastAsia="Times New Roman" w:hAnsi="Segoe UI" w:cs="Segoe UI"/>
            <w:color w:val="0089E1"/>
            <w:sz w:val="22"/>
            <w:lang w:eastAsia="es-CO"/>
          </w:rPr>
          <w:t>artículo 102-4</w:t>
        </w:r>
      </w:hyperlink>
      <w:r w:rsidRPr="00474CE6">
        <w:rPr>
          <w:rFonts w:ascii="Segoe UI" w:eastAsia="Times New Roman" w:hAnsi="Segoe UI" w:cs="Segoe UI"/>
          <w:sz w:val="22"/>
          <w:lang w:eastAsia="es-CO"/>
        </w:rPr>
        <w:t> del Estatuto Tributario, en donde se establece como base del ingreso la diferencia entre el precio de venta de los medios y su costo de adquisición.</w:t>
      </w:r>
    </w:p>
    <w:p w14:paraId="387F703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0C01E96C"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xml:space="preserve">En caso de requerir </w:t>
      </w:r>
      <w:proofErr w:type="gramStart"/>
      <w:r w:rsidRPr="00474CE6">
        <w:rPr>
          <w:rFonts w:ascii="Segoe UI" w:eastAsia="Times New Roman" w:hAnsi="Segoe UI" w:cs="Segoe UI"/>
          <w:sz w:val="22"/>
          <w:lang w:eastAsia="es-CO"/>
        </w:rPr>
        <w:t>mayor información</w:t>
      </w:r>
      <w:proofErr w:type="gramEnd"/>
      <w:r w:rsidRPr="00474CE6">
        <w:rPr>
          <w:rFonts w:ascii="Segoe UI" w:eastAsia="Times New Roman" w:hAnsi="Segoe UI" w:cs="Segoe UI"/>
          <w:sz w:val="22"/>
          <w:lang w:eastAsia="es-CO"/>
        </w:rPr>
        <w:t xml:space="preserve"> sobre el tema contable se sugiere dirigirse al Consejo Técnico de la Contaduría.</w:t>
      </w:r>
    </w:p>
    <w:p w14:paraId="4064811E"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038A126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 </w:t>
      </w:r>
    </w:p>
    <w:p w14:paraId="62F0804F"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Atentamente,</w:t>
      </w:r>
    </w:p>
    <w:p w14:paraId="3F774BD0"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sz w:val="22"/>
          <w:lang w:eastAsia="es-CO"/>
        </w:rPr>
        <w:t> </w:t>
      </w:r>
    </w:p>
    <w:p w14:paraId="5EA440B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sz w:val="22"/>
          <w:lang w:eastAsia="es-CO"/>
        </w:rPr>
        <w:t> </w:t>
      </w:r>
    </w:p>
    <w:p w14:paraId="5E541B6D"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b/>
          <w:bCs/>
          <w:sz w:val="22"/>
          <w:lang w:eastAsia="es-CO"/>
        </w:rPr>
        <w:lastRenderedPageBreak/>
        <w:t>NICOLÁS BERNAL ABELLA</w:t>
      </w:r>
    </w:p>
    <w:p w14:paraId="5BAD081A"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Subdirector de Gestión Normativa y Doctrina (E)</w:t>
      </w:r>
    </w:p>
    <w:p w14:paraId="181CAFAE"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sz w:val="22"/>
          <w:lang w:eastAsia="es-CO"/>
        </w:rPr>
        <w:t>Dirección de Gestión Jurídica</w:t>
      </w:r>
    </w:p>
    <w:p w14:paraId="1F8C5EB6" w14:textId="77777777" w:rsidR="00474CE6" w:rsidRPr="00474CE6" w:rsidRDefault="00474CE6" w:rsidP="00474CE6">
      <w:pPr>
        <w:spacing w:after="0" w:line="240" w:lineRule="auto"/>
        <w:jc w:val="both"/>
        <w:rPr>
          <w:rFonts w:ascii="Arial" w:eastAsia="Times New Roman" w:hAnsi="Arial" w:cs="Arial"/>
          <w:color w:val="000000"/>
          <w:sz w:val="18"/>
          <w:szCs w:val="18"/>
          <w:lang w:eastAsia="es-CO"/>
        </w:rPr>
      </w:pPr>
      <w:r w:rsidRPr="00474CE6">
        <w:rPr>
          <w:rFonts w:ascii="Segoe UI" w:eastAsia="Times New Roman" w:hAnsi="Segoe UI" w:cs="Segoe UI"/>
          <w:color w:val="000000"/>
          <w:sz w:val="18"/>
          <w:szCs w:val="18"/>
          <w:lang w:eastAsia="es-CO"/>
        </w:rPr>
        <w:t>UAE- Dirección de Impuestos y Aduanas Nacionales</w:t>
      </w:r>
    </w:p>
    <w:p w14:paraId="55C0E52D" w14:textId="77777777" w:rsidR="007F5CC8" w:rsidRDefault="007F5CC8"/>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CE6"/>
    <w:rsid w:val="000F3837"/>
    <w:rsid w:val="001E311E"/>
    <w:rsid w:val="00434AE6"/>
    <w:rsid w:val="00474CE6"/>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48382"/>
  <w15:chartTrackingRefBased/>
  <w15:docId w15:val="{80BDC260-3B54-4C20-8785-C2A157677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1400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470"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42470"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42470" TargetMode="External"/><Relationship Id="rId11" Type="http://schemas.openxmlformats.org/officeDocument/2006/relationships/fontTable" Target="fontTable.xml"/><Relationship Id="rId5" Type="http://schemas.openxmlformats.org/officeDocument/2006/relationships/hyperlink" Target="https://www.ceta.org.co/html/vista_de_un_articulo.asp?Norma=29938" TargetMode="External"/><Relationship Id="rId10" Type="http://schemas.openxmlformats.org/officeDocument/2006/relationships/hyperlink" Target="https://www.ceta.org.co/html/vista_de_un_articulo.asp?Norma=29938" TargetMode="External"/><Relationship Id="rId4" Type="http://schemas.openxmlformats.org/officeDocument/2006/relationships/hyperlink" Target="https://www.ceta.org.co/html/vista_de_un_articulo.asp?Norma=42470" TargetMode="External"/><Relationship Id="rId9" Type="http://schemas.openxmlformats.org/officeDocument/2006/relationships/hyperlink" Target="https://www.ceta.org.co/html/vista_de_un_articulo.asp?Norma=4247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1209</Words>
  <Characters>6652</Characters>
  <Application>Microsoft Office Word</Application>
  <DocSecurity>0</DocSecurity>
  <Lines>55</Lines>
  <Paragraphs>15</Paragraphs>
  <ScaleCrop>false</ScaleCrop>
  <Company/>
  <LinksUpToDate>false</LinksUpToDate>
  <CharactersWithSpaces>7846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2022-01-21T22:05:00Z</dcterms:created>
  <dcterms:modified xsi:type="dcterms:W3CDTF">2022-01-21T22:07:00Z</dcterms:modified>
</cp:coreProperties>
</file>