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A6D6C" w14:textId="77777777" w:rsidR="005F11FC" w:rsidRPr="005F11FC" w:rsidRDefault="005F11FC" w:rsidP="005F11FC">
      <w:pPr>
        <w:spacing w:after="0" w:line="240" w:lineRule="auto"/>
        <w:jc w:val="center"/>
        <w:rPr>
          <w:rFonts w:ascii="Arial" w:eastAsia="Times New Roman" w:hAnsi="Arial" w:cs="Arial"/>
          <w:color w:val="000000"/>
          <w:sz w:val="18"/>
          <w:szCs w:val="18"/>
          <w:lang w:eastAsia="es-CO"/>
        </w:rPr>
      </w:pPr>
      <w:r w:rsidRPr="005F11FC">
        <w:rPr>
          <w:rFonts w:ascii="Segoe UI" w:eastAsia="Times New Roman" w:hAnsi="Segoe UI" w:cs="Segoe UI"/>
          <w:b/>
          <w:bCs/>
          <w:color w:val="0000FF"/>
          <w:sz w:val="28"/>
          <w:szCs w:val="28"/>
          <w:lang w:eastAsia="es-CO"/>
        </w:rPr>
        <w:t xml:space="preserve">OFICIO </w:t>
      </w:r>
      <w:proofErr w:type="spellStart"/>
      <w:r w:rsidRPr="005F11FC">
        <w:rPr>
          <w:rFonts w:ascii="Segoe UI" w:eastAsia="Times New Roman" w:hAnsi="Segoe UI" w:cs="Segoe UI"/>
          <w:b/>
          <w:bCs/>
          <w:color w:val="0000FF"/>
          <w:sz w:val="28"/>
          <w:szCs w:val="28"/>
          <w:lang w:eastAsia="es-CO"/>
        </w:rPr>
        <w:t>Nº</w:t>
      </w:r>
      <w:proofErr w:type="spellEnd"/>
      <w:r w:rsidRPr="005F11FC">
        <w:rPr>
          <w:rFonts w:ascii="Segoe UI" w:eastAsia="Times New Roman" w:hAnsi="Segoe UI" w:cs="Segoe UI"/>
          <w:b/>
          <w:bCs/>
          <w:color w:val="0000FF"/>
          <w:sz w:val="28"/>
          <w:szCs w:val="28"/>
          <w:lang w:eastAsia="es-CO"/>
        </w:rPr>
        <w:t xml:space="preserve"> 1087 [907104]</w:t>
      </w:r>
    </w:p>
    <w:p w14:paraId="3A24ABBD" w14:textId="77777777" w:rsidR="005F11FC" w:rsidRPr="005F11FC" w:rsidRDefault="005F11FC" w:rsidP="005F11FC">
      <w:pPr>
        <w:spacing w:after="0" w:line="240" w:lineRule="auto"/>
        <w:jc w:val="center"/>
        <w:rPr>
          <w:rFonts w:ascii="Arial" w:eastAsia="Times New Roman" w:hAnsi="Arial" w:cs="Arial"/>
          <w:color w:val="000000"/>
          <w:sz w:val="18"/>
          <w:szCs w:val="18"/>
          <w:lang w:eastAsia="es-CO"/>
        </w:rPr>
      </w:pPr>
      <w:r w:rsidRPr="005F11FC">
        <w:rPr>
          <w:rFonts w:ascii="Segoe UI" w:eastAsia="Times New Roman" w:hAnsi="Segoe UI" w:cs="Segoe UI"/>
          <w:b/>
          <w:bCs/>
          <w:color w:val="0000FF"/>
          <w:sz w:val="28"/>
          <w:szCs w:val="28"/>
          <w:lang w:eastAsia="es-CO"/>
        </w:rPr>
        <w:t>19-07-2021</w:t>
      </w:r>
    </w:p>
    <w:p w14:paraId="2BDD53E5" w14:textId="77777777" w:rsidR="005F11FC" w:rsidRPr="005F11FC" w:rsidRDefault="005F11FC" w:rsidP="005F11FC">
      <w:pPr>
        <w:spacing w:after="0" w:line="240" w:lineRule="auto"/>
        <w:jc w:val="center"/>
        <w:rPr>
          <w:rFonts w:ascii="Arial" w:eastAsia="Times New Roman" w:hAnsi="Arial" w:cs="Arial"/>
          <w:color w:val="000000"/>
          <w:sz w:val="18"/>
          <w:szCs w:val="18"/>
          <w:lang w:eastAsia="es-CO"/>
        </w:rPr>
      </w:pPr>
      <w:r w:rsidRPr="005F11FC">
        <w:rPr>
          <w:rFonts w:ascii="Segoe UI" w:eastAsia="Times New Roman" w:hAnsi="Segoe UI" w:cs="Segoe UI"/>
          <w:b/>
          <w:bCs/>
          <w:color w:val="0000FF"/>
          <w:sz w:val="28"/>
          <w:szCs w:val="28"/>
          <w:lang w:eastAsia="es-CO"/>
        </w:rPr>
        <w:t>DIAN</w:t>
      </w:r>
    </w:p>
    <w:p w14:paraId="64E830AF" w14:textId="77777777" w:rsidR="005F11FC" w:rsidRPr="005F11FC" w:rsidRDefault="005F11FC" w:rsidP="005F11FC">
      <w:pPr>
        <w:spacing w:after="0" w:line="240" w:lineRule="auto"/>
        <w:jc w:val="both"/>
        <w:rPr>
          <w:rFonts w:ascii="Arial" w:eastAsia="Times New Roman" w:hAnsi="Arial" w:cs="Arial"/>
          <w:color w:val="000000"/>
          <w:sz w:val="18"/>
          <w:szCs w:val="18"/>
          <w:lang w:eastAsia="es-CO"/>
        </w:rPr>
      </w:pPr>
      <w:r w:rsidRPr="005F11FC">
        <w:rPr>
          <w:rFonts w:ascii="Segoe UI" w:eastAsia="Times New Roman" w:hAnsi="Segoe UI" w:cs="Segoe UI"/>
          <w:sz w:val="22"/>
          <w:lang w:eastAsia="es-CO"/>
        </w:rPr>
        <w:t> </w:t>
      </w:r>
    </w:p>
    <w:p w14:paraId="3AA0A821" w14:textId="77777777" w:rsidR="005F11FC" w:rsidRPr="005F11FC" w:rsidRDefault="005F11FC" w:rsidP="005F11FC">
      <w:pPr>
        <w:spacing w:after="0" w:line="240" w:lineRule="auto"/>
        <w:jc w:val="both"/>
        <w:rPr>
          <w:rFonts w:ascii="Arial" w:eastAsia="Times New Roman" w:hAnsi="Arial" w:cs="Arial"/>
          <w:color w:val="000000"/>
          <w:sz w:val="18"/>
          <w:szCs w:val="18"/>
          <w:lang w:eastAsia="es-CO"/>
        </w:rPr>
      </w:pPr>
      <w:r w:rsidRPr="005F11FC">
        <w:rPr>
          <w:rFonts w:ascii="Segoe UI" w:eastAsia="Times New Roman" w:hAnsi="Segoe UI" w:cs="Segoe UI"/>
          <w:sz w:val="22"/>
          <w:lang w:eastAsia="es-CO"/>
        </w:rPr>
        <w:t> </w:t>
      </w:r>
    </w:p>
    <w:p w14:paraId="405ECBCF" w14:textId="77777777" w:rsidR="005F11FC" w:rsidRPr="005F11FC" w:rsidRDefault="005F11FC" w:rsidP="005F11FC">
      <w:pPr>
        <w:spacing w:after="0" w:line="240" w:lineRule="auto"/>
        <w:jc w:val="both"/>
        <w:rPr>
          <w:rFonts w:ascii="Arial" w:eastAsia="Times New Roman" w:hAnsi="Arial" w:cs="Arial"/>
          <w:color w:val="000000"/>
          <w:sz w:val="18"/>
          <w:szCs w:val="18"/>
          <w:lang w:eastAsia="es-CO"/>
        </w:rPr>
      </w:pPr>
      <w:r w:rsidRPr="005F11FC">
        <w:rPr>
          <w:rFonts w:ascii="Segoe UI" w:eastAsia="Times New Roman" w:hAnsi="Segoe UI" w:cs="Segoe UI"/>
          <w:sz w:val="22"/>
          <w:lang w:eastAsia="es-CO"/>
        </w:rPr>
        <w:t>100208221–1087</w:t>
      </w:r>
    </w:p>
    <w:p w14:paraId="0FBDAB87" w14:textId="77777777" w:rsidR="005F11FC" w:rsidRPr="005F11FC" w:rsidRDefault="005F11FC" w:rsidP="005F11FC">
      <w:pPr>
        <w:spacing w:after="0" w:line="240" w:lineRule="auto"/>
        <w:jc w:val="both"/>
        <w:rPr>
          <w:rFonts w:ascii="Arial" w:eastAsia="Times New Roman" w:hAnsi="Arial" w:cs="Arial"/>
          <w:color w:val="000000"/>
          <w:sz w:val="18"/>
          <w:szCs w:val="18"/>
          <w:lang w:eastAsia="es-CO"/>
        </w:rPr>
      </w:pPr>
      <w:r w:rsidRPr="005F11FC">
        <w:rPr>
          <w:rFonts w:ascii="Segoe UI" w:eastAsia="Times New Roman" w:hAnsi="Segoe UI" w:cs="Segoe UI"/>
          <w:sz w:val="22"/>
          <w:lang w:eastAsia="es-CO"/>
        </w:rPr>
        <w:t>Bogotá, D.C.</w:t>
      </w:r>
    </w:p>
    <w:p w14:paraId="7A6A2006" w14:textId="77777777" w:rsidR="005F11FC" w:rsidRPr="005F11FC" w:rsidRDefault="005F11FC" w:rsidP="005F11FC">
      <w:pPr>
        <w:spacing w:after="0" w:line="240" w:lineRule="auto"/>
        <w:jc w:val="both"/>
        <w:rPr>
          <w:rFonts w:ascii="Arial" w:eastAsia="Times New Roman" w:hAnsi="Arial" w:cs="Arial"/>
          <w:color w:val="000000"/>
          <w:sz w:val="18"/>
          <w:szCs w:val="18"/>
          <w:lang w:eastAsia="es-CO"/>
        </w:rPr>
      </w:pPr>
      <w:r w:rsidRPr="005F11FC">
        <w:rPr>
          <w:rFonts w:ascii="Segoe UI" w:eastAsia="Times New Roman" w:hAnsi="Segoe UI" w:cs="Segoe UI"/>
          <w:sz w:val="22"/>
          <w:lang w:eastAsia="es-CO"/>
        </w:rPr>
        <w:t> </w:t>
      </w:r>
    </w:p>
    <w:tbl>
      <w:tblPr>
        <w:tblW w:w="0" w:type="auto"/>
        <w:tblCellMar>
          <w:left w:w="0" w:type="dxa"/>
          <w:right w:w="0" w:type="dxa"/>
        </w:tblCellMar>
        <w:tblLook w:val="04A0" w:firstRow="1" w:lastRow="0" w:firstColumn="1" w:lastColumn="0" w:noHBand="0" w:noVBand="1"/>
      </w:tblPr>
      <w:tblGrid>
        <w:gridCol w:w="1817"/>
        <w:gridCol w:w="271"/>
        <w:gridCol w:w="271"/>
        <w:gridCol w:w="6471"/>
      </w:tblGrid>
      <w:tr w:rsidR="005F11FC" w:rsidRPr="005F11FC" w14:paraId="66D5033A" w14:textId="77777777" w:rsidTr="005F11FC">
        <w:tc>
          <w:tcPr>
            <w:tcW w:w="1817" w:type="dxa"/>
            <w:tcBorders>
              <w:top w:val="nil"/>
              <w:left w:val="nil"/>
              <w:bottom w:val="nil"/>
              <w:right w:val="nil"/>
            </w:tcBorders>
            <w:shd w:val="clear" w:color="auto" w:fill="auto"/>
            <w:tcMar>
              <w:top w:w="0" w:type="dxa"/>
              <w:left w:w="108" w:type="dxa"/>
              <w:bottom w:w="0" w:type="dxa"/>
              <w:right w:w="108" w:type="dxa"/>
            </w:tcMar>
            <w:hideMark/>
          </w:tcPr>
          <w:p w14:paraId="545B790B" w14:textId="77777777" w:rsidR="005F11FC" w:rsidRPr="005F11FC" w:rsidRDefault="005F11FC" w:rsidP="005F11FC">
            <w:pPr>
              <w:spacing w:after="0" w:line="240" w:lineRule="auto"/>
              <w:jc w:val="both"/>
              <w:rPr>
                <w:rFonts w:eastAsia="Times New Roman" w:cs="Times New Roman"/>
                <w:szCs w:val="24"/>
                <w:lang w:eastAsia="es-CO"/>
              </w:rPr>
            </w:pPr>
            <w:r w:rsidRPr="005F11FC">
              <w:rPr>
                <w:rFonts w:ascii="Segoe UI" w:eastAsia="Times New Roman" w:hAnsi="Segoe UI" w:cs="Segoe UI"/>
                <w:b/>
                <w:bCs/>
                <w:sz w:val="20"/>
                <w:szCs w:val="20"/>
                <w:lang w:eastAsia="es-CO"/>
              </w:rPr>
              <w:t>Tema</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543F865E" w14:textId="77777777" w:rsidR="005F11FC" w:rsidRPr="005F11FC" w:rsidRDefault="005F11FC" w:rsidP="005F11FC">
            <w:pPr>
              <w:spacing w:after="0" w:line="240" w:lineRule="auto"/>
              <w:jc w:val="both"/>
              <w:rPr>
                <w:rFonts w:eastAsia="Times New Roman" w:cs="Times New Roman"/>
                <w:szCs w:val="24"/>
                <w:lang w:eastAsia="es-CO"/>
              </w:rPr>
            </w:pPr>
            <w:r w:rsidRPr="005F11FC">
              <w:rPr>
                <w:rFonts w:ascii="Segoe UI" w:eastAsia="Times New Roman" w:hAnsi="Segoe UI" w:cs="Segoe UI"/>
                <w:sz w:val="20"/>
                <w:szCs w:val="20"/>
                <w:lang w:eastAsia="es-CO"/>
              </w:rPr>
              <w:t> </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2412A927" w14:textId="77777777" w:rsidR="005F11FC" w:rsidRPr="005F11FC" w:rsidRDefault="005F11FC" w:rsidP="005F11FC">
            <w:pPr>
              <w:spacing w:after="0" w:line="240" w:lineRule="auto"/>
              <w:jc w:val="both"/>
              <w:rPr>
                <w:rFonts w:eastAsia="Times New Roman" w:cs="Times New Roman"/>
                <w:szCs w:val="24"/>
                <w:lang w:eastAsia="es-CO"/>
              </w:rPr>
            </w:pPr>
            <w:r w:rsidRPr="005F11FC">
              <w:rPr>
                <w:rFonts w:ascii="Segoe UI" w:eastAsia="Times New Roman" w:hAnsi="Segoe UI" w:cs="Segoe UI"/>
                <w:sz w:val="20"/>
                <w:szCs w:val="20"/>
                <w:lang w:eastAsia="es-CO"/>
              </w:rPr>
              <w:t> </w:t>
            </w:r>
          </w:p>
        </w:tc>
        <w:tc>
          <w:tcPr>
            <w:tcW w:w="6471" w:type="dxa"/>
            <w:tcBorders>
              <w:top w:val="nil"/>
              <w:left w:val="nil"/>
              <w:bottom w:val="nil"/>
              <w:right w:val="nil"/>
            </w:tcBorders>
            <w:shd w:val="clear" w:color="auto" w:fill="auto"/>
            <w:tcMar>
              <w:top w:w="0" w:type="dxa"/>
              <w:left w:w="108" w:type="dxa"/>
              <w:bottom w:w="0" w:type="dxa"/>
              <w:right w:w="108" w:type="dxa"/>
            </w:tcMar>
            <w:hideMark/>
          </w:tcPr>
          <w:p w14:paraId="7AF0114F" w14:textId="77777777" w:rsidR="005F11FC" w:rsidRPr="005F11FC" w:rsidRDefault="005F11FC" w:rsidP="005F11FC">
            <w:pPr>
              <w:spacing w:after="0" w:line="240" w:lineRule="auto"/>
              <w:jc w:val="both"/>
              <w:rPr>
                <w:rFonts w:eastAsia="Times New Roman" w:cs="Times New Roman"/>
                <w:szCs w:val="24"/>
                <w:lang w:eastAsia="es-CO"/>
              </w:rPr>
            </w:pPr>
            <w:r w:rsidRPr="005F11FC">
              <w:rPr>
                <w:rFonts w:ascii="Segoe UI" w:eastAsia="Times New Roman" w:hAnsi="Segoe UI" w:cs="Segoe UI"/>
                <w:sz w:val="20"/>
                <w:szCs w:val="20"/>
                <w:lang w:eastAsia="es-CO"/>
              </w:rPr>
              <w:t>Procedimiento tributario</w:t>
            </w:r>
          </w:p>
        </w:tc>
      </w:tr>
      <w:tr w:rsidR="005F11FC" w:rsidRPr="005F11FC" w14:paraId="4F198A71" w14:textId="77777777" w:rsidTr="005F11FC">
        <w:tc>
          <w:tcPr>
            <w:tcW w:w="1817" w:type="dxa"/>
            <w:tcBorders>
              <w:top w:val="nil"/>
              <w:left w:val="nil"/>
              <w:bottom w:val="nil"/>
              <w:right w:val="nil"/>
            </w:tcBorders>
            <w:shd w:val="clear" w:color="auto" w:fill="auto"/>
            <w:tcMar>
              <w:top w:w="0" w:type="dxa"/>
              <w:left w:w="108" w:type="dxa"/>
              <w:bottom w:w="0" w:type="dxa"/>
              <w:right w:w="108" w:type="dxa"/>
            </w:tcMar>
            <w:hideMark/>
          </w:tcPr>
          <w:p w14:paraId="14E9A7E8" w14:textId="77777777" w:rsidR="005F11FC" w:rsidRPr="005F11FC" w:rsidRDefault="005F11FC" w:rsidP="005F11FC">
            <w:pPr>
              <w:spacing w:after="0" w:line="240" w:lineRule="auto"/>
              <w:jc w:val="both"/>
              <w:rPr>
                <w:rFonts w:eastAsia="Times New Roman" w:cs="Times New Roman"/>
                <w:szCs w:val="24"/>
                <w:lang w:eastAsia="es-CO"/>
              </w:rPr>
            </w:pPr>
            <w:r w:rsidRPr="005F11FC">
              <w:rPr>
                <w:rFonts w:ascii="Segoe UI" w:eastAsia="Times New Roman" w:hAnsi="Segoe UI" w:cs="Segoe UI"/>
                <w:b/>
                <w:bCs/>
                <w:sz w:val="20"/>
                <w:szCs w:val="20"/>
                <w:lang w:eastAsia="es-CO"/>
              </w:rPr>
              <w:t>Descriptores</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62DB2EF8" w14:textId="77777777" w:rsidR="005F11FC" w:rsidRPr="005F11FC" w:rsidRDefault="005F11FC" w:rsidP="005F11FC">
            <w:pPr>
              <w:spacing w:after="0" w:line="240" w:lineRule="auto"/>
              <w:jc w:val="both"/>
              <w:rPr>
                <w:rFonts w:eastAsia="Times New Roman" w:cs="Times New Roman"/>
                <w:szCs w:val="24"/>
                <w:lang w:eastAsia="es-CO"/>
              </w:rPr>
            </w:pPr>
            <w:r w:rsidRPr="005F11FC">
              <w:rPr>
                <w:rFonts w:ascii="Segoe UI" w:eastAsia="Times New Roman" w:hAnsi="Segoe UI" w:cs="Segoe UI"/>
                <w:sz w:val="20"/>
                <w:szCs w:val="20"/>
                <w:lang w:eastAsia="es-CO"/>
              </w:rPr>
              <w:t> </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0DA5C912" w14:textId="77777777" w:rsidR="005F11FC" w:rsidRPr="005F11FC" w:rsidRDefault="005F11FC" w:rsidP="005F11FC">
            <w:pPr>
              <w:spacing w:after="0" w:line="240" w:lineRule="auto"/>
              <w:jc w:val="both"/>
              <w:rPr>
                <w:rFonts w:eastAsia="Times New Roman" w:cs="Times New Roman"/>
                <w:szCs w:val="24"/>
                <w:lang w:eastAsia="es-CO"/>
              </w:rPr>
            </w:pPr>
            <w:r w:rsidRPr="005F11FC">
              <w:rPr>
                <w:rFonts w:ascii="Segoe UI" w:eastAsia="Times New Roman" w:hAnsi="Segoe UI" w:cs="Segoe UI"/>
                <w:sz w:val="20"/>
                <w:szCs w:val="20"/>
                <w:lang w:eastAsia="es-CO"/>
              </w:rPr>
              <w:t> </w:t>
            </w:r>
          </w:p>
        </w:tc>
        <w:tc>
          <w:tcPr>
            <w:tcW w:w="6471" w:type="dxa"/>
            <w:tcBorders>
              <w:top w:val="nil"/>
              <w:left w:val="nil"/>
              <w:bottom w:val="nil"/>
              <w:right w:val="nil"/>
            </w:tcBorders>
            <w:shd w:val="clear" w:color="auto" w:fill="auto"/>
            <w:tcMar>
              <w:top w:w="0" w:type="dxa"/>
              <w:left w:w="108" w:type="dxa"/>
              <w:bottom w:w="0" w:type="dxa"/>
              <w:right w:w="108" w:type="dxa"/>
            </w:tcMar>
            <w:hideMark/>
          </w:tcPr>
          <w:p w14:paraId="2C1F7D60" w14:textId="77777777" w:rsidR="005F11FC" w:rsidRPr="005F11FC" w:rsidRDefault="005F11FC" w:rsidP="005F11FC">
            <w:pPr>
              <w:spacing w:after="0" w:line="240" w:lineRule="auto"/>
              <w:jc w:val="both"/>
              <w:rPr>
                <w:rFonts w:eastAsia="Times New Roman" w:cs="Times New Roman"/>
                <w:szCs w:val="24"/>
                <w:lang w:eastAsia="es-CO"/>
              </w:rPr>
            </w:pPr>
            <w:r w:rsidRPr="005F11FC">
              <w:rPr>
                <w:rFonts w:ascii="Segoe UI" w:eastAsia="Times New Roman" w:hAnsi="Segoe UI" w:cs="Segoe UI"/>
                <w:sz w:val="20"/>
                <w:szCs w:val="20"/>
                <w:lang w:eastAsia="es-CO"/>
              </w:rPr>
              <w:t>Información exógena</w:t>
            </w:r>
          </w:p>
        </w:tc>
      </w:tr>
      <w:tr w:rsidR="005F11FC" w:rsidRPr="005F11FC" w14:paraId="31645E69" w14:textId="77777777" w:rsidTr="005F11FC">
        <w:tc>
          <w:tcPr>
            <w:tcW w:w="1817" w:type="dxa"/>
            <w:tcBorders>
              <w:top w:val="nil"/>
              <w:left w:val="nil"/>
              <w:bottom w:val="nil"/>
              <w:right w:val="nil"/>
            </w:tcBorders>
            <w:shd w:val="clear" w:color="auto" w:fill="auto"/>
            <w:tcMar>
              <w:top w:w="0" w:type="dxa"/>
              <w:left w:w="108" w:type="dxa"/>
              <w:bottom w:w="0" w:type="dxa"/>
              <w:right w:w="108" w:type="dxa"/>
            </w:tcMar>
            <w:hideMark/>
          </w:tcPr>
          <w:p w14:paraId="21E0DE3B" w14:textId="77777777" w:rsidR="005F11FC" w:rsidRPr="005F11FC" w:rsidRDefault="005F11FC" w:rsidP="005F11FC">
            <w:pPr>
              <w:spacing w:after="0" w:line="240" w:lineRule="auto"/>
              <w:jc w:val="both"/>
              <w:rPr>
                <w:rFonts w:eastAsia="Times New Roman" w:cs="Times New Roman"/>
                <w:szCs w:val="24"/>
                <w:lang w:eastAsia="es-CO"/>
              </w:rPr>
            </w:pPr>
            <w:r w:rsidRPr="005F11FC">
              <w:rPr>
                <w:rFonts w:ascii="Segoe UI" w:eastAsia="Times New Roman" w:hAnsi="Segoe UI" w:cs="Segoe UI"/>
                <w:b/>
                <w:bCs/>
                <w:sz w:val="20"/>
                <w:szCs w:val="20"/>
                <w:lang w:eastAsia="es-CO"/>
              </w:rPr>
              <w:t>Fuentes formales</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4ABA345B" w14:textId="77777777" w:rsidR="005F11FC" w:rsidRPr="005F11FC" w:rsidRDefault="005F11FC" w:rsidP="005F11FC">
            <w:pPr>
              <w:spacing w:after="0" w:line="240" w:lineRule="auto"/>
              <w:jc w:val="both"/>
              <w:rPr>
                <w:rFonts w:eastAsia="Times New Roman" w:cs="Times New Roman"/>
                <w:szCs w:val="24"/>
                <w:lang w:eastAsia="es-CO"/>
              </w:rPr>
            </w:pPr>
            <w:r w:rsidRPr="005F11FC">
              <w:rPr>
                <w:rFonts w:ascii="Segoe UI" w:eastAsia="Times New Roman" w:hAnsi="Segoe UI" w:cs="Segoe UI"/>
                <w:sz w:val="20"/>
                <w:szCs w:val="20"/>
                <w:lang w:eastAsia="es-CO"/>
              </w:rPr>
              <w:t> </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6477665E" w14:textId="77777777" w:rsidR="005F11FC" w:rsidRPr="005F11FC" w:rsidRDefault="005F11FC" w:rsidP="005F11FC">
            <w:pPr>
              <w:spacing w:after="0" w:line="240" w:lineRule="auto"/>
              <w:jc w:val="both"/>
              <w:rPr>
                <w:rFonts w:eastAsia="Times New Roman" w:cs="Times New Roman"/>
                <w:szCs w:val="24"/>
                <w:lang w:eastAsia="es-CO"/>
              </w:rPr>
            </w:pPr>
            <w:r w:rsidRPr="005F11FC">
              <w:rPr>
                <w:rFonts w:ascii="Segoe UI" w:eastAsia="Times New Roman" w:hAnsi="Segoe UI" w:cs="Segoe UI"/>
                <w:sz w:val="20"/>
                <w:szCs w:val="20"/>
                <w:lang w:eastAsia="es-CO"/>
              </w:rPr>
              <w:t> </w:t>
            </w:r>
          </w:p>
        </w:tc>
        <w:tc>
          <w:tcPr>
            <w:tcW w:w="6471" w:type="dxa"/>
            <w:tcBorders>
              <w:top w:val="nil"/>
              <w:left w:val="nil"/>
              <w:bottom w:val="nil"/>
              <w:right w:val="nil"/>
            </w:tcBorders>
            <w:shd w:val="clear" w:color="auto" w:fill="auto"/>
            <w:tcMar>
              <w:top w:w="0" w:type="dxa"/>
              <w:left w:w="108" w:type="dxa"/>
              <w:bottom w:w="0" w:type="dxa"/>
              <w:right w:w="108" w:type="dxa"/>
            </w:tcMar>
            <w:hideMark/>
          </w:tcPr>
          <w:p w14:paraId="539EFFC9" w14:textId="77777777" w:rsidR="005F11FC" w:rsidRPr="005F11FC" w:rsidRDefault="005F11FC" w:rsidP="005F11FC">
            <w:pPr>
              <w:spacing w:after="0" w:line="240" w:lineRule="auto"/>
              <w:jc w:val="both"/>
              <w:rPr>
                <w:rFonts w:eastAsia="Times New Roman" w:cs="Times New Roman"/>
                <w:szCs w:val="24"/>
                <w:lang w:eastAsia="es-CO"/>
              </w:rPr>
            </w:pPr>
            <w:r w:rsidRPr="005F11FC">
              <w:rPr>
                <w:rFonts w:ascii="Segoe UI" w:eastAsia="Times New Roman" w:hAnsi="Segoe UI" w:cs="Segoe UI"/>
                <w:sz w:val="20"/>
                <w:szCs w:val="20"/>
                <w:lang w:eastAsia="es-CO"/>
              </w:rPr>
              <w:t>Artículos </w:t>
            </w:r>
            <w:hyperlink r:id="rId4" w:tooltip="Estatuto Tributario CETA" w:history="1">
              <w:r w:rsidRPr="005F11FC">
                <w:rPr>
                  <w:rFonts w:ascii="Segoe UI" w:eastAsia="Times New Roman" w:hAnsi="Segoe UI" w:cs="Segoe UI"/>
                  <w:color w:val="0089E1"/>
                  <w:sz w:val="20"/>
                  <w:szCs w:val="20"/>
                  <w:u w:val="single"/>
                  <w:lang w:eastAsia="es-CO"/>
                </w:rPr>
                <w:t>368</w:t>
              </w:r>
            </w:hyperlink>
            <w:r w:rsidRPr="005F11FC">
              <w:rPr>
                <w:rFonts w:ascii="Segoe UI" w:eastAsia="Times New Roman" w:hAnsi="Segoe UI" w:cs="Segoe UI"/>
                <w:sz w:val="20"/>
                <w:szCs w:val="20"/>
                <w:lang w:eastAsia="es-CO"/>
              </w:rPr>
              <w:t>, </w:t>
            </w:r>
            <w:hyperlink r:id="rId5" w:tooltip="Estatuto Tributario CETA" w:history="1">
              <w:r w:rsidRPr="005F11FC">
                <w:rPr>
                  <w:rFonts w:ascii="Segoe UI" w:eastAsia="Times New Roman" w:hAnsi="Segoe UI" w:cs="Segoe UI"/>
                  <w:color w:val="0089E1"/>
                  <w:sz w:val="20"/>
                  <w:szCs w:val="20"/>
                  <w:u w:val="single"/>
                  <w:lang w:eastAsia="es-CO"/>
                </w:rPr>
                <w:t>905</w:t>
              </w:r>
            </w:hyperlink>
            <w:r w:rsidRPr="005F11FC">
              <w:rPr>
                <w:rFonts w:ascii="Segoe UI" w:eastAsia="Times New Roman" w:hAnsi="Segoe UI" w:cs="Segoe UI"/>
                <w:sz w:val="20"/>
                <w:szCs w:val="20"/>
                <w:lang w:eastAsia="es-CO"/>
              </w:rPr>
              <w:t>, </w:t>
            </w:r>
            <w:hyperlink r:id="rId6" w:tooltip="Estatuto Tributario CETA" w:history="1">
              <w:r w:rsidRPr="005F11FC">
                <w:rPr>
                  <w:rFonts w:ascii="Segoe UI" w:eastAsia="Times New Roman" w:hAnsi="Segoe UI" w:cs="Segoe UI"/>
                  <w:color w:val="0089E1"/>
                  <w:sz w:val="20"/>
                  <w:szCs w:val="20"/>
                  <w:u w:val="single"/>
                  <w:lang w:eastAsia="es-CO"/>
                </w:rPr>
                <w:t>911</w:t>
              </w:r>
            </w:hyperlink>
            <w:r w:rsidRPr="005F11FC">
              <w:rPr>
                <w:rFonts w:ascii="Segoe UI" w:eastAsia="Times New Roman" w:hAnsi="Segoe UI" w:cs="Segoe UI"/>
                <w:sz w:val="20"/>
                <w:szCs w:val="20"/>
                <w:lang w:eastAsia="es-CO"/>
              </w:rPr>
              <w:t> del Estatuto Tributario</w:t>
            </w:r>
          </w:p>
          <w:p w14:paraId="15C7A17B" w14:textId="77777777" w:rsidR="005F11FC" w:rsidRPr="005F11FC" w:rsidRDefault="005F11FC" w:rsidP="005F11FC">
            <w:pPr>
              <w:spacing w:after="0" w:line="240" w:lineRule="auto"/>
              <w:jc w:val="both"/>
              <w:rPr>
                <w:rFonts w:eastAsia="Times New Roman" w:cs="Times New Roman"/>
                <w:szCs w:val="24"/>
                <w:lang w:eastAsia="es-CO"/>
              </w:rPr>
            </w:pPr>
            <w:r w:rsidRPr="005F11FC">
              <w:rPr>
                <w:rFonts w:ascii="Segoe UI" w:eastAsia="Times New Roman" w:hAnsi="Segoe UI" w:cs="Segoe UI"/>
                <w:sz w:val="20"/>
                <w:szCs w:val="20"/>
                <w:lang w:eastAsia="es-CO"/>
              </w:rPr>
              <w:t>Artículo 1, 17, 19, 20 de la Resolución No. 00070 de 2010 (sic)</w:t>
            </w:r>
          </w:p>
          <w:p w14:paraId="268AAEE5" w14:textId="77777777" w:rsidR="005F11FC" w:rsidRPr="005F11FC" w:rsidRDefault="005F11FC" w:rsidP="005F11FC">
            <w:pPr>
              <w:spacing w:after="0" w:line="240" w:lineRule="auto"/>
              <w:jc w:val="both"/>
              <w:rPr>
                <w:rFonts w:eastAsia="Times New Roman" w:cs="Times New Roman"/>
                <w:szCs w:val="24"/>
                <w:lang w:eastAsia="es-CO"/>
              </w:rPr>
            </w:pPr>
            <w:r w:rsidRPr="005F11FC">
              <w:rPr>
                <w:rFonts w:ascii="Segoe UI" w:eastAsia="Times New Roman" w:hAnsi="Segoe UI" w:cs="Segoe UI"/>
                <w:sz w:val="20"/>
                <w:szCs w:val="20"/>
                <w:lang w:eastAsia="es-CO"/>
              </w:rPr>
              <w:t xml:space="preserve">Oficio No. 017797 del 10 de julio de 2019 y Concepto No. 906177 del 28 de junio de 2021 </w:t>
            </w:r>
            <w:proofErr w:type="spellStart"/>
            <w:r w:rsidRPr="005F11FC">
              <w:rPr>
                <w:rFonts w:ascii="Segoe UI" w:eastAsia="Times New Roman" w:hAnsi="Segoe UI" w:cs="Segoe UI"/>
                <w:sz w:val="20"/>
                <w:szCs w:val="20"/>
                <w:lang w:eastAsia="es-CO"/>
              </w:rPr>
              <w:t>int</w:t>
            </w:r>
            <w:proofErr w:type="spellEnd"/>
            <w:r w:rsidRPr="005F11FC">
              <w:rPr>
                <w:rFonts w:ascii="Segoe UI" w:eastAsia="Times New Roman" w:hAnsi="Segoe UI" w:cs="Segoe UI"/>
                <w:sz w:val="20"/>
                <w:szCs w:val="20"/>
                <w:lang w:eastAsia="es-CO"/>
              </w:rPr>
              <w:t>. 930</w:t>
            </w:r>
          </w:p>
        </w:tc>
      </w:tr>
    </w:tbl>
    <w:p w14:paraId="7286A61A" w14:textId="77777777" w:rsidR="005F11FC" w:rsidRPr="005F11FC" w:rsidRDefault="005F11FC" w:rsidP="005F11FC">
      <w:pPr>
        <w:spacing w:after="0" w:line="240" w:lineRule="auto"/>
        <w:jc w:val="both"/>
        <w:rPr>
          <w:rFonts w:ascii="Arial" w:eastAsia="Times New Roman" w:hAnsi="Arial" w:cs="Arial"/>
          <w:color w:val="000000"/>
          <w:sz w:val="18"/>
          <w:szCs w:val="18"/>
          <w:lang w:eastAsia="es-CO"/>
        </w:rPr>
      </w:pPr>
      <w:r w:rsidRPr="005F11FC">
        <w:rPr>
          <w:rFonts w:ascii="Segoe UI" w:eastAsia="Times New Roman" w:hAnsi="Segoe UI" w:cs="Segoe UI"/>
          <w:sz w:val="22"/>
          <w:lang w:eastAsia="es-CO"/>
        </w:rPr>
        <w:t> </w:t>
      </w:r>
    </w:p>
    <w:p w14:paraId="329F29FC" w14:textId="77777777" w:rsidR="005F11FC" w:rsidRPr="005F11FC" w:rsidRDefault="005F11FC" w:rsidP="005F11FC">
      <w:pPr>
        <w:spacing w:after="0" w:line="240" w:lineRule="auto"/>
        <w:jc w:val="both"/>
        <w:rPr>
          <w:rFonts w:ascii="Arial" w:eastAsia="Times New Roman" w:hAnsi="Arial" w:cs="Arial"/>
          <w:color w:val="000000"/>
          <w:sz w:val="18"/>
          <w:szCs w:val="18"/>
          <w:lang w:eastAsia="es-CO"/>
        </w:rPr>
      </w:pPr>
      <w:r w:rsidRPr="005F11FC">
        <w:rPr>
          <w:rFonts w:ascii="Segoe UI" w:eastAsia="Times New Roman" w:hAnsi="Segoe UI" w:cs="Segoe UI"/>
          <w:sz w:val="22"/>
          <w:lang w:eastAsia="es-CO"/>
        </w:rPr>
        <w:t> </w:t>
      </w:r>
    </w:p>
    <w:p w14:paraId="1F1A69D0" w14:textId="77777777" w:rsidR="005F11FC" w:rsidRPr="005F11FC" w:rsidRDefault="005F11FC" w:rsidP="005F11FC">
      <w:pPr>
        <w:spacing w:after="0" w:line="240" w:lineRule="auto"/>
        <w:jc w:val="both"/>
        <w:rPr>
          <w:rFonts w:ascii="Arial" w:eastAsia="Times New Roman" w:hAnsi="Arial" w:cs="Arial"/>
          <w:color w:val="000000"/>
          <w:sz w:val="18"/>
          <w:szCs w:val="18"/>
          <w:lang w:eastAsia="es-CO"/>
        </w:rPr>
      </w:pPr>
      <w:r w:rsidRPr="005F11FC">
        <w:rPr>
          <w:rFonts w:ascii="Segoe UI" w:eastAsia="Times New Roman" w:hAnsi="Segoe UI" w:cs="Segoe UI"/>
          <w:sz w:val="22"/>
          <w:lang w:eastAsia="es-CO"/>
        </w:rPr>
        <w:t>Cordial saludo,</w:t>
      </w:r>
    </w:p>
    <w:p w14:paraId="535A0C0E" w14:textId="77777777" w:rsidR="005F11FC" w:rsidRPr="005F11FC" w:rsidRDefault="005F11FC" w:rsidP="005F11FC">
      <w:pPr>
        <w:spacing w:after="0" w:line="240" w:lineRule="auto"/>
        <w:jc w:val="both"/>
        <w:rPr>
          <w:rFonts w:ascii="Arial" w:eastAsia="Times New Roman" w:hAnsi="Arial" w:cs="Arial"/>
          <w:color w:val="000000"/>
          <w:sz w:val="18"/>
          <w:szCs w:val="18"/>
          <w:lang w:eastAsia="es-CO"/>
        </w:rPr>
      </w:pPr>
      <w:r w:rsidRPr="005F11FC">
        <w:rPr>
          <w:rFonts w:ascii="Segoe UI" w:eastAsia="Times New Roman" w:hAnsi="Segoe UI" w:cs="Segoe UI"/>
          <w:sz w:val="22"/>
          <w:lang w:eastAsia="es-CO"/>
        </w:rPr>
        <w:t> </w:t>
      </w:r>
    </w:p>
    <w:p w14:paraId="408D5778" w14:textId="77777777" w:rsidR="005F11FC" w:rsidRPr="005F11FC" w:rsidRDefault="005F11FC" w:rsidP="005F11FC">
      <w:pPr>
        <w:spacing w:after="0" w:line="240" w:lineRule="auto"/>
        <w:jc w:val="both"/>
        <w:rPr>
          <w:rFonts w:ascii="Arial" w:eastAsia="Times New Roman" w:hAnsi="Arial" w:cs="Arial"/>
          <w:color w:val="000000"/>
          <w:sz w:val="18"/>
          <w:szCs w:val="18"/>
          <w:lang w:eastAsia="es-CO"/>
        </w:rPr>
      </w:pPr>
      <w:r w:rsidRPr="005F11FC">
        <w:rPr>
          <w:rFonts w:ascii="Segoe UI" w:eastAsia="Times New Roman" w:hAnsi="Segoe UI" w:cs="Segoe UI"/>
          <w:sz w:val="22"/>
          <w:lang w:eastAsia="es-CO"/>
        </w:rPr>
        <w:t>De conformidad con el artículo 20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09615D08" w14:textId="77777777" w:rsidR="005F11FC" w:rsidRPr="005F11FC" w:rsidRDefault="005F11FC" w:rsidP="005F11FC">
      <w:pPr>
        <w:spacing w:after="0" w:line="240" w:lineRule="auto"/>
        <w:jc w:val="both"/>
        <w:rPr>
          <w:rFonts w:ascii="Arial" w:eastAsia="Times New Roman" w:hAnsi="Arial" w:cs="Arial"/>
          <w:color w:val="000000"/>
          <w:sz w:val="18"/>
          <w:szCs w:val="18"/>
          <w:lang w:eastAsia="es-CO"/>
        </w:rPr>
      </w:pPr>
      <w:r w:rsidRPr="005F11FC">
        <w:rPr>
          <w:rFonts w:ascii="Segoe UI" w:eastAsia="Times New Roman" w:hAnsi="Segoe UI" w:cs="Segoe UI"/>
          <w:sz w:val="22"/>
          <w:lang w:eastAsia="es-CO"/>
        </w:rPr>
        <w:t> </w:t>
      </w:r>
    </w:p>
    <w:p w14:paraId="773AA57D" w14:textId="77777777" w:rsidR="005F11FC" w:rsidRPr="005F11FC" w:rsidRDefault="005F11FC" w:rsidP="005F11FC">
      <w:pPr>
        <w:spacing w:after="0" w:line="240" w:lineRule="auto"/>
        <w:jc w:val="both"/>
        <w:rPr>
          <w:rFonts w:ascii="Arial" w:eastAsia="Times New Roman" w:hAnsi="Arial" w:cs="Arial"/>
          <w:color w:val="000000"/>
          <w:sz w:val="18"/>
          <w:szCs w:val="18"/>
          <w:lang w:eastAsia="es-CO"/>
        </w:rPr>
      </w:pPr>
      <w:r w:rsidRPr="005F11FC">
        <w:rPr>
          <w:rFonts w:ascii="Segoe UI" w:eastAsia="Times New Roman" w:hAnsi="Segoe UI" w:cs="Segoe UI"/>
          <w:sz w:val="22"/>
          <w:lang w:eastAsia="es-CO"/>
        </w:rPr>
        <w:t>El presente oficio recoge una serie de preguntas formuladas respecto de las propiedades horizontales, contribuyentes del régimen simple de tributación y la obligación de presentar información exógena, en los términos de la Resolución No. 000070 de 2020 (sic), las cuales se plantean así:</w:t>
      </w:r>
    </w:p>
    <w:p w14:paraId="1FEBA559" w14:textId="77777777" w:rsidR="005F11FC" w:rsidRPr="005F11FC" w:rsidRDefault="005F11FC" w:rsidP="005F11FC">
      <w:pPr>
        <w:spacing w:after="0" w:line="240" w:lineRule="auto"/>
        <w:jc w:val="both"/>
        <w:rPr>
          <w:rFonts w:ascii="Arial" w:eastAsia="Times New Roman" w:hAnsi="Arial" w:cs="Arial"/>
          <w:color w:val="000000"/>
          <w:sz w:val="18"/>
          <w:szCs w:val="18"/>
          <w:lang w:eastAsia="es-CO"/>
        </w:rPr>
      </w:pPr>
      <w:r w:rsidRPr="005F11FC">
        <w:rPr>
          <w:rFonts w:ascii="Segoe UI" w:eastAsia="Times New Roman" w:hAnsi="Segoe UI" w:cs="Segoe UI"/>
          <w:i/>
          <w:iCs/>
          <w:sz w:val="22"/>
          <w:lang w:eastAsia="es-CO"/>
        </w:rPr>
        <w:t> </w:t>
      </w:r>
    </w:p>
    <w:p w14:paraId="2E330167" w14:textId="77777777" w:rsidR="005F11FC" w:rsidRPr="005F11FC" w:rsidRDefault="005F11FC" w:rsidP="005F11FC">
      <w:pPr>
        <w:spacing w:after="0" w:line="240" w:lineRule="auto"/>
        <w:ind w:left="284"/>
        <w:jc w:val="both"/>
        <w:rPr>
          <w:rFonts w:ascii="Arial" w:eastAsia="Times New Roman" w:hAnsi="Arial" w:cs="Arial"/>
          <w:color w:val="000000"/>
          <w:sz w:val="18"/>
          <w:szCs w:val="18"/>
          <w:lang w:eastAsia="es-CO"/>
        </w:rPr>
      </w:pPr>
      <w:r w:rsidRPr="005F11FC">
        <w:rPr>
          <w:rFonts w:ascii="Segoe UI" w:eastAsia="Times New Roman" w:hAnsi="Segoe UI" w:cs="Segoe UI"/>
          <w:i/>
          <w:iCs/>
          <w:sz w:val="22"/>
          <w:lang w:eastAsia="es-CO"/>
        </w:rPr>
        <w:t>1. ¿Las personas jurídicas originadas en la constitución de la propiedad horizontal solo están obligadas a la presentación de información exógena cuando se configure lo dispuesto en el literal e) del artículo 1 de la Resolución No. 000070 de 2019?</w:t>
      </w:r>
    </w:p>
    <w:p w14:paraId="75C99D7D" w14:textId="77777777" w:rsidR="005F11FC" w:rsidRPr="005F11FC" w:rsidRDefault="005F11FC" w:rsidP="005F11FC">
      <w:pPr>
        <w:spacing w:after="0" w:line="240" w:lineRule="auto"/>
        <w:ind w:left="284"/>
        <w:jc w:val="both"/>
        <w:rPr>
          <w:rFonts w:ascii="Arial" w:eastAsia="Times New Roman" w:hAnsi="Arial" w:cs="Arial"/>
          <w:color w:val="000000"/>
          <w:sz w:val="18"/>
          <w:szCs w:val="18"/>
          <w:lang w:eastAsia="es-CO"/>
        </w:rPr>
      </w:pPr>
      <w:r w:rsidRPr="005F11FC">
        <w:rPr>
          <w:rFonts w:ascii="Segoe UI" w:eastAsia="Times New Roman" w:hAnsi="Segoe UI" w:cs="Segoe UI"/>
          <w:i/>
          <w:iCs/>
          <w:sz w:val="22"/>
          <w:lang w:eastAsia="es-CO"/>
        </w:rPr>
        <w:t>2. ¿Se deben presentar los Formatos 1007, 1011 y 1012 por parte de una propiedad horizontal?</w:t>
      </w:r>
    </w:p>
    <w:p w14:paraId="52ABB2C7" w14:textId="77777777" w:rsidR="005F11FC" w:rsidRPr="005F11FC" w:rsidRDefault="005F11FC" w:rsidP="005F11FC">
      <w:pPr>
        <w:spacing w:after="0" w:line="240" w:lineRule="auto"/>
        <w:ind w:left="284"/>
        <w:jc w:val="both"/>
        <w:rPr>
          <w:rFonts w:ascii="Arial" w:eastAsia="Times New Roman" w:hAnsi="Arial" w:cs="Arial"/>
          <w:color w:val="000000"/>
          <w:sz w:val="18"/>
          <w:szCs w:val="18"/>
          <w:lang w:eastAsia="es-CO"/>
        </w:rPr>
      </w:pPr>
      <w:r w:rsidRPr="005F11FC">
        <w:rPr>
          <w:rFonts w:ascii="Segoe UI" w:eastAsia="Times New Roman" w:hAnsi="Segoe UI" w:cs="Segoe UI"/>
          <w:i/>
          <w:iCs/>
          <w:sz w:val="22"/>
          <w:lang w:eastAsia="es-CO"/>
        </w:rPr>
        <w:t xml:space="preserve">3. ¿Las personas jurídicas originadas en la constitución de la propiedad horizontal deben informar la totalidad de las operaciones realizadas por pagos o abonos en cuenta, independientemente que se haya practicado retención en la fuente o no, en el concepto contable a que correspondan, sin tener en cuenta el valor mínimo a reportar señalado en el parágrafo 1 del artículo 17? </w:t>
      </w:r>
      <w:proofErr w:type="gramStart"/>
      <w:r w:rsidRPr="005F11FC">
        <w:rPr>
          <w:rFonts w:ascii="Segoe UI" w:eastAsia="Times New Roman" w:hAnsi="Segoe UI" w:cs="Segoe UI"/>
          <w:i/>
          <w:iCs/>
          <w:sz w:val="22"/>
          <w:lang w:eastAsia="es-CO"/>
        </w:rPr>
        <w:t>¿Cómo se debe entender lo dispuesto en el literal f) de la Resolución No.</w:t>
      </w:r>
      <w:proofErr w:type="gramEnd"/>
      <w:r w:rsidRPr="005F11FC">
        <w:rPr>
          <w:rFonts w:ascii="Segoe UI" w:eastAsia="Times New Roman" w:hAnsi="Segoe UI" w:cs="Segoe UI"/>
          <w:i/>
          <w:iCs/>
          <w:sz w:val="22"/>
          <w:lang w:eastAsia="es-CO"/>
        </w:rPr>
        <w:t xml:space="preserve"> 000070 de 2019, en el caso de los no contribuyentes que no practicaron retención en la fuente ni autorretenciones?</w:t>
      </w:r>
    </w:p>
    <w:p w14:paraId="1FF66B90" w14:textId="77777777" w:rsidR="005F11FC" w:rsidRPr="005F11FC" w:rsidRDefault="005F11FC" w:rsidP="005F11FC">
      <w:pPr>
        <w:spacing w:after="0" w:line="240" w:lineRule="auto"/>
        <w:ind w:left="284"/>
        <w:jc w:val="both"/>
        <w:rPr>
          <w:rFonts w:ascii="Arial" w:eastAsia="Times New Roman" w:hAnsi="Arial" w:cs="Arial"/>
          <w:color w:val="000000"/>
          <w:sz w:val="18"/>
          <w:szCs w:val="18"/>
          <w:lang w:eastAsia="es-CO"/>
        </w:rPr>
      </w:pPr>
      <w:r w:rsidRPr="005F11FC">
        <w:rPr>
          <w:rFonts w:ascii="Segoe UI" w:eastAsia="Times New Roman" w:hAnsi="Segoe UI" w:cs="Segoe UI"/>
          <w:i/>
          <w:iCs/>
          <w:sz w:val="22"/>
          <w:lang w:eastAsia="es-CO"/>
        </w:rPr>
        <w:t xml:space="preserve">4. ¿Los contribuyentes que se acojan al Régimen Simple de Tributación- </w:t>
      </w:r>
      <w:proofErr w:type="gramStart"/>
      <w:r w:rsidRPr="005F11FC">
        <w:rPr>
          <w:rFonts w:ascii="Segoe UI" w:eastAsia="Times New Roman" w:hAnsi="Segoe UI" w:cs="Segoe UI"/>
          <w:i/>
          <w:iCs/>
          <w:sz w:val="22"/>
          <w:lang w:eastAsia="es-CO"/>
        </w:rPr>
        <w:t>SIMPLE deben tener en cuenta las cuantías menores de los Formatos 1001, 1006 y 1007?</w:t>
      </w:r>
      <w:proofErr w:type="gramEnd"/>
    </w:p>
    <w:p w14:paraId="4B894309" w14:textId="77777777" w:rsidR="005F11FC" w:rsidRPr="005F11FC" w:rsidRDefault="005F11FC" w:rsidP="005F11FC">
      <w:pPr>
        <w:spacing w:after="0" w:line="240" w:lineRule="auto"/>
        <w:jc w:val="both"/>
        <w:rPr>
          <w:rFonts w:ascii="Arial" w:eastAsia="Times New Roman" w:hAnsi="Arial" w:cs="Arial"/>
          <w:color w:val="000000"/>
          <w:sz w:val="18"/>
          <w:szCs w:val="18"/>
          <w:lang w:eastAsia="es-CO"/>
        </w:rPr>
      </w:pPr>
      <w:r w:rsidRPr="005F11FC">
        <w:rPr>
          <w:rFonts w:ascii="Segoe UI" w:eastAsia="Times New Roman" w:hAnsi="Segoe UI" w:cs="Segoe UI"/>
          <w:color w:val="000000"/>
          <w:sz w:val="18"/>
          <w:szCs w:val="18"/>
          <w:lang w:eastAsia="es-CO"/>
        </w:rPr>
        <w:t> </w:t>
      </w:r>
    </w:p>
    <w:p w14:paraId="6BDD944C" w14:textId="77777777" w:rsidR="005F11FC" w:rsidRPr="005F11FC" w:rsidRDefault="005F11FC" w:rsidP="005F11FC">
      <w:pPr>
        <w:spacing w:after="0" w:line="240" w:lineRule="auto"/>
        <w:jc w:val="both"/>
        <w:rPr>
          <w:rFonts w:ascii="Arial" w:eastAsia="Times New Roman" w:hAnsi="Arial" w:cs="Arial"/>
          <w:color w:val="000000"/>
          <w:sz w:val="18"/>
          <w:szCs w:val="18"/>
          <w:lang w:eastAsia="es-CO"/>
        </w:rPr>
      </w:pPr>
      <w:r w:rsidRPr="005F11FC">
        <w:rPr>
          <w:rFonts w:ascii="Segoe UI" w:eastAsia="Times New Roman" w:hAnsi="Segoe UI" w:cs="Segoe UI"/>
          <w:sz w:val="22"/>
          <w:lang w:eastAsia="es-CO"/>
        </w:rPr>
        <w:t>Las preguntas planteadas se resolverán a continuación:</w:t>
      </w:r>
    </w:p>
    <w:p w14:paraId="2E8F1442" w14:textId="77777777" w:rsidR="005F11FC" w:rsidRPr="005F11FC" w:rsidRDefault="005F11FC" w:rsidP="005F11FC">
      <w:pPr>
        <w:spacing w:after="0" w:line="240" w:lineRule="auto"/>
        <w:jc w:val="both"/>
        <w:rPr>
          <w:rFonts w:ascii="Arial" w:eastAsia="Times New Roman" w:hAnsi="Arial" w:cs="Arial"/>
          <w:color w:val="000000"/>
          <w:sz w:val="18"/>
          <w:szCs w:val="18"/>
          <w:lang w:eastAsia="es-CO"/>
        </w:rPr>
      </w:pPr>
      <w:r w:rsidRPr="005F11FC">
        <w:rPr>
          <w:rFonts w:ascii="Segoe UI" w:eastAsia="Times New Roman" w:hAnsi="Segoe UI" w:cs="Segoe UI"/>
          <w:b/>
          <w:bCs/>
          <w:i/>
          <w:iCs/>
          <w:sz w:val="22"/>
          <w:lang w:eastAsia="es-CO"/>
        </w:rPr>
        <w:t> </w:t>
      </w:r>
    </w:p>
    <w:p w14:paraId="4208EA23" w14:textId="77777777" w:rsidR="005F11FC" w:rsidRPr="005F11FC" w:rsidRDefault="005F11FC" w:rsidP="005F11FC">
      <w:pPr>
        <w:spacing w:after="0" w:line="240" w:lineRule="auto"/>
        <w:ind w:left="284"/>
        <w:jc w:val="both"/>
        <w:rPr>
          <w:rFonts w:ascii="Arial" w:eastAsia="Times New Roman" w:hAnsi="Arial" w:cs="Arial"/>
          <w:color w:val="000000"/>
          <w:sz w:val="18"/>
          <w:szCs w:val="18"/>
          <w:lang w:eastAsia="es-CO"/>
        </w:rPr>
      </w:pPr>
      <w:r w:rsidRPr="005F11FC">
        <w:rPr>
          <w:rFonts w:ascii="Segoe UI" w:eastAsia="Times New Roman" w:hAnsi="Segoe UI" w:cs="Segoe UI"/>
          <w:b/>
          <w:bCs/>
          <w:i/>
          <w:iCs/>
          <w:sz w:val="22"/>
          <w:lang w:eastAsia="es-CO"/>
        </w:rPr>
        <w:t>1. ¿Las personas jurídicas originadas en la constitución de la propiedad horizontal solo están obligadas a la presentación de información exógena cuando se configure lo dispuesto en el literal e) del artículo 1 de la Resolución No. 000070 de 2019?</w:t>
      </w:r>
    </w:p>
    <w:p w14:paraId="6B0B2976" w14:textId="77777777" w:rsidR="005F11FC" w:rsidRPr="005F11FC" w:rsidRDefault="005F11FC" w:rsidP="005F11FC">
      <w:pPr>
        <w:spacing w:after="0" w:line="240" w:lineRule="auto"/>
        <w:jc w:val="both"/>
        <w:rPr>
          <w:rFonts w:ascii="Arial" w:eastAsia="Times New Roman" w:hAnsi="Arial" w:cs="Arial"/>
          <w:color w:val="000000"/>
          <w:sz w:val="18"/>
          <w:szCs w:val="18"/>
          <w:lang w:eastAsia="es-CO"/>
        </w:rPr>
      </w:pPr>
      <w:r w:rsidRPr="005F11FC">
        <w:rPr>
          <w:rFonts w:ascii="Segoe UI" w:eastAsia="Times New Roman" w:hAnsi="Segoe UI" w:cs="Segoe UI"/>
          <w:sz w:val="22"/>
          <w:lang w:eastAsia="es-CO"/>
        </w:rPr>
        <w:t> </w:t>
      </w:r>
    </w:p>
    <w:p w14:paraId="26429186" w14:textId="77777777" w:rsidR="005F11FC" w:rsidRPr="005F11FC" w:rsidRDefault="005F11FC" w:rsidP="005F11FC">
      <w:pPr>
        <w:spacing w:after="0" w:line="240" w:lineRule="auto"/>
        <w:jc w:val="both"/>
        <w:rPr>
          <w:rFonts w:ascii="Arial" w:eastAsia="Times New Roman" w:hAnsi="Arial" w:cs="Arial"/>
          <w:color w:val="000000"/>
          <w:sz w:val="18"/>
          <w:szCs w:val="18"/>
          <w:lang w:eastAsia="es-CO"/>
        </w:rPr>
      </w:pPr>
      <w:r w:rsidRPr="005F11FC">
        <w:rPr>
          <w:rFonts w:ascii="Segoe UI" w:eastAsia="Times New Roman" w:hAnsi="Segoe UI" w:cs="Segoe UI"/>
          <w:sz w:val="22"/>
          <w:lang w:eastAsia="es-CO"/>
        </w:rPr>
        <w:t>La interpretación oficial (Oficio No. 017797 del 10 de julio de 2019) en años gravables anteriores, para este caso concluyó que cuando se cumple con algún </w:t>
      </w:r>
      <w:r w:rsidRPr="005F11FC">
        <w:rPr>
          <w:rFonts w:ascii="Segoe UI" w:eastAsia="Times New Roman" w:hAnsi="Segoe UI" w:cs="Segoe UI"/>
          <w:i/>
          <w:iCs/>
          <w:sz w:val="22"/>
          <w:lang w:eastAsia="es-CO"/>
        </w:rPr>
        <w:t>ítem </w:t>
      </w:r>
      <w:r w:rsidRPr="005F11FC">
        <w:rPr>
          <w:rFonts w:ascii="Segoe UI" w:eastAsia="Times New Roman" w:hAnsi="Segoe UI" w:cs="Segoe UI"/>
          <w:sz w:val="22"/>
          <w:lang w:eastAsia="es-CO"/>
        </w:rPr>
        <w:t>del artículo que establece los sujetos obligados a presentar la información exógena se debe dar estricto cumplimiento a las obligaciones relacionadas con este deber.</w:t>
      </w:r>
    </w:p>
    <w:p w14:paraId="62D58CAE" w14:textId="77777777" w:rsidR="005F11FC" w:rsidRPr="005F11FC" w:rsidRDefault="005F11FC" w:rsidP="005F11FC">
      <w:pPr>
        <w:spacing w:after="0" w:line="240" w:lineRule="auto"/>
        <w:jc w:val="both"/>
        <w:rPr>
          <w:rFonts w:ascii="Arial" w:eastAsia="Times New Roman" w:hAnsi="Arial" w:cs="Arial"/>
          <w:color w:val="000000"/>
          <w:sz w:val="18"/>
          <w:szCs w:val="18"/>
          <w:lang w:eastAsia="es-CO"/>
        </w:rPr>
      </w:pPr>
      <w:r w:rsidRPr="005F11FC">
        <w:rPr>
          <w:rFonts w:ascii="Segoe UI" w:eastAsia="Times New Roman" w:hAnsi="Segoe UI" w:cs="Segoe UI"/>
          <w:sz w:val="22"/>
          <w:lang w:eastAsia="es-CO"/>
        </w:rPr>
        <w:t> </w:t>
      </w:r>
    </w:p>
    <w:p w14:paraId="3582E899" w14:textId="77777777" w:rsidR="005F11FC" w:rsidRPr="005F11FC" w:rsidRDefault="005F11FC" w:rsidP="005F11FC">
      <w:pPr>
        <w:spacing w:after="0" w:line="240" w:lineRule="auto"/>
        <w:jc w:val="both"/>
        <w:rPr>
          <w:rFonts w:ascii="Arial" w:eastAsia="Times New Roman" w:hAnsi="Arial" w:cs="Arial"/>
          <w:color w:val="000000"/>
          <w:sz w:val="18"/>
          <w:szCs w:val="18"/>
          <w:lang w:eastAsia="es-CO"/>
        </w:rPr>
      </w:pPr>
      <w:r w:rsidRPr="005F11FC">
        <w:rPr>
          <w:rFonts w:ascii="Segoe UI" w:eastAsia="Times New Roman" w:hAnsi="Segoe UI" w:cs="Segoe UI"/>
          <w:sz w:val="22"/>
          <w:lang w:eastAsia="es-CO"/>
        </w:rPr>
        <w:t xml:space="preserve">Esta conclusión es relevante para el presente análisis pues la obligación en comento no solo depende de los ingresos percibidos por la persona jurídica, que para este caso incluye la </w:t>
      </w:r>
      <w:r w:rsidRPr="005F11FC">
        <w:rPr>
          <w:rFonts w:ascii="Segoe UI" w:eastAsia="Times New Roman" w:hAnsi="Segoe UI" w:cs="Segoe UI"/>
          <w:sz w:val="22"/>
          <w:lang w:eastAsia="es-CO"/>
        </w:rPr>
        <w:lastRenderedPageBreak/>
        <w:t xml:space="preserve">propiedad horizontal, </w:t>
      </w:r>
      <w:proofErr w:type="gramStart"/>
      <w:r w:rsidRPr="005F11FC">
        <w:rPr>
          <w:rFonts w:ascii="Segoe UI" w:eastAsia="Times New Roman" w:hAnsi="Segoe UI" w:cs="Segoe UI"/>
          <w:sz w:val="22"/>
          <w:lang w:eastAsia="es-CO"/>
        </w:rPr>
        <w:t>de acuerdo a</w:t>
      </w:r>
      <w:proofErr w:type="gramEnd"/>
      <w:r w:rsidRPr="005F11FC">
        <w:rPr>
          <w:rFonts w:ascii="Segoe UI" w:eastAsia="Times New Roman" w:hAnsi="Segoe UI" w:cs="Segoe UI"/>
          <w:sz w:val="22"/>
          <w:lang w:eastAsia="es-CO"/>
        </w:rPr>
        <w:t xml:space="preserve"> lo señalado en la Ley 675 de 2001, sino la capacidad de actuar como agente de retención.</w:t>
      </w:r>
    </w:p>
    <w:p w14:paraId="7A21F2F2" w14:textId="77777777" w:rsidR="005F11FC" w:rsidRPr="005F11FC" w:rsidRDefault="005F11FC" w:rsidP="005F11FC">
      <w:pPr>
        <w:spacing w:after="0" w:line="240" w:lineRule="auto"/>
        <w:jc w:val="both"/>
        <w:rPr>
          <w:rFonts w:ascii="Arial" w:eastAsia="Times New Roman" w:hAnsi="Arial" w:cs="Arial"/>
          <w:color w:val="000000"/>
          <w:sz w:val="18"/>
          <w:szCs w:val="18"/>
          <w:lang w:eastAsia="es-CO"/>
        </w:rPr>
      </w:pPr>
      <w:r w:rsidRPr="005F11FC">
        <w:rPr>
          <w:rFonts w:ascii="Segoe UI" w:eastAsia="Times New Roman" w:hAnsi="Segoe UI" w:cs="Segoe UI"/>
          <w:sz w:val="22"/>
          <w:lang w:eastAsia="es-CO"/>
        </w:rPr>
        <w:t> </w:t>
      </w:r>
    </w:p>
    <w:p w14:paraId="0372250E" w14:textId="77777777" w:rsidR="005F11FC" w:rsidRPr="005F11FC" w:rsidRDefault="005F11FC" w:rsidP="005F11FC">
      <w:pPr>
        <w:spacing w:after="0" w:line="240" w:lineRule="auto"/>
        <w:jc w:val="both"/>
        <w:rPr>
          <w:rFonts w:ascii="Arial" w:eastAsia="Times New Roman" w:hAnsi="Arial" w:cs="Arial"/>
          <w:color w:val="000000"/>
          <w:sz w:val="18"/>
          <w:szCs w:val="18"/>
          <w:lang w:eastAsia="es-CO"/>
        </w:rPr>
      </w:pPr>
      <w:r w:rsidRPr="005F11FC">
        <w:rPr>
          <w:rFonts w:ascii="Segoe UI" w:eastAsia="Times New Roman" w:hAnsi="Segoe UI" w:cs="Segoe UI"/>
          <w:sz w:val="22"/>
          <w:lang w:eastAsia="es-CO"/>
        </w:rPr>
        <w:t>Es así como el artículo 1º de la Resolución No. 00070 de 2020 (sic) en sus literales e) y f) establece:</w:t>
      </w:r>
    </w:p>
    <w:p w14:paraId="4D04365E" w14:textId="77777777" w:rsidR="005F11FC" w:rsidRPr="005F11FC" w:rsidRDefault="005F11FC" w:rsidP="005F11FC">
      <w:pPr>
        <w:spacing w:after="0" w:line="240" w:lineRule="auto"/>
        <w:jc w:val="both"/>
        <w:rPr>
          <w:rFonts w:ascii="Arial" w:eastAsia="Times New Roman" w:hAnsi="Arial" w:cs="Arial"/>
          <w:color w:val="000000"/>
          <w:sz w:val="18"/>
          <w:szCs w:val="18"/>
          <w:lang w:eastAsia="es-CO"/>
        </w:rPr>
      </w:pPr>
      <w:r w:rsidRPr="005F11FC">
        <w:rPr>
          <w:rFonts w:ascii="Segoe UI" w:eastAsia="Times New Roman" w:hAnsi="Segoe UI" w:cs="Segoe UI"/>
          <w:i/>
          <w:iCs/>
          <w:sz w:val="22"/>
          <w:lang w:eastAsia="es-CO"/>
        </w:rPr>
        <w:t> </w:t>
      </w:r>
    </w:p>
    <w:p w14:paraId="35A69B67" w14:textId="77777777" w:rsidR="005F11FC" w:rsidRPr="005F11FC" w:rsidRDefault="005F11FC" w:rsidP="005F11FC">
      <w:pPr>
        <w:spacing w:after="0" w:line="240" w:lineRule="auto"/>
        <w:ind w:left="284"/>
        <w:jc w:val="both"/>
        <w:rPr>
          <w:rFonts w:ascii="Arial" w:eastAsia="Times New Roman" w:hAnsi="Arial" w:cs="Arial"/>
          <w:color w:val="000000"/>
          <w:sz w:val="18"/>
          <w:szCs w:val="18"/>
          <w:lang w:eastAsia="es-CO"/>
        </w:rPr>
      </w:pPr>
      <w:r w:rsidRPr="005F11FC">
        <w:rPr>
          <w:rFonts w:ascii="Segoe UI" w:eastAsia="Times New Roman" w:hAnsi="Segoe UI" w:cs="Segoe UI"/>
          <w:i/>
          <w:iCs/>
          <w:sz w:val="22"/>
          <w:lang w:eastAsia="es-CO"/>
        </w:rPr>
        <w:t>“e) Las </w:t>
      </w:r>
      <w:r w:rsidRPr="005F11FC">
        <w:rPr>
          <w:rFonts w:ascii="Segoe UI" w:eastAsia="Times New Roman" w:hAnsi="Segoe UI" w:cs="Segoe UI"/>
          <w:b/>
          <w:bCs/>
          <w:i/>
          <w:iCs/>
          <w:sz w:val="22"/>
          <w:lang w:eastAsia="es-CO"/>
        </w:rPr>
        <w:t>personas jurídicas y sus asimiladas </w:t>
      </w:r>
      <w:r w:rsidRPr="005F11FC">
        <w:rPr>
          <w:rFonts w:ascii="Segoe UI" w:eastAsia="Times New Roman" w:hAnsi="Segoe UI" w:cs="Segoe UI"/>
          <w:i/>
          <w:iCs/>
          <w:sz w:val="22"/>
          <w:lang w:eastAsia="es-CO"/>
        </w:rPr>
        <w:t>y demás entidades públicas y privadas que en el año gravable 2019 o en el año gravable 2020 hayan obtenido </w:t>
      </w:r>
      <w:r w:rsidRPr="005F11FC">
        <w:rPr>
          <w:rFonts w:ascii="Segoe UI" w:eastAsia="Times New Roman" w:hAnsi="Segoe UI" w:cs="Segoe UI"/>
          <w:b/>
          <w:bCs/>
          <w:i/>
          <w:iCs/>
          <w:sz w:val="22"/>
          <w:lang w:eastAsia="es-CO"/>
        </w:rPr>
        <w:t>ingresos brutos superiores a cien millones de pesos ($100.000.000)</w:t>
      </w:r>
      <w:r w:rsidRPr="005F11FC">
        <w:rPr>
          <w:rFonts w:ascii="Segoe UI" w:eastAsia="Times New Roman" w:hAnsi="Segoe UI" w:cs="Segoe UI"/>
          <w:i/>
          <w:iCs/>
          <w:sz w:val="22"/>
          <w:lang w:eastAsia="es-CO"/>
        </w:rPr>
        <w:t>.</w:t>
      </w:r>
    </w:p>
    <w:p w14:paraId="53A47D6F" w14:textId="77777777" w:rsidR="005F11FC" w:rsidRPr="005F11FC" w:rsidRDefault="005F11FC" w:rsidP="005F11FC">
      <w:pPr>
        <w:spacing w:after="0" w:line="240" w:lineRule="auto"/>
        <w:ind w:left="284"/>
        <w:jc w:val="both"/>
        <w:rPr>
          <w:rFonts w:ascii="Arial" w:eastAsia="Times New Roman" w:hAnsi="Arial" w:cs="Arial"/>
          <w:color w:val="000000"/>
          <w:sz w:val="18"/>
          <w:szCs w:val="18"/>
          <w:lang w:eastAsia="es-CO"/>
        </w:rPr>
      </w:pPr>
      <w:r w:rsidRPr="005F11FC">
        <w:rPr>
          <w:rFonts w:ascii="Segoe UI" w:eastAsia="Times New Roman" w:hAnsi="Segoe UI" w:cs="Segoe UI"/>
          <w:i/>
          <w:iCs/>
          <w:sz w:val="22"/>
          <w:lang w:eastAsia="es-CO"/>
        </w:rPr>
        <w:t>(…)</w:t>
      </w:r>
    </w:p>
    <w:p w14:paraId="686CDBF2" w14:textId="77777777" w:rsidR="005F11FC" w:rsidRPr="005F11FC" w:rsidRDefault="005F11FC" w:rsidP="005F11FC">
      <w:pPr>
        <w:spacing w:after="0" w:line="240" w:lineRule="auto"/>
        <w:ind w:left="284"/>
        <w:jc w:val="both"/>
        <w:rPr>
          <w:rFonts w:ascii="Arial" w:eastAsia="Times New Roman" w:hAnsi="Arial" w:cs="Arial"/>
          <w:color w:val="000000"/>
          <w:sz w:val="18"/>
          <w:szCs w:val="18"/>
          <w:lang w:eastAsia="es-CO"/>
        </w:rPr>
      </w:pPr>
      <w:r w:rsidRPr="005F11FC">
        <w:rPr>
          <w:rFonts w:ascii="Segoe UI" w:eastAsia="Times New Roman" w:hAnsi="Segoe UI" w:cs="Segoe UI"/>
          <w:i/>
          <w:iCs/>
          <w:sz w:val="22"/>
          <w:lang w:eastAsia="es-CO"/>
        </w:rPr>
        <w:t>f) Las personas naturales y sus asimiladas que perciban rentas de capital y/o rentas no laborales, </w:t>
      </w:r>
      <w:r w:rsidRPr="005F11FC">
        <w:rPr>
          <w:rFonts w:ascii="Segoe UI" w:eastAsia="Times New Roman" w:hAnsi="Segoe UI" w:cs="Segoe UI"/>
          <w:b/>
          <w:bCs/>
          <w:i/>
          <w:iCs/>
          <w:sz w:val="22"/>
          <w:lang w:eastAsia="es-CO"/>
        </w:rPr>
        <w:t>las personas jurídicas y sus asimiladas</w:t>
      </w:r>
      <w:r w:rsidRPr="005F11FC">
        <w:rPr>
          <w:rFonts w:ascii="Segoe UI" w:eastAsia="Times New Roman" w:hAnsi="Segoe UI" w:cs="Segoe UI"/>
          <w:i/>
          <w:iCs/>
          <w:sz w:val="22"/>
          <w:lang w:eastAsia="es-CO"/>
        </w:rPr>
        <w:t>, entidades públicas y privadas, y demás </w:t>
      </w:r>
      <w:r w:rsidRPr="005F11FC">
        <w:rPr>
          <w:rFonts w:ascii="Segoe UI" w:eastAsia="Times New Roman" w:hAnsi="Segoe UI" w:cs="Segoe UI"/>
          <w:b/>
          <w:bCs/>
          <w:i/>
          <w:iCs/>
          <w:sz w:val="22"/>
          <w:lang w:eastAsia="es-CO"/>
        </w:rPr>
        <w:t>obligados a practicar retenciones y autorretenciones en la fuente a título del Impuesto sobre la Renta, impuesto sobre las ventas (IVA) y Timbre, durante el año gravable 2020</w:t>
      </w:r>
      <w:r w:rsidRPr="005F11FC">
        <w:rPr>
          <w:rFonts w:ascii="Segoe UI" w:eastAsia="Times New Roman" w:hAnsi="Segoe UI" w:cs="Segoe UI"/>
          <w:i/>
          <w:iCs/>
          <w:sz w:val="22"/>
          <w:lang w:eastAsia="es-CO"/>
        </w:rPr>
        <w:t>.</w:t>
      </w:r>
    </w:p>
    <w:p w14:paraId="333EBDD6" w14:textId="77777777" w:rsidR="005F11FC" w:rsidRPr="005F11FC" w:rsidRDefault="005F11FC" w:rsidP="005F11FC">
      <w:pPr>
        <w:spacing w:after="0" w:line="240" w:lineRule="auto"/>
        <w:ind w:left="284"/>
        <w:jc w:val="both"/>
        <w:rPr>
          <w:rFonts w:ascii="Arial" w:eastAsia="Times New Roman" w:hAnsi="Arial" w:cs="Arial"/>
          <w:color w:val="000000"/>
          <w:sz w:val="18"/>
          <w:szCs w:val="18"/>
          <w:lang w:eastAsia="es-CO"/>
        </w:rPr>
      </w:pPr>
      <w:r w:rsidRPr="005F11FC">
        <w:rPr>
          <w:rFonts w:ascii="Segoe UI" w:eastAsia="Times New Roman" w:hAnsi="Segoe UI" w:cs="Segoe UI"/>
          <w:i/>
          <w:iCs/>
          <w:sz w:val="22"/>
          <w:lang w:eastAsia="es-CO"/>
        </w:rPr>
        <w:t>(…)</w:t>
      </w:r>
    </w:p>
    <w:p w14:paraId="09059C4D" w14:textId="77777777" w:rsidR="005F11FC" w:rsidRPr="005F11FC" w:rsidRDefault="005F11FC" w:rsidP="005F11FC">
      <w:pPr>
        <w:spacing w:after="0" w:line="240" w:lineRule="auto"/>
        <w:ind w:left="284"/>
        <w:jc w:val="both"/>
        <w:rPr>
          <w:rFonts w:ascii="Arial" w:eastAsia="Times New Roman" w:hAnsi="Arial" w:cs="Arial"/>
          <w:color w:val="000000"/>
          <w:sz w:val="18"/>
          <w:szCs w:val="18"/>
          <w:lang w:eastAsia="es-CO"/>
        </w:rPr>
      </w:pPr>
      <w:r w:rsidRPr="005F11FC">
        <w:rPr>
          <w:rFonts w:ascii="Segoe UI" w:eastAsia="Times New Roman" w:hAnsi="Segoe UI" w:cs="Segoe UI"/>
          <w:b/>
          <w:bCs/>
          <w:i/>
          <w:iCs/>
          <w:sz w:val="22"/>
          <w:lang w:eastAsia="es-CO"/>
        </w:rPr>
        <w:t>Parágrafo 1.</w:t>
      </w:r>
      <w:r w:rsidRPr="005F11FC">
        <w:rPr>
          <w:rFonts w:ascii="Segoe UI" w:eastAsia="Times New Roman" w:hAnsi="Segoe UI" w:cs="Segoe UI"/>
          <w:i/>
          <w:iCs/>
          <w:sz w:val="22"/>
          <w:lang w:eastAsia="es-CO"/>
        </w:rPr>
        <w:t> Para efectos de establecer la obligación de informar de las personas de los literales d) y e) del presenten artículo, los “Ingresos Brutos” incluyen todos los </w:t>
      </w:r>
      <w:r w:rsidRPr="005F11FC">
        <w:rPr>
          <w:rFonts w:ascii="Segoe UI" w:eastAsia="Times New Roman" w:hAnsi="Segoe UI" w:cs="Segoe UI"/>
          <w:b/>
          <w:bCs/>
          <w:i/>
          <w:iCs/>
          <w:sz w:val="22"/>
          <w:lang w:eastAsia="es-CO"/>
        </w:rPr>
        <w:t>ingresos ordinarios, extraordinarios </w:t>
      </w:r>
      <w:r w:rsidRPr="005F11FC">
        <w:rPr>
          <w:rFonts w:ascii="Segoe UI" w:eastAsia="Times New Roman" w:hAnsi="Segoe UI" w:cs="Segoe UI"/>
          <w:i/>
          <w:iCs/>
          <w:sz w:val="22"/>
          <w:lang w:eastAsia="es-CO"/>
        </w:rPr>
        <w:t>y los correspondientes a las ganancias ocasionales.” </w:t>
      </w:r>
      <w:r w:rsidRPr="005F11FC">
        <w:rPr>
          <w:rFonts w:ascii="Segoe UI" w:eastAsia="Times New Roman" w:hAnsi="Segoe UI" w:cs="Segoe UI"/>
          <w:sz w:val="22"/>
          <w:lang w:eastAsia="es-CO"/>
        </w:rPr>
        <w:t>(Negrilla fuera del texto)</w:t>
      </w:r>
      <w:r w:rsidRPr="005F11FC">
        <w:rPr>
          <w:rFonts w:ascii="Segoe UI" w:eastAsia="Times New Roman" w:hAnsi="Segoe UI" w:cs="Segoe UI"/>
          <w:i/>
          <w:iCs/>
          <w:sz w:val="22"/>
          <w:lang w:eastAsia="es-CO"/>
        </w:rPr>
        <w:t>.</w:t>
      </w:r>
    </w:p>
    <w:p w14:paraId="3749FC7B" w14:textId="77777777" w:rsidR="005F11FC" w:rsidRPr="005F11FC" w:rsidRDefault="005F11FC" w:rsidP="005F11FC">
      <w:pPr>
        <w:spacing w:after="0" w:line="240" w:lineRule="auto"/>
        <w:jc w:val="both"/>
        <w:rPr>
          <w:rFonts w:ascii="Arial" w:eastAsia="Times New Roman" w:hAnsi="Arial" w:cs="Arial"/>
          <w:color w:val="000000"/>
          <w:sz w:val="18"/>
          <w:szCs w:val="18"/>
          <w:lang w:eastAsia="es-CO"/>
        </w:rPr>
      </w:pPr>
      <w:r w:rsidRPr="005F11FC">
        <w:rPr>
          <w:rFonts w:ascii="Segoe UI" w:eastAsia="Times New Roman" w:hAnsi="Segoe UI" w:cs="Segoe UI"/>
          <w:sz w:val="22"/>
          <w:lang w:eastAsia="es-CO"/>
        </w:rPr>
        <w:t> </w:t>
      </w:r>
    </w:p>
    <w:p w14:paraId="2C67D19A" w14:textId="77777777" w:rsidR="005F11FC" w:rsidRPr="005F11FC" w:rsidRDefault="005F11FC" w:rsidP="005F11FC">
      <w:pPr>
        <w:spacing w:after="0" w:line="240" w:lineRule="auto"/>
        <w:jc w:val="both"/>
        <w:rPr>
          <w:rFonts w:ascii="Arial" w:eastAsia="Times New Roman" w:hAnsi="Arial" w:cs="Arial"/>
          <w:color w:val="000000"/>
          <w:sz w:val="18"/>
          <w:szCs w:val="18"/>
          <w:lang w:eastAsia="es-CO"/>
        </w:rPr>
      </w:pPr>
      <w:r w:rsidRPr="005F11FC">
        <w:rPr>
          <w:rFonts w:ascii="Segoe UI" w:eastAsia="Times New Roman" w:hAnsi="Segoe UI" w:cs="Segoe UI"/>
          <w:sz w:val="22"/>
          <w:lang w:eastAsia="es-CO"/>
        </w:rPr>
        <w:t>Respecto del criterio relacionado con los ingresos, el literal e) se refiere a ingresos brutos superiores a $100.000.000, los cuales no admiten distinción cuando se analiza lo relacionado con las personas jurídicas originadas en la constitución de la propiedad horizontal, aun cuando esta sea de uso residencial, comercial o mixto. Este ingreso parte de la información consignada en la contabilidad de esta persona jurídica.</w:t>
      </w:r>
    </w:p>
    <w:p w14:paraId="25E0CF66" w14:textId="77777777" w:rsidR="005F11FC" w:rsidRPr="005F11FC" w:rsidRDefault="005F11FC" w:rsidP="005F11FC">
      <w:pPr>
        <w:spacing w:after="0" w:line="240" w:lineRule="auto"/>
        <w:jc w:val="both"/>
        <w:rPr>
          <w:rFonts w:ascii="Arial" w:eastAsia="Times New Roman" w:hAnsi="Arial" w:cs="Arial"/>
          <w:color w:val="000000"/>
          <w:sz w:val="18"/>
          <w:szCs w:val="18"/>
          <w:lang w:eastAsia="es-CO"/>
        </w:rPr>
      </w:pPr>
      <w:r w:rsidRPr="005F11FC">
        <w:rPr>
          <w:rFonts w:ascii="Segoe UI" w:eastAsia="Times New Roman" w:hAnsi="Segoe UI" w:cs="Segoe UI"/>
          <w:sz w:val="22"/>
          <w:lang w:eastAsia="es-CO"/>
        </w:rPr>
        <w:t> </w:t>
      </w:r>
    </w:p>
    <w:p w14:paraId="3C813659" w14:textId="77777777" w:rsidR="005F11FC" w:rsidRPr="005F11FC" w:rsidRDefault="005F11FC" w:rsidP="005F11FC">
      <w:pPr>
        <w:spacing w:after="0" w:line="240" w:lineRule="auto"/>
        <w:jc w:val="both"/>
        <w:rPr>
          <w:rFonts w:ascii="Arial" w:eastAsia="Times New Roman" w:hAnsi="Arial" w:cs="Arial"/>
          <w:color w:val="000000"/>
          <w:sz w:val="18"/>
          <w:szCs w:val="18"/>
          <w:lang w:eastAsia="es-CO"/>
        </w:rPr>
      </w:pPr>
      <w:r w:rsidRPr="005F11FC">
        <w:rPr>
          <w:rFonts w:ascii="Segoe UI" w:eastAsia="Times New Roman" w:hAnsi="Segoe UI" w:cs="Segoe UI"/>
          <w:sz w:val="22"/>
          <w:lang w:eastAsia="es-CO"/>
        </w:rPr>
        <w:t>Esto significa que lo correspondiente a las cuotas de administración también hace parte de los ingresos a evaluar si se encuentra obligado a presentar información exógena, a que se refiere el artículo 1º.</w:t>
      </w:r>
    </w:p>
    <w:p w14:paraId="440EDA4F" w14:textId="77777777" w:rsidR="005F11FC" w:rsidRPr="005F11FC" w:rsidRDefault="005F11FC" w:rsidP="005F11FC">
      <w:pPr>
        <w:spacing w:after="0" w:line="240" w:lineRule="auto"/>
        <w:jc w:val="both"/>
        <w:rPr>
          <w:rFonts w:ascii="Arial" w:eastAsia="Times New Roman" w:hAnsi="Arial" w:cs="Arial"/>
          <w:color w:val="000000"/>
          <w:sz w:val="18"/>
          <w:szCs w:val="18"/>
          <w:lang w:eastAsia="es-CO"/>
        </w:rPr>
      </w:pPr>
      <w:r w:rsidRPr="005F11FC">
        <w:rPr>
          <w:rFonts w:ascii="Segoe UI" w:eastAsia="Times New Roman" w:hAnsi="Segoe UI" w:cs="Segoe UI"/>
          <w:sz w:val="22"/>
          <w:lang w:eastAsia="es-CO"/>
        </w:rPr>
        <w:t> </w:t>
      </w:r>
    </w:p>
    <w:p w14:paraId="08D9EAB6" w14:textId="77777777" w:rsidR="005F11FC" w:rsidRPr="005F11FC" w:rsidRDefault="005F11FC" w:rsidP="005F11FC">
      <w:pPr>
        <w:spacing w:after="0" w:line="240" w:lineRule="auto"/>
        <w:jc w:val="both"/>
        <w:rPr>
          <w:rFonts w:ascii="Arial" w:eastAsia="Times New Roman" w:hAnsi="Arial" w:cs="Arial"/>
          <w:color w:val="000000"/>
          <w:sz w:val="18"/>
          <w:szCs w:val="18"/>
          <w:lang w:eastAsia="es-CO"/>
        </w:rPr>
      </w:pPr>
      <w:r w:rsidRPr="005F11FC">
        <w:rPr>
          <w:rFonts w:ascii="Segoe UI" w:eastAsia="Times New Roman" w:hAnsi="Segoe UI" w:cs="Segoe UI"/>
          <w:sz w:val="22"/>
          <w:lang w:eastAsia="es-CO"/>
        </w:rPr>
        <w:t>En cuanto al contenido del literal f), según el </w:t>
      </w:r>
      <w:hyperlink r:id="rId7" w:tooltip="Estatuto Tributario CETA" w:history="1">
        <w:r w:rsidRPr="005F11FC">
          <w:rPr>
            <w:rFonts w:ascii="Segoe UI" w:eastAsia="Times New Roman" w:hAnsi="Segoe UI" w:cs="Segoe UI"/>
            <w:color w:val="0089E1"/>
            <w:sz w:val="22"/>
            <w:u w:val="single"/>
            <w:lang w:eastAsia="es-CO"/>
          </w:rPr>
          <w:t>artículo 368</w:t>
        </w:r>
      </w:hyperlink>
      <w:r w:rsidRPr="005F11FC">
        <w:rPr>
          <w:rFonts w:ascii="Segoe UI" w:eastAsia="Times New Roman" w:hAnsi="Segoe UI" w:cs="Segoe UI"/>
          <w:sz w:val="22"/>
          <w:lang w:eastAsia="es-CO"/>
        </w:rPr>
        <w:t> del Estatuto Tributario son agentes de retención o de percepción, entre otros, las personas jurídicas que por sus funciones intervengan en actos u operaciones en los cuales deban, por expresa disposición legal, efectuar la retención o percepción del tributo correspondiente.</w:t>
      </w:r>
    </w:p>
    <w:p w14:paraId="2B0DEBB6" w14:textId="77777777" w:rsidR="005F11FC" w:rsidRPr="005F11FC" w:rsidRDefault="005F11FC" w:rsidP="005F11FC">
      <w:pPr>
        <w:spacing w:after="0" w:line="240" w:lineRule="auto"/>
        <w:jc w:val="both"/>
        <w:rPr>
          <w:rFonts w:ascii="Arial" w:eastAsia="Times New Roman" w:hAnsi="Arial" w:cs="Arial"/>
          <w:color w:val="000000"/>
          <w:sz w:val="18"/>
          <w:szCs w:val="18"/>
          <w:lang w:eastAsia="es-CO"/>
        </w:rPr>
      </w:pPr>
      <w:r w:rsidRPr="005F11FC">
        <w:rPr>
          <w:rFonts w:ascii="Segoe UI" w:eastAsia="Times New Roman" w:hAnsi="Segoe UI" w:cs="Segoe UI"/>
          <w:color w:val="000000"/>
          <w:sz w:val="18"/>
          <w:szCs w:val="18"/>
          <w:lang w:eastAsia="es-CO"/>
        </w:rPr>
        <w:t> </w:t>
      </w:r>
    </w:p>
    <w:p w14:paraId="5018634F" w14:textId="77777777" w:rsidR="005F11FC" w:rsidRPr="005F11FC" w:rsidRDefault="005F11FC" w:rsidP="005F11FC">
      <w:pPr>
        <w:spacing w:after="0" w:line="240" w:lineRule="auto"/>
        <w:jc w:val="both"/>
        <w:rPr>
          <w:rFonts w:ascii="Arial" w:eastAsia="Times New Roman" w:hAnsi="Arial" w:cs="Arial"/>
          <w:color w:val="000000"/>
          <w:sz w:val="18"/>
          <w:szCs w:val="18"/>
          <w:lang w:eastAsia="es-CO"/>
        </w:rPr>
      </w:pPr>
      <w:r w:rsidRPr="005F11FC">
        <w:rPr>
          <w:rFonts w:ascii="Segoe UI" w:eastAsia="Times New Roman" w:hAnsi="Segoe UI" w:cs="Segoe UI"/>
          <w:color w:val="000000"/>
          <w:sz w:val="18"/>
          <w:szCs w:val="18"/>
          <w:lang w:eastAsia="es-CO"/>
        </w:rPr>
        <w:t>Así las cosas, el supuesto considerado en el literal f) no atiende a los ingresos percibidos sino a la función desarrollada por las personas jurídicas como agentes de retención, cuando realizan pagos, razón por la cual también se debe analizar este criterio con el fin de establecer si la persona jurídica originada en la constitución de la propiedad horizontal de uso residencial debe presentar información exógena por el año gravable 2020.</w:t>
      </w:r>
    </w:p>
    <w:p w14:paraId="52A69E65" w14:textId="77777777" w:rsidR="005F11FC" w:rsidRPr="005F11FC" w:rsidRDefault="005F11FC" w:rsidP="005F11FC">
      <w:pPr>
        <w:spacing w:after="0" w:line="240" w:lineRule="auto"/>
        <w:jc w:val="both"/>
        <w:rPr>
          <w:rFonts w:ascii="Arial" w:eastAsia="Times New Roman" w:hAnsi="Arial" w:cs="Arial"/>
          <w:color w:val="000000"/>
          <w:sz w:val="18"/>
          <w:szCs w:val="18"/>
          <w:lang w:eastAsia="es-CO"/>
        </w:rPr>
      </w:pPr>
      <w:r w:rsidRPr="005F11FC">
        <w:rPr>
          <w:rFonts w:ascii="Segoe UI" w:eastAsia="Times New Roman" w:hAnsi="Segoe UI" w:cs="Segoe UI"/>
          <w:sz w:val="22"/>
          <w:lang w:eastAsia="es-CO"/>
        </w:rPr>
        <w:t> </w:t>
      </w:r>
    </w:p>
    <w:p w14:paraId="5D177A95" w14:textId="77777777" w:rsidR="005F11FC" w:rsidRPr="005F11FC" w:rsidRDefault="005F11FC" w:rsidP="005F11FC">
      <w:pPr>
        <w:spacing w:after="0" w:line="240" w:lineRule="auto"/>
        <w:jc w:val="both"/>
        <w:rPr>
          <w:rFonts w:ascii="Arial" w:eastAsia="Times New Roman" w:hAnsi="Arial" w:cs="Arial"/>
          <w:color w:val="000000"/>
          <w:sz w:val="18"/>
          <w:szCs w:val="18"/>
          <w:lang w:eastAsia="es-CO"/>
        </w:rPr>
      </w:pPr>
      <w:r w:rsidRPr="005F11FC">
        <w:rPr>
          <w:rFonts w:ascii="Segoe UI" w:eastAsia="Times New Roman" w:hAnsi="Segoe UI" w:cs="Segoe UI"/>
          <w:sz w:val="22"/>
          <w:lang w:eastAsia="es-CO"/>
        </w:rPr>
        <w:t xml:space="preserve">Finalmente, se sugiere a los peticionarios revisar el Concepto No. 906177 del 28 de junio de 2021 </w:t>
      </w:r>
      <w:proofErr w:type="spellStart"/>
      <w:r w:rsidRPr="005F11FC">
        <w:rPr>
          <w:rFonts w:ascii="Segoe UI" w:eastAsia="Times New Roman" w:hAnsi="Segoe UI" w:cs="Segoe UI"/>
          <w:sz w:val="22"/>
          <w:lang w:eastAsia="es-CO"/>
        </w:rPr>
        <w:t>int</w:t>
      </w:r>
      <w:proofErr w:type="spellEnd"/>
      <w:r w:rsidRPr="005F11FC">
        <w:rPr>
          <w:rFonts w:ascii="Segoe UI" w:eastAsia="Times New Roman" w:hAnsi="Segoe UI" w:cs="Segoe UI"/>
          <w:sz w:val="22"/>
          <w:lang w:eastAsia="es-CO"/>
        </w:rPr>
        <w:t>. 930 en donde se analizó esta misma temática.</w:t>
      </w:r>
    </w:p>
    <w:p w14:paraId="68C68390" w14:textId="77777777" w:rsidR="005F11FC" w:rsidRPr="005F11FC" w:rsidRDefault="005F11FC" w:rsidP="005F11FC">
      <w:pPr>
        <w:spacing w:after="0" w:line="240" w:lineRule="auto"/>
        <w:jc w:val="both"/>
        <w:rPr>
          <w:rFonts w:ascii="Arial" w:eastAsia="Times New Roman" w:hAnsi="Arial" w:cs="Arial"/>
          <w:color w:val="000000"/>
          <w:sz w:val="18"/>
          <w:szCs w:val="18"/>
          <w:lang w:eastAsia="es-CO"/>
        </w:rPr>
      </w:pPr>
      <w:r w:rsidRPr="005F11FC">
        <w:rPr>
          <w:rFonts w:ascii="Segoe UI" w:eastAsia="Times New Roman" w:hAnsi="Segoe UI" w:cs="Segoe UI"/>
          <w:b/>
          <w:bCs/>
          <w:i/>
          <w:iCs/>
          <w:sz w:val="22"/>
          <w:lang w:eastAsia="es-CO"/>
        </w:rPr>
        <w:t> </w:t>
      </w:r>
    </w:p>
    <w:p w14:paraId="22B2188F" w14:textId="77777777" w:rsidR="005F11FC" w:rsidRPr="005F11FC" w:rsidRDefault="005F11FC" w:rsidP="005F11FC">
      <w:pPr>
        <w:spacing w:after="0" w:line="240" w:lineRule="auto"/>
        <w:ind w:left="284"/>
        <w:jc w:val="both"/>
        <w:rPr>
          <w:rFonts w:ascii="Arial" w:eastAsia="Times New Roman" w:hAnsi="Arial" w:cs="Arial"/>
          <w:color w:val="000000"/>
          <w:sz w:val="18"/>
          <w:szCs w:val="18"/>
          <w:lang w:eastAsia="es-CO"/>
        </w:rPr>
      </w:pPr>
      <w:r w:rsidRPr="005F11FC">
        <w:rPr>
          <w:rFonts w:ascii="Segoe UI" w:eastAsia="Times New Roman" w:hAnsi="Segoe UI" w:cs="Segoe UI"/>
          <w:b/>
          <w:bCs/>
          <w:i/>
          <w:iCs/>
          <w:sz w:val="22"/>
          <w:lang w:eastAsia="es-CO"/>
        </w:rPr>
        <w:t>2. ¿Se deben presentar los Formatos 1007, 1011 y 1012 por parte de una propiedad horizontal?</w:t>
      </w:r>
    </w:p>
    <w:p w14:paraId="2564F959" w14:textId="77777777" w:rsidR="005F11FC" w:rsidRPr="005F11FC" w:rsidRDefault="005F11FC" w:rsidP="005F11FC">
      <w:pPr>
        <w:spacing w:after="0" w:line="240" w:lineRule="auto"/>
        <w:jc w:val="both"/>
        <w:rPr>
          <w:rFonts w:ascii="Arial" w:eastAsia="Times New Roman" w:hAnsi="Arial" w:cs="Arial"/>
          <w:color w:val="000000"/>
          <w:sz w:val="18"/>
          <w:szCs w:val="18"/>
          <w:lang w:eastAsia="es-CO"/>
        </w:rPr>
      </w:pPr>
      <w:r w:rsidRPr="005F11FC">
        <w:rPr>
          <w:rFonts w:ascii="Segoe UI" w:eastAsia="Times New Roman" w:hAnsi="Segoe UI" w:cs="Segoe UI"/>
          <w:sz w:val="22"/>
          <w:lang w:eastAsia="es-CO"/>
        </w:rPr>
        <w:t> </w:t>
      </w:r>
    </w:p>
    <w:p w14:paraId="2DBE852E" w14:textId="77777777" w:rsidR="005F11FC" w:rsidRPr="005F11FC" w:rsidRDefault="005F11FC" w:rsidP="005F11FC">
      <w:pPr>
        <w:spacing w:after="0" w:line="240" w:lineRule="auto"/>
        <w:jc w:val="both"/>
        <w:rPr>
          <w:rFonts w:ascii="Arial" w:eastAsia="Times New Roman" w:hAnsi="Arial" w:cs="Arial"/>
          <w:color w:val="000000"/>
          <w:sz w:val="18"/>
          <w:szCs w:val="18"/>
          <w:lang w:eastAsia="es-CO"/>
        </w:rPr>
      </w:pPr>
      <w:r w:rsidRPr="005F11FC">
        <w:rPr>
          <w:rFonts w:ascii="Segoe UI" w:eastAsia="Times New Roman" w:hAnsi="Segoe UI" w:cs="Segoe UI"/>
          <w:sz w:val="22"/>
          <w:lang w:eastAsia="es-CO"/>
        </w:rPr>
        <w:t>Sobre la presentación de los Formatos 1007 </w:t>
      </w:r>
      <w:r w:rsidRPr="005F11FC">
        <w:rPr>
          <w:rFonts w:ascii="Segoe UI" w:eastAsia="Times New Roman" w:hAnsi="Segoe UI" w:cs="Segoe UI"/>
          <w:i/>
          <w:iCs/>
          <w:sz w:val="22"/>
          <w:lang w:eastAsia="es-CO"/>
        </w:rPr>
        <w:t>“Ingresos Recibidos”</w:t>
      </w:r>
      <w:r w:rsidRPr="005F11FC">
        <w:rPr>
          <w:rFonts w:ascii="Segoe UI" w:eastAsia="Times New Roman" w:hAnsi="Segoe UI" w:cs="Segoe UI"/>
          <w:sz w:val="22"/>
          <w:lang w:eastAsia="es-CO"/>
        </w:rPr>
        <w:t>, 1011 </w:t>
      </w:r>
      <w:r w:rsidRPr="005F11FC">
        <w:rPr>
          <w:rFonts w:ascii="Segoe UI" w:eastAsia="Times New Roman" w:hAnsi="Segoe UI" w:cs="Segoe UI"/>
          <w:i/>
          <w:iCs/>
          <w:sz w:val="22"/>
          <w:lang w:eastAsia="es-CO"/>
        </w:rPr>
        <w:t>“Información de las Declaraciones Tributarias” </w:t>
      </w:r>
      <w:r w:rsidRPr="005F11FC">
        <w:rPr>
          <w:rFonts w:ascii="Segoe UI" w:eastAsia="Times New Roman" w:hAnsi="Segoe UI" w:cs="Segoe UI"/>
          <w:sz w:val="22"/>
          <w:lang w:eastAsia="es-CO"/>
        </w:rPr>
        <w:t>y 1012 </w:t>
      </w:r>
      <w:r w:rsidRPr="005F11FC">
        <w:rPr>
          <w:rFonts w:ascii="Segoe UI" w:eastAsia="Times New Roman" w:hAnsi="Segoe UI" w:cs="Segoe UI"/>
          <w:i/>
          <w:iCs/>
          <w:sz w:val="22"/>
          <w:lang w:eastAsia="es-CO"/>
        </w:rPr>
        <w:t>“Información de las declaraciones tributarias, acciones y aportes e inversiones en bonos, certificados, títulos y demás inversiones tributarias”</w:t>
      </w:r>
      <w:r w:rsidRPr="005F11FC">
        <w:rPr>
          <w:rFonts w:ascii="Segoe UI" w:eastAsia="Times New Roman" w:hAnsi="Segoe UI" w:cs="Segoe UI"/>
          <w:sz w:val="22"/>
          <w:lang w:eastAsia="es-CO"/>
        </w:rPr>
        <w:t>, en el caso de la persona jurídica originada en la constitución de la propiedad horizontal de uso residencial, es importante precisar:</w:t>
      </w:r>
    </w:p>
    <w:p w14:paraId="0107F1E2" w14:textId="77777777" w:rsidR="005F11FC" w:rsidRPr="005F11FC" w:rsidRDefault="005F11FC" w:rsidP="005F11FC">
      <w:pPr>
        <w:spacing w:after="0" w:line="240" w:lineRule="auto"/>
        <w:jc w:val="both"/>
        <w:rPr>
          <w:rFonts w:ascii="Arial" w:eastAsia="Times New Roman" w:hAnsi="Arial" w:cs="Arial"/>
          <w:color w:val="000000"/>
          <w:sz w:val="18"/>
          <w:szCs w:val="18"/>
          <w:lang w:eastAsia="es-CO"/>
        </w:rPr>
      </w:pPr>
      <w:r w:rsidRPr="005F11FC">
        <w:rPr>
          <w:rFonts w:ascii="Segoe UI" w:eastAsia="Times New Roman" w:hAnsi="Segoe UI" w:cs="Segoe UI"/>
          <w:sz w:val="22"/>
          <w:lang w:eastAsia="es-CO"/>
        </w:rPr>
        <w:t> </w:t>
      </w:r>
    </w:p>
    <w:p w14:paraId="28D7191C" w14:textId="77777777" w:rsidR="005F11FC" w:rsidRPr="005F11FC" w:rsidRDefault="005F11FC" w:rsidP="005F11FC">
      <w:pPr>
        <w:spacing w:after="0" w:line="240" w:lineRule="auto"/>
        <w:ind w:left="567" w:hanging="283"/>
        <w:jc w:val="both"/>
        <w:rPr>
          <w:rFonts w:ascii="Arial" w:eastAsia="Times New Roman" w:hAnsi="Arial" w:cs="Arial"/>
          <w:color w:val="000000"/>
          <w:sz w:val="18"/>
          <w:szCs w:val="18"/>
          <w:lang w:eastAsia="es-CO"/>
        </w:rPr>
      </w:pPr>
      <w:r w:rsidRPr="005F11FC">
        <w:rPr>
          <w:rFonts w:ascii="Symbol" w:eastAsia="Times New Roman" w:hAnsi="Symbol" w:cs="Arial"/>
          <w:sz w:val="22"/>
          <w:lang w:eastAsia="es-CO"/>
        </w:rPr>
        <w:t>·</w:t>
      </w:r>
      <w:r w:rsidRPr="005F11FC">
        <w:rPr>
          <w:rFonts w:eastAsia="Times New Roman" w:cs="Times New Roman"/>
          <w:sz w:val="14"/>
          <w:szCs w:val="14"/>
          <w:lang w:eastAsia="es-CO"/>
        </w:rPr>
        <w:t>      </w:t>
      </w:r>
      <w:r w:rsidRPr="005F11FC">
        <w:rPr>
          <w:rFonts w:ascii="Segoe UI" w:eastAsia="Times New Roman" w:hAnsi="Segoe UI" w:cs="Segoe UI"/>
          <w:sz w:val="22"/>
          <w:lang w:eastAsia="es-CO"/>
        </w:rPr>
        <w:t>Según lo dispuesto en el artículo 19 de la Resolución No. 00070 de 2019, el Formato 1007 no hace distinción del tipo de persona jurídica que debe reportar la información contenida en el mismo.</w:t>
      </w:r>
    </w:p>
    <w:p w14:paraId="5EEB0EE1" w14:textId="77777777" w:rsidR="005F11FC" w:rsidRPr="005F11FC" w:rsidRDefault="005F11FC" w:rsidP="005F11FC">
      <w:pPr>
        <w:spacing w:after="0" w:line="240" w:lineRule="auto"/>
        <w:ind w:left="567" w:hanging="283"/>
        <w:jc w:val="both"/>
        <w:rPr>
          <w:rFonts w:ascii="Arial" w:eastAsia="Times New Roman" w:hAnsi="Arial" w:cs="Arial"/>
          <w:color w:val="000000"/>
          <w:sz w:val="18"/>
          <w:szCs w:val="18"/>
          <w:lang w:eastAsia="es-CO"/>
        </w:rPr>
      </w:pPr>
      <w:r w:rsidRPr="005F11FC">
        <w:rPr>
          <w:rFonts w:ascii="Symbol" w:eastAsia="Times New Roman" w:hAnsi="Symbol" w:cs="Arial"/>
          <w:sz w:val="22"/>
          <w:lang w:eastAsia="es-CO"/>
        </w:rPr>
        <w:t>·</w:t>
      </w:r>
      <w:r w:rsidRPr="005F11FC">
        <w:rPr>
          <w:rFonts w:eastAsia="Times New Roman" w:cs="Times New Roman"/>
          <w:sz w:val="14"/>
          <w:szCs w:val="14"/>
          <w:lang w:eastAsia="es-CO"/>
        </w:rPr>
        <w:t>      </w:t>
      </w:r>
      <w:r w:rsidRPr="005F11FC">
        <w:rPr>
          <w:rFonts w:ascii="Segoe UI" w:eastAsia="Times New Roman" w:hAnsi="Segoe UI" w:cs="Segoe UI"/>
          <w:sz w:val="22"/>
          <w:lang w:eastAsia="es-CO"/>
        </w:rPr>
        <w:t>Los Formatos 1011 y 1012 están relacionados con información de las declaraciones tributarias, situación que deberá analizarse en cada caso particular con el fin de verificar si proceden o no los mismos.</w:t>
      </w:r>
    </w:p>
    <w:p w14:paraId="7AA6AC8F" w14:textId="77777777" w:rsidR="005F11FC" w:rsidRPr="005F11FC" w:rsidRDefault="005F11FC" w:rsidP="005F11FC">
      <w:pPr>
        <w:spacing w:after="0" w:line="240" w:lineRule="auto"/>
        <w:jc w:val="both"/>
        <w:rPr>
          <w:rFonts w:ascii="Arial" w:eastAsia="Times New Roman" w:hAnsi="Arial" w:cs="Arial"/>
          <w:color w:val="000000"/>
          <w:sz w:val="18"/>
          <w:szCs w:val="18"/>
          <w:lang w:eastAsia="es-CO"/>
        </w:rPr>
      </w:pPr>
      <w:r w:rsidRPr="005F11FC">
        <w:rPr>
          <w:rFonts w:ascii="Segoe UI" w:eastAsia="Times New Roman" w:hAnsi="Segoe UI" w:cs="Segoe UI"/>
          <w:sz w:val="22"/>
          <w:lang w:eastAsia="es-CO"/>
        </w:rPr>
        <w:lastRenderedPageBreak/>
        <w:t> </w:t>
      </w:r>
    </w:p>
    <w:p w14:paraId="6736D1CC" w14:textId="77777777" w:rsidR="005F11FC" w:rsidRPr="005F11FC" w:rsidRDefault="005F11FC" w:rsidP="005F11FC">
      <w:pPr>
        <w:spacing w:after="0" w:line="240" w:lineRule="auto"/>
        <w:ind w:left="284"/>
        <w:jc w:val="both"/>
        <w:rPr>
          <w:rFonts w:ascii="Arial" w:eastAsia="Times New Roman" w:hAnsi="Arial" w:cs="Arial"/>
          <w:color w:val="000000"/>
          <w:sz w:val="18"/>
          <w:szCs w:val="18"/>
          <w:lang w:eastAsia="es-CO"/>
        </w:rPr>
      </w:pPr>
      <w:r w:rsidRPr="005F11FC">
        <w:rPr>
          <w:rFonts w:ascii="Segoe UI" w:eastAsia="Times New Roman" w:hAnsi="Segoe UI" w:cs="Segoe UI"/>
          <w:b/>
          <w:bCs/>
          <w:i/>
          <w:iCs/>
          <w:sz w:val="22"/>
          <w:lang w:eastAsia="es-CO"/>
        </w:rPr>
        <w:t xml:space="preserve">3. ¿Deben informar la totalidad de las operaciones realizadas por pagos o abonos en cuenta, independientemente que se haya practicado retención en la fuente o no, en el concepto contable a que correspondan, sin tener en cuenta el valor mínimo a reportar señalado en el parágrafo 1 del artículo 17? </w:t>
      </w:r>
      <w:proofErr w:type="gramStart"/>
      <w:r w:rsidRPr="005F11FC">
        <w:rPr>
          <w:rFonts w:ascii="Segoe UI" w:eastAsia="Times New Roman" w:hAnsi="Segoe UI" w:cs="Segoe UI"/>
          <w:b/>
          <w:bCs/>
          <w:i/>
          <w:iCs/>
          <w:sz w:val="22"/>
          <w:lang w:eastAsia="es-CO"/>
        </w:rPr>
        <w:t>¿Cómo se debe entender lo dispuesto en el literal f) de la Resolución No.</w:t>
      </w:r>
      <w:proofErr w:type="gramEnd"/>
      <w:r w:rsidRPr="005F11FC">
        <w:rPr>
          <w:rFonts w:ascii="Segoe UI" w:eastAsia="Times New Roman" w:hAnsi="Segoe UI" w:cs="Segoe UI"/>
          <w:b/>
          <w:bCs/>
          <w:i/>
          <w:iCs/>
          <w:sz w:val="22"/>
          <w:lang w:eastAsia="es-CO"/>
        </w:rPr>
        <w:t xml:space="preserve"> 000070 de 2019, en el caso de los no contribuyentes que no practicaron retención en la fuente ni autorretenciones?</w:t>
      </w:r>
    </w:p>
    <w:p w14:paraId="3D1B7605" w14:textId="77777777" w:rsidR="005F11FC" w:rsidRPr="005F11FC" w:rsidRDefault="005F11FC" w:rsidP="005F11FC">
      <w:pPr>
        <w:spacing w:after="0" w:line="240" w:lineRule="auto"/>
        <w:jc w:val="both"/>
        <w:rPr>
          <w:rFonts w:ascii="Arial" w:eastAsia="Times New Roman" w:hAnsi="Arial" w:cs="Arial"/>
          <w:color w:val="000000"/>
          <w:sz w:val="18"/>
          <w:szCs w:val="18"/>
          <w:lang w:eastAsia="es-CO"/>
        </w:rPr>
      </w:pPr>
      <w:r w:rsidRPr="005F11FC">
        <w:rPr>
          <w:rFonts w:ascii="Segoe UI" w:eastAsia="Times New Roman" w:hAnsi="Segoe UI" w:cs="Segoe UI"/>
          <w:sz w:val="22"/>
          <w:lang w:eastAsia="es-CO"/>
        </w:rPr>
        <w:t> </w:t>
      </w:r>
    </w:p>
    <w:p w14:paraId="618B81C5" w14:textId="77777777" w:rsidR="005F11FC" w:rsidRPr="005F11FC" w:rsidRDefault="005F11FC" w:rsidP="005F11FC">
      <w:pPr>
        <w:spacing w:after="0" w:line="240" w:lineRule="auto"/>
        <w:jc w:val="both"/>
        <w:rPr>
          <w:rFonts w:ascii="Arial" w:eastAsia="Times New Roman" w:hAnsi="Arial" w:cs="Arial"/>
          <w:color w:val="000000"/>
          <w:sz w:val="18"/>
          <w:szCs w:val="18"/>
          <w:lang w:eastAsia="es-CO"/>
        </w:rPr>
      </w:pPr>
      <w:r w:rsidRPr="005F11FC">
        <w:rPr>
          <w:rFonts w:ascii="Segoe UI" w:eastAsia="Times New Roman" w:hAnsi="Segoe UI" w:cs="Segoe UI"/>
          <w:sz w:val="22"/>
          <w:lang w:eastAsia="es-CO"/>
        </w:rPr>
        <w:t>Respecto de la información a suministrarse en el Formato 1001, el artículo 17 de la Resolución No. 000070 de 2019 precisa para los obligados lo siguiente:</w:t>
      </w:r>
    </w:p>
    <w:p w14:paraId="3FFE483F" w14:textId="77777777" w:rsidR="005F11FC" w:rsidRPr="005F11FC" w:rsidRDefault="005F11FC" w:rsidP="005F11FC">
      <w:pPr>
        <w:spacing w:after="0" w:line="240" w:lineRule="auto"/>
        <w:jc w:val="both"/>
        <w:rPr>
          <w:rFonts w:ascii="Arial" w:eastAsia="Times New Roman" w:hAnsi="Arial" w:cs="Arial"/>
          <w:color w:val="000000"/>
          <w:sz w:val="18"/>
          <w:szCs w:val="18"/>
          <w:lang w:eastAsia="es-CO"/>
        </w:rPr>
      </w:pPr>
      <w:r w:rsidRPr="005F11FC">
        <w:rPr>
          <w:rFonts w:ascii="Segoe UI" w:eastAsia="Times New Roman" w:hAnsi="Segoe UI" w:cs="Segoe UI"/>
          <w:i/>
          <w:iCs/>
          <w:sz w:val="22"/>
          <w:lang w:eastAsia="es-CO"/>
        </w:rPr>
        <w:t> </w:t>
      </w:r>
    </w:p>
    <w:p w14:paraId="19265F06" w14:textId="77777777" w:rsidR="005F11FC" w:rsidRPr="005F11FC" w:rsidRDefault="005F11FC" w:rsidP="005F11FC">
      <w:pPr>
        <w:spacing w:after="0" w:line="240" w:lineRule="auto"/>
        <w:ind w:left="284"/>
        <w:jc w:val="both"/>
        <w:rPr>
          <w:rFonts w:ascii="Arial" w:eastAsia="Times New Roman" w:hAnsi="Arial" w:cs="Arial"/>
          <w:color w:val="000000"/>
          <w:sz w:val="18"/>
          <w:szCs w:val="18"/>
          <w:lang w:eastAsia="es-CO"/>
        </w:rPr>
      </w:pPr>
      <w:r w:rsidRPr="005F11FC">
        <w:rPr>
          <w:rFonts w:ascii="Segoe UI" w:eastAsia="Times New Roman" w:hAnsi="Segoe UI" w:cs="Segoe UI"/>
          <w:i/>
          <w:iCs/>
          <w:sz w:val="22"/>
          <w:lang w:eastAsia="es-CO"/>
        </w:rPr>
        <w:t>“(…) deberán informar: los apellidos y nombres o razón social, identificación, dirección y país de residencia o domicilio de cada una de las personas o entidades beneficiarias de los pagos o abonos en cuenta (devengo) que constituyan costo o deducción o den derecho a impuesto descontable, incluida la compra de activos fijos o movibles y los pagos o abonos en cuenta (devengo) no solicitados fiscalmente como costo o deducción, </w:t>
      </w:r>
      <w:r w:rsidRPr="005F11FC">
        <w:rPr>
          <w:rFonts w:ascii="Segoe UI" w:eastAsia="Times New Roman" w:hAnsi="Segoe UI" w:cs="Segoe UI"/>
          <w:b/>
          <w:bCs/>
          <w:i/>
          <w:iCs/>
          <w:sz w:val="22"/>
          <w:lang w:eastAsia="es-CO"/>
        </w:rPr>
        <w:t>los valores de las retenciones en la fuente </w:t>
      </w:r>
      <w:r w:rsidRPr="005F11FC">
        <w:rPr>
          <w:rFonts w:ascii="Segoe UI" w:eastAsia="Times New Roman" w:hAnsi="Segoe UI" w:cs="Segoe UI"/>
          <w:b/>
          <w:bCs/>
          <w:i/>
          <w:iCs/>
          <w:sz w:val="22"/>
          <w:u w:val="single"/>
          <w:lang w:eastAsia="es-CO"/>
        </w:rPr>
        <w:t>practicadas o asumidas</w:t>
      </w:r>
      <w:r w:rsidRPr="005F11FC">
        <w:rPr>
          <w:rFonts w:ascii="Segoe UI" w:eastAsia="Times New Roman" w:hAnsi="Segoe UI" w:cs="Segoe UI"/>
          <w:b/>
          <w:bCs/>
          <w:i/>
          <w:iCs/>
          <w:sz w:val="22"/>
          <w:lang w:eastAsia="es-CO"/>
        </w:rPr>
        <w:t> a título de los impuestos sobre la Renta, IVA y Timbre</w:t>
      </w:r>
      <w:r w:rsidRPr="005F11FC">
        <w:rPr>
          <w:rFonts w:ascii="Segoe UI" w:eastAsia="Times New Roman" w:hAnsi="Segoe UI" w:cs="Segoe UI"/>
          <w:i/>
          <w:iCs/>
          <w:sz w:val="22"/>
          <w:lang w:eastAsia="es-CO"/>
        </w:rPr>
        <w:t>, según el concepto contable a que correspondan en el Formato 1001 Versión 10 - Pagos o abonos en cuenta y retenciones practicadas, de la siguiente manera: (…)” </w:t>
      </w:r>
      <w:r w:rsidRPr="005F11FC">
        <w:rPr>
          <w:rFonts w:ascii="Segoe UI" w:eastAsia="Times New Roman" w:hAnsi="Segoe UI" w:cs="Segoe UI"/>
          <w:sz w:val="22"/>
          <w:lang w:eastAsia="es-CO"/>
        </w:rPr>
        <w:t>(Negrilla y subrayado fuera del texto).</w:t>
      </w:r>
    </w:p>
    <w:p w14:paraId="70181D41" w14:textId="77777777" w:rsidR="005F11FC" w:rsidRPr="005F11FC" w:rsidRDefault="005F11FC" w:rsidP="005F11FC">
      <w:pPr>
        <w:spacing w:after="0" w:line="240" w:lineRule="auto"/>
        <w:ind w:left="284"/>
        <w:jc w:val="both"/>
        <w:rPr>
          <w:rFonts w:ascii="Arial" w:eastAsia="Times New Roman" w:hAnsi="Arial" w:cs="Arial"/>
          <w:color w:val="000000"/>
          <w:sz w:val="18"/>
          <w:szCs w:val="18"/>
          <w:lang w:eastAsia="es-CO"/>
        </w:rPr>
      </w:pPr>
      <w:r w:rsidRPr="005F11FC">
        <w:rPr>
          <w:rFonts w:ascii="Segoe UI" w:eastAsia="Times New Roman" w:hAnsi="Segoe UI" w:cs="Segoe UI"/>
          <w:b/>
          <w:bCs/>
          <w:i/>
          <w:iCs/>
          <w:sz w:val="22"/>
          <w:lang w:eastAsia="es-CO"/>
        </w:rPr>
        <w:t> </w:t>
      </w:r>
    </w:p>
    <w:p w14:paraId="682729AB" w14:textId="77777777" w:rsidR="005F11FC" w:rsidRPr="005F11FC" w:rsidRDefault="005F11FC" w:rsidP="005F11FC">
      <w:pPr>
        <w:spacing w:after="0" w:line="240" w:lineRule="auto"/>
        <w:ind w:left="284"/>
        <w:jc w:val="both"/>
        <w:rPr>
          <w:rFonts w:ascii="Arial" w:eastAsia="Times New Roman" w:hAnsi="Arial" w:cs="Arial"/>
          <w:color w:val="000000"/>
          <w:sz w:val="18"/>
          <w:szCs w:val="18"/>
          <w:lang w:eastAsia="es-CO"/>
        </w:rPr>
      </w:pPr>
      <w:r w:rsidRPr="005F11FC">
        <w:rPr>
          <w:rFonts w:ascii="Segoe UI" w:eastAsia="Times New Roman" w:hAnsi="Segoe UI" w:cs="Segoe UI"/>
          <w:b/>
          <w:bCs/>
          <w:i/>
          <w:iCs/>
          <w:sz w:val="22"/>
          <w:lang w:eastAsia="es-CO"/>
        </w:rPr>
        <w:t>4. ¿Los contribuyentes que se acojan al Régimen Simple de tributación deben tener en cuenta las cuantías menores de los Formatos 1001, 1006 y 1007?</w:t>
      </w:r>
    </w:p>
    <w:p w14:paraId="4176640E" w14:textId="77777777" w:rsidR="005F11FC" w:rsidRPr="005F11FC" w:rsidRDefault="005F11FC" w:rsidP="005F11FC">
      <w:pPr>
        <w:spacing w:after="0" w:line="240" w:lineRule="auto"/>
        <w:jc w:val="both"/>
        <w:rPr>
          <w:rFonts w:ascii="Arial" w:eastAsia="Times New Roman" w:hAnsi="Arial" w:cs="Arial"/>
          <w:color w:val="000000"/>
          <w:sz w:val="18"/>
          <w:szCs w:val="18"/>
          <w:lang w:eastAsia="es-CO"/>
        </w:rPr>
      </w:pPr>
      <w:r w:rsidRPr="005F11FC">
        <w:rPr>
          <w:rFonts w:ascii="Segoe UI" w:eastAsia="Times New Roman" w:hAnsi="Segoe UI" w:cs="Segoe UI"/>
          <w:sz w:val="22"/>
          <w:lang w:eastAsia="es-CO"/>
        </w:rPr>
        <w:t> </w:t>
      </w:r>
    </w:p>
    <w:p w14:paraId="75E94C3E" w14:textId="77777777" w:rsidR="005F11FC" w:rsidRPr="005F11FC" w:rsidRDefault="005F11FC" w:rsidP="005F11FC">
      <w:pPr>
        <w:spacing w:after="0" w:line="240" w:lineRule="auto"/>
        <w:jc w:val="both"/>
        <w:rPr>
          <w:rFonts w:ascii="Arial" w:eastAsia="Times New Roman" w:hAnsi="Arial" w:cs="Arial"/>
          <w:color w:val="000000"/>
          <w:sz w:val="18"/>
          <w:szCs w:val="18"/>
          <w:lang w:eastAsia="es-CO"/>
        </w:rPr>
      </w:pPr>
      <w:r w:rsidRPr="005F11FC">
        <w:rPr>
          <w:rFonts w:ascii="Segoe UI" w:eastAsia="Times New Roman" w:hAnsi="Segoe UI" w:cs="Segoe UI"/>
          <w:sz w:val="22"/>
          <w:lang w:eastAsia="es-CO"/>
        </w:rPr>
        <w:t>Los literales d) y e) del artículo 1º de la Resolución No. 000070 de 2019 establecen:</w:t>
      </w:r>
    </w:p>
    <w:p w14:paraId="121EDA97" w14:textId="77777777" w:rsidR="005F11FC" w:rsidRPr="005F11FC" w:rsidRDefault="005F11FC" w:rsidP="005F11FC">
      <w:pPr>
        <w:spacing w:after="0" w:line="240" w:lineRule="auto"/>
        <w:jc w:val="both"/>
        <w:rPr>
          <w:rFonts w:ascii="Arial" w:eastAsia="Times New Roman" w:hAnsi="Arial" w:cs="Arial"/>
          <w:color w:val="000000"/>
          <w:sz w:val="18"/>
          <w:szCs w:val="18"/>
          <w:lang w:eastAsia="es-CO"/>
        </w:rPr>
      </w:pPr>
      <w:r w:rsidRPr="005F11FC">
        <w:rPr>
          <w:rFonts w:ascii="Segoe UI" w:eastAsia="Times New Roman" w:hAnsi="Segoe UI" w:cs="Segoe UI"/>
          <w:i/>
          <w:iCs/>
          <w:sz w:val="22"/>
          <w:lang w:eastAsia="es-CO"/>
        </w:rPr>
        <w:t> </w:t>
      </w:r>
    </w:p>
    <w:p w14:paraId="44B49445" w14:textId="77777777" w:rsidR="005F11FC" w:rsidRPr="005F11FC" w:rsidRDefault="005F11FC" w:rsidP="005F11FC">
      <w:pPr>
        <w:spacing w:after="0" w:line="240" w:lineRule="auto"/>
        <w:ind w:left="284"/>
        <w:jc w:val="both"/>
        <w:rPr>
          <w:rFonts w:ascii="Arial" w:eastAsia="Times New Roman" w:hAnsi="Arial" w:cs="Arial"/>
          <w:color w:val="000000"/>
          <w:sz w:val="18"/>
          <w:szCs w:val="18"/>
          <w:lang w:eastAsia="es-CO"/>
        </w:rPr>
      </w:pPr>
      <w:r w:rsidRPr="005F11FC">
        <w:rPr>
          <w:rFonts w:ascii="Segoe UI" w:eastAsia="Times New Roman" w:hAnsi="Segoe UI" w:cs="Segoe UI"/>
          <w:i/>
          <w:iCs/>
          <w:sz w:val="22"/>
          <w:lang w:eastAsia="es-CO"/>
        </w:rPr>
        <w:t>“</w:t>
      </w:r>
      <w:r w:rsidRPr="005F11FC">
        <w:rPr>
          <w:rFonts w:ascii="Segoe UI" w:eastAsia="Times New Roman" w:hAnsi="Segoe UI" w:cs="Segoe UI"/>
          <w:b/>
          <w:bCs/>
          <w:i/>
          <w:iCs/>
          <w:sz w:val="22"/>
          <w:lang w:eastAsia="es-CO"/>
        </w:rPr>
        <w:t>Artículo 1.</w:t>
      </w:r>
      <w:r w:rsidRPr="005F11FC">
        <w:rPr>
          <w:rFonts w:ascii="Segoe UI" w:eastAsia="Times New Roman" w:hAnsi="Segoe UI" w:cs="Segoe UI"/>
          <w:i/>
          <w:iCs/>
          <w:sz w:val="22"/>
          <w:lang w:eastAsia="es-CO"/>
        </w:rPr>
        <w:t> Sujetos obligados a presentar información exógena por el año gravable 2020. Deberán suministrar información, los siguientes obligados:</w:t>
      </w:r>
    </w:p>
    <w:p w14:paraId="5EA8E47F" w14:textId="77777777" w:rsidR="005F11FC" w:rsidRPr="005F11FC" w:rsidRDefault="005F11FC" w:rsidP="005F11FC">
      <w:pPr>
        <w:spacing w:after="0" w:line="240" w:lineRule="auto"/>
        <w:ind w:left="284"/>
        <w:jc w:val="both"/>
        <w:rPr>
          <w:rFonts w:ascii="Arial" w:eastAsia="Times New Roman" w:hAnsi="Arial" w:cs="Arial"/>
          <w:color w:val="000000"/>
          <w:sz w:val="18"/>
          <w:szCs w:val="18"/>
          <w:lang w:eastAsia="es-CO"/>
        </w:rPr>
      </w:pPr>
      <w:r w:rsidRPr="005F11FC">
        <w:rPr>
          <w:rFonts w:ascii="Segoe UI" w:eastAsia="Times New Roman" w:hAnsi="Segoe UI" w:cs="Segoe UI"/>
          <w:i/>
          <w:iCs/>
          <w:color w:val="000000"/>
          <w:sz w:val="18"/>
          <w:szCs w:val="18"/>
          <w:lang w:eastAsia="es-CO"/>
        </w:rPr>
        <w:t> </w:t>
      </w:r>
    </w:p>
    <w:p w14:paraId="1052B647" w14:textId="77777777" w:rsidR="005F11FC" w:rsidRPr="005F11FC" w:rsidRDefault="005F11FC" w:rsidP="005F11FC">
      <w:pPr>
        <w:spacing w:after="0" w:line="240" w:lineRule="auto"/>
        <w:ind w:left="284"/>
        <w:jc w:val="both"/>
        <w:rPr>
          <w:rFonts w:ascii="Arial" w:eastAsia="Times New Roman" w:hAnsi="Arial" w:cs="Arial"/>
          <w:color w:val="000000"/>
          <w:sz w:val="18"/>
          <w:szCs w:val="18"/>
          <w:lang w:eastAsia="es-CO"/>
        </w:rPr>
      </w:pPr>
      <w:r w:rsidRPr="005F11FC">
        <w:rPr>
          <w:rFonts w:ascii="Segoe UI" w:eastAsia="Times New Roman" w:hAnsi="Segoe UI" w:cs="Segoe UI"/>
          <w:i/>
          <w:iCs/>
          <w:color w:val="000000"/>
          <w:sz w:val="18"/>
          <w:szCs w:val="18"/>
          <w:lang w:eastAsia="es-CO"/>
        </w:rPr>
        <w:t>(…)</w:t>
      </w:r>
    </w:p>
    <w:p w14:paraId="502788F9" w14:textId="77777777" w:rsidR="005F11FC" w:rsidRPr="005F11FC" w:rsidRDefault="005F11FC" w:rsidP="005F11FC">
      <w:pPr>
        <w:spacing w:after="0" w:line="240" w:lineRule="auto"/>
        <w:ind w:left="284"/>
        <w:jc w:val="both"/>
        <w:rPr>
          <w:rFonts w:ascii="Arial" w:eastAsia="Times New Roman" w:hAnsi="Arial" w:cs="Arial"/>
          <w:color w:val="000000"/>
          <w:sz w:val="18"/>
          <w:szCs w:val="18"/>
          <w:lang w:eastAsia="es-CO"/>
        </w:rPr>
      </w:pPr>
      <w:r w:rsidRPr="005F11FC">
        <w:rPr>
          <w:rFonts w:ascii="Segoe UI" w:eastAsia="Times New Roman" w:hAnsi="Segoe UI" w:cs="Segoe UI"/>
          <w:i/>
          <w:iCs/>
          <w:sz w:val="22"/>
          <w:lang w:eastAsia="es-CO"/>
        </w:rPr>
        <w:t> </w:t>
      </w:r>
    </w:p>
    <w:p w14:paraId="17BEA7BA" w14:textId="77777777" w:rsidR="005F11FC" w:rsidRPr="005F11FC" w:rsidRDefault="005F11FC" w:rsidP="005F11FC">
      <w:pPr>
        <w:spacing w:after="0" w:line="240" w:lineRule="auto"/>
        <w:ind w:left="284"/>
        <w:jc w:val="both"/>
        <w:rPr>
          <w:rFonts w:ascii="Arial" w:eastAsia="Times New Roman" w:hAnsi="Arial" w:cs="Arial"/>
          <w:color w:val="000000"/>
          <w:sz w:val="18"/>
          <w:szCs w:val="18"/>
          <w:lang w:eastAsia="es-CO"/>
        </w:rPr>
      </w:pPr>
      <w:r w:rsidRPr="005F11FC">
        <w:rPr>
          <w:rFonts w:ascii="Segoe UI" w:eastAsia="Times New Roman" w:hAnsi="Segoe UI" w:cs="Segoe UI"/>
          <w:i/>
          <w:iCs/>
          <w:sz w:val="22"/>
          <w:lang w:eastAsia="es-CO"/>
        </w:rPr>
        <w:t>d) Las personas naturales y sus asimiladas que durante el año gravable 2019 o en el año gravable 2020, hayan obtenido ingresos brutos superiores a quinientos millones de pesos ($500.000.000); y la suma de los Ingresos brutos obtenidos por rentas de capital y/o rentas no laborales durante el año gravable 2020 superen los cien millones de pesos ($100.000.000).</w:t>
      </w:r>
    </w:p>
    <w:p w14:paraId="08355A4C" w14:textId="77777777" w:rsidR="005F11FC" w:rsidRPr="005F11FC" w:rsidRDefault="005F11FC" w:rsidP="005F11FC">
      <w:pPr>
        <w:spacing w:after="0" w:line="240" w:lineRule="auto"/>
        <w:ind w:left="284"/>
        <w:jc w:val="both"/>
        <w:rPr>
          <w:rFonts w:ascii="Arial" w:eastAsia="Times New Roman" w:hAnsi="Arial" w:cs="Arial"/>
          <w:color w:val="000000"/>
          <w:sz w:val="18"/>
          <w:szCs w:val="18"/>
          <w:lang w:eastAsia="es-CO"/>
        </w:rPr>
      </w:pPr>
      <w:r w:rsidRPr="005F11FC">
        <w:rPr>
          <w:rFonts w:ascii="Segoe UI" w:eastAsia="Times New Roman" w:hAnsi="Segoe UI" w:cs="Segoe UI"/>
          <w:i/>
          <w:iCs/>
          <w:sz w:val="22"/>
          <w:lang w:eastAsia="es-CO"/>
        </w:rPr>
        <w:t>e) Las personas jurídicas y sus asimiladas y demás entidades públicas y privadas que en el año gravable 2019 o en el año gravable 2020 hayan obtenido ingresos brutos superiores a cien millones de pesos ($100.000.000). (…)”</w:t>
      </w:r>
    </w:p>
    <w:p w14:paraId="01D5D348" w14:textId="77777777" w:rsidR="005F11FC" w:rsidRPr="005F11FC" w:rsidRDefault="005F11FC" w:rsidP="005F11FC">
      <w:pPr>
        <w:spacing w:after="0" w:line="240" w:lineRule="auto"/>
        <w:jc w:val="both"/>
        <w:rPr>
          <w:rFonts w:ascii="Arial" w:eastAsia="Times New Roman" w:hAnsi="Arial" w:cs="Arial"/>
          <w:color w:val="000000"/>
          <w:sz w:val="18"/>
          <w:szCs w:val="18"/>
          <w:lang w:eastAsia="es-CO"/>
        </w:rPr>
      </w:pPr>
      <w:r w:rsidRPr="005F11FC">
        <w:rPr>
          <w:rFonts w:ascii="Segoe UI" w:eastAsia="Times New Roman" w:hAnsi="Segoe UI" w:cs="Segoe UI"/>
          <w:sz w:val="22"/>
          <w:lang w:eastAsia="es-CO"/>
        </w:rPr>
        <w:t> </w:t>
      </w:r>
    </w:p>
    <w:p w14:paraId="03171114" w14:textId="77777777" w:rsidR="005F11FC" w:rsidRPr="005F11FC" w:rsidRDefault="005F11FC" w:rsidP="005F11FC">
      <w:pPr>
        <w:spacing w:after="0" w:line="240" w:lineRule="auto"/>
        <w:jc w:val="both"/>
        <w:rPr>
          <w:rFonts w:ascii="Arial" w:eastAsia="Times New Roman" w:hAnsi="Arial" w:cs="Arial"/>
          <w:color w:val="000000"/>
          <w:sz w:val="18"/>
          <w:szCs w:val="18"/>
          <w:lang w:eastAsia="es-CO"/>
        </w:rPr>
      </w:pPr>
      <w:r w:rsidRPr="005F11FC">
        <w:rPr>
          <w:rFonts w:ascii="Segoe UI" w:eastAsia="Times New Roman" w:hAnsi="Segoe UI" w:cs="Segoe UI"/>
          <w:sz w:val="22"/>
          <w:lang w:eastAsia="es-CO"/>
        </w:rPr>
        <w:t xml:space="preserve">Respecto de las personas naturales del literal d) este Despacho indicó mediante Oficio No. 904820 - </w:t>
      </w:r>
      <w:proofErr w:type="spellStart"/>
      <w:r w:rsidRPr="005F11FC">
        <w:rPr>
          <w:rFonts w:ascii="Segoe UI" w:eastAsia="Times New Roman" w:hAnsi="Segoe UI" w:cs="Segoe UI"/>
          <w:sz w:val="22"/>
          <w:lang w:eastAsia="es-CO"/>
        </w:rPr>
        <w:t>int</w:t>
      </w:r>
      <w:proofErr w:type="spellEnd"/>
      <w:r w:rsidRPr="005F11FC">
        <w:rPr>
          <w:rFonts w:ascii="Segoe UI" w:eastAsia="Times New Roman" w:hAnsi="Segoe UI" w:cs="Segoe UI"/>
          <w:sz w:val="22"/>
          <w:lang w:eastAsia="es-CO"/>
        </w:rPr>
        <w:t xml:space="preserve"> 743 del 28 de mayo de 2021, que las personas naturales y sus asimiladas deben cumplir con la totalidad de las condiciones señaladas.</w:t>
      </w:r>
    </w:p>
    <w:p w14:paraId="26F6EE48" w14:textId="77777777" w:rsidR="005F11FC" w:rsidRPr="005F11FC" w:rsidRDefault="005F11FC" w:rsidP="005F11FC">
      <w:pPr>
        <w:spacing w:after="0" w:line="240" w:lineRule="auto"/>
        <w:jc w:val="both"/>
        <w:rPr>
          <w:rFonts w:ascii="Arial" w:eastAsia="Times New Roman" w:hAnsi="Arial" w:cs="Arial"/>
          <w:color w:val="000000"/>
          <w:sz w:val="18"/>
          <w:szCs w:val="18"/>
          <w:lang w:eastAsia="es-CO"/>
        </w:rPr>
      </w:pPr>
      <w:r w:rsidRPr="005F11FC">
        <w:rPr>
          <w:rFonts w:ascii="Segoe UI" w:eastAsia="Times New Roman" w:hAnsi="Segoe UI" w:cs="Segoe UI"/>
          <w:sz w:val="22"/>
          <w:lang w:eastAsia="es-CO"/>
        </w:rPr>
        <w:t> </w:t>
      </w:r>
    </w:p>
    <w:p w14:paraId="6A200B9A" w14:textId="77777777" w:rsidR="005F11FC" w:rsidRPr="005F11FC" w:rsidRDefault="005F11FC" w:rsidP="005F11FC">
      <w:pPr>
        <w:spacing w:after="0" w:line="240" w:lineRule="auto"/>
        <w:jc w:val="both"/>
        <w:rPr>
          <w:rFonts w:ascii="Arial" w:eastAsia="Times New Roman" w:hAnsi="Arial" w:cs="Arial"/>
          <w:color w:val="000000"/>
          <w:sz w:val="18"/>
          <w:szCs w:val="18"/>
          <w:lang w:eastAsia="es-CO"/>
        </w:rPr>
      </w:pPr>
      <w:r w:rsidRPr="005F11FC">
        <w:rPr>
          <w:rFonts w:ascii="Segoe UI" w:eastAsia="Times New Roman" w:hAnsi="Segoe UI" w:cs="Segoe UI"/>
          <w:sz w:val="22"/>
          <w:lang w:eastAsia="es-CO"/>
        </w:rPr>
        <w:t>Por su parte, de la lectura del literal e) se tiene que no hay distinción frente al tipo de persona jurídica obligada, razón por la cual en la medida que se cumplan los presupuestos mencionados (tipo de persona e ingresos brutos) estará sujeto a lo dispuesto en esta resolución.</w:t>
      </w:r>
    </w:p>
    <w:p w14:paraId="6A6A0822" w14:textId="77777777" w:rsidR="005F11FC" w:rsidRPr="005F11FC" w:rsidRDefault="005F11FC" w:rsidP="005F11FC">
      <w:pPr>
        <w:spacing w:after="0" w:line="240" w:lineRule="auto"/>
        <w:jc w:val="both"/>
        <w:rPr>
          <w:rFonts w:ascii="Arial" w:eastAsia="Times New Roman" w:hAnsi="Arial" w:cs="Arial"/>
          <w:color w:val="000000"/>
          <w:sz w:val="18"/>
          <w:szCs w:val="18"/>
          <w:lang w:eastAsia="es-CO"/>
        </w:rPr>
      </w:pPr>
      <w:r w:rsidRPr="005F11FC">
        <w:rPr>
          <w:rFonts w:ascii="Segoe UI" w:eastAsia="Times New Roman" w:hAnsi="Segoe UI" w:cs="Segoe UI"/>
          <w:sz w:val="22"/>
          <w:lang w:eastAsia="es-CO"/>
        </w:rPr>
        <w:t> </w:t>
      </w:r>
    </w:p>
    <w:p w14:paraId="00C6DD7E" w14:textId="77777777" w:rsidR="005F11FC" w:rsidRPr="005F11FC" w:rsidRDefault="005F11FC" w:rsidP="005F11FC">
      <w:pPr>
        <w:spacing w:after="0" w:line="240" w:lineRule="auto"/>
        <w:jc w:val="both"/>
        <w:rPr>
          <w:rFonts w:ascii="Arial" w:eastAsia="Times New Roman" w:hAnsi="Arial" w:cs="Arial"/>
          <w:color w:val="000000"/>
          <w:sz w:val="18"/>
          <w:szCs w:val="18"/>
          <w:lang w:eastAsia="es-CO"/>
        </w:rPr>
      </w:pPr>
      <w:r w:rsidRPr="005F11FC">
        <w:rPr>
          <w:rFonts w:ascii="Segoe UI" w:eastAsia="Times New Roman" w:hAnsi="Segoe UI" w:cs="Segoe UI"/>
          <w:sz w:val="22"/>
          <w:lang w:eastAsia="es-CO"/>
        </w:rPr>
        <w:t>El </w:t>
      </w:r>
      <w:hyperlink r:id="rId8" w:tooltip="Estatuto Tributario CETA" w:history="1">
        <w:r w:rsidRPr="005F11FC">
          <w:rPr>
            <w:rFonts w:ascii="Segoe UI" w:eastAsia="Times New Roman" w:hAnsi="Segoe UI" w:cs="Segoe UI"/>
            <w:color w:val="0089E1"/>
            <w:sz w:val="22"/>
            <w:u w:val="single"/>
            <w:lang w:eastAsia="es-CO"/>
          </w:rPr>
          <w:t>artículo 905</w:t>
        </w:r>
      </w:hyperlink>
      <w:r w:rsidRPr="005F11FC">
        <w:rPr>
          <w:rFonts w:ascii="Segoe UI" w:eastAsia="Times New Roman" w:hAnsi="Segoe UI" w:cs="Segoe UI"/>
          <w:sz w:val="22"/>
          <w:lang w:eastAsia="es-CO"/>
        </w:rPr>
        <w:t> del Estatuto Tributario establece dentro de los sujetos pasivos del impuesto unificado bajo el Régimen Simple de Tributación –SIMPLE las personas naturales que desarrollen una empresa o personas jurídicas en la que sus socios, partícipes o accionistas sean personas naturales, nacionales o extranjeras, residentes en Colombia.</w:t>
      </w:r>
    </w:p>
    <w:p w14:paraId="682BD5C8" w14:textId="77777777" w:rsidR="005F11FC" w:rsidRPr="005F11FC" w:rsidRDefault="005F11FC" w:rsidP="005F11FC">
      <w:pPr>
        <w:spacing w:after="0" w:line="240" w:lineRule="auto"/>
        <w:jc w:val="both"/>
        <w:rPr>
          <w:rFonts w:ascii="Arial" w:eastAsia="Times New Roman" w:hAnsi="Arial" w:cs="Arial"/>
          <w:color w:val="000000"/>
          <w:sz w:val="18"/>
          <w:szCs w:val="18"/>
          <w:lang w:eastAsia="es-CO"/>
        </w:rPr>
      </w:pPr>
      <w:r w:rsidRPr="005F11FC">
        <w:rPr>
          <w:rFonts w:ascii="Segoe UI" w:eastAsia="Times New Roman" w:hAnsi="Segoe UI" w:cs="Segoe UI"/>
          <w:sz w:val="22"/>
          <w:lang w:eastAsia="es-CO"/>
        </w:rPr>
        <w:t> </w:t>
      </w:r>
    </w:p>
    <w:p w14:paraId="74B53D89" w14:textId="77777777" w:rsidR="005F11FC" w:rsidRPr="005F11FC" w:rsidRDefault="005F11FC" w:rsidP="005F11FC">
      <w:pPr>
        <w:spacing w:after="0" w:line="240" w:lineRule="auto"/>
        <w:jc w:val="both"/>
        <w:rPr>
          <w:rFonts w:ascii="Arial" w:eastAsia="Times New Roman" w:hAnsi="Arial" w:cs="Arial"/>
          <w:color w:val="000000"/>
          <w:sz w:val="18"/>
          <w:szCs w:val="18"/>
          <w:lang w:eastAsia="es-CO"/>
        </w:rPr>
      </w:pPr>
      <w:r w:rsidRPr="005F11FC">
        <w:rPr>
          <w:rFonts w:ascii="Segoe UI" w:eastAsia="Times New Roman" w:hAnsi="Segoe UI" w:cs="Segoe UI"/>
          <w:sz w:val="22"/>
          <w:lang w:eastAsia="es-CO"/>
        </w:rPr>
        <w:t>En consecuencia, estas personas naturales y jurídicas contribuyentes bajo el Régimen SIMPLE deberán analizar en cada caso particular, si cumplen los supuestos de los literales d) y e) del artículo 1º de la Resolución No. 000070 de 2019.</w:t>
      </w:r>
    </w:p>
    <w:p w14:paraId="68069AF1" w14:textId="77777777" w:rsidR="005F11FC" w:rsidRPr="005F11FC" w:rsidRDefault="005F11FC" w:rsidP="005F11FC">
      <w:pPr>
        <w:spacing w:after="0" w:line="240" w:lineRule="auto"/>
        <w:jc w:val="both"/>
        <w:rPr>
          <w:rFonts w:ascii="Arial" w:eastAsia="Times New Roman" w:hAnsi="Arial" w:cs="Arial"/>
          <w:color w:val="000000"/>
          <w:sz w:val="18"/>
          <w:szCs w:val="18"/>
          <w:lang w:eastAsia="es-CO"/>
        </w:rPr>
      </w:pPr>
      <w:r w:rsidRPr="005F11FC">
        <w:rPr>
          <w:rFonts w:ascii="Segoe UI" w:eastAsia="Times New Roman" w:hAnsi="Segoe UI" w:cs="Segoe UI"/>
          <w:sz w:val="22"/>
          <w:lang w:eastAsia="es-CO"/>
        </w:rPr>
        <w:t> </w:t>
      </w:r>
    </w:p>
    <w:p w14:paraId="6072F839" w14:textId="77777777" w:rsidR="005F11FC" w:rsidRPr="005F11FC" w:rsidRDefault="005F11FC" w:rsidP="005F11FC">
      <w:pPr>
        <w:spacing w:after="0" w:line="240" w:lineRule="auto"/>
        <w:jc w:val="both"/>
        <w:rPr>
          <w:rFonts w:ascii="Arial" w:eastAsia="Times New Roman" w:hAnsi="Arial" w:cs="Arial"/>
          <w:color w:val="000000"/>
          <w:sz w:val="18"/>
          <w:szCs w:val="18"/>
          <w:lang w:eastAsia="es-CO"/>
        </w:rPr>
      </w:pPr>
      <w:r w:rsidRPr="005F11FC">
        <w:rPr>
          <w:rFonts w:ascii="Segoe UI" w:eastAsia="Times New Roman" w:hAnsi="Segoe UI" w:cs="Segoe UI"/>
          <w:sz w:val="22"/>
          <w:lang w:eastAsia="es-CO"/>
        </w:rPr>
        <w:lastRenderedPageBreak/>
        <w:t>Precisado lo anterior, respecto del Formato 1001 “</w:t>
      </w:r>
      <w:r w:rsidRPr="005F11FC">
        <w:rPr>
          <w:rFonts w:ascii="Segoe UI" w:eastAsia="Times New Roman" w:hAnsi="Segoe UI" w:cs="Segoe UI"/>
          <w:i/>
          <w:iCs/>
          <w:sz w:val="22"/>
          <w:lang w:eastAsia="es-CO"/>
        </w:rPr>
        <w:t>Pagos o abonos en cuenta y retenciones practicadas</w:t>
      </w:r>
      <w:r w:rsidRPr="005F11FC">
        <w:rPr>
          <w:rFonts w:ascii="Segoe UI" w:eastAsia="Times New Roman" w:hAnsi="Segoe UI" w:cs="Segoe UI"/>
          <w:sz w:val="22"/>
          <w:lang w:eastAsia="es-CO"/>
        </w:rPr>
        <w:t>”, el artículo 17 dispone que a este se encuentran obligadas, entre otras, las personas naturales y sus asimiladas y las personas jurídicas y sus asimiladas, enunciadas en los literales d) y e) del artículo 1.</w:t>
      </w:r>
    </w:p>
    <w:p w14:paraId="35A99965" w14:textId="77777777" w:rsidR="005F11FC" w:rsidRPr="005F11FC" w:rsidRDefault="005F11FC" w:rsidP="005F11FC">
      <w:pPr>
        <w:spacing w:after="0" w:line="240" w:lineRule="auto"/>
        <w:jc w:val="both"/>
        <w:rPr>
          <w:rFonts w:ascii="Arial" w:eastAsia="Times New Roman" w:hAnsi="Arial" w:cs="Arial"/>
          <w:color w:val="000000"/>
          <w:sz w:val="18"/>
          <w:szCs w:val="18"/>
          <w:lang w:eastAsia="es-CO"/>
        </w:rPr>
      </w:pPr>
      <w:r w:rsidRPr="005F11FC">
        <w:rPr>
          <w:rFonts w:ascii="Segoe UI" w:eastAsia="Times New Roman" w:hAnsi="Segoe UI" w:cs="Segoe UI"/>
          <w:sz w:val="22"/>
          <w:lang w:eastAsia="es-CO"/>
        </w:rPr>
        <w:t> </w:t>
      </w:r>
    </w:p>
    <w:p w14:paraId="466E86BE" w14:textId="77777777" w:rsidR="005F11FC" w:rsidRPr="005F11FC" w:rsidRDefault="005F11FC" w:rsidP="005F11FC">
      <w:pPr>
        <w:spacing w:after="0" w:line="240" w:lineRule="auto"/>
        <w:jc w:val="both"/>
        <w:rPr>
          <w:rFonts w:ascii="Arial" w:eastAsia="Times New Roman" w:hAnsi="Arial" w:cs="Arial"/>
          <w:color w:val="000000"/>
          <w:sz w:val="18"/>
          <w:szCs w:val="18"/>
          <w:lang w:eastAsia="es-CO"/>
        </w:rPr>
      </w:pPr>
      <w:r w:rsidRPr="005F11FC">
        <w:rPr>
          <w:rFonts w:ascii="Segoe UI" w:eastAsia="Times New Roman" w:hAnsi="Segoe UI" w:cs="Segoe UI"/>
          <w:sz w:val="22"/>
          <w:lang w:eastAsia="es-CO"/>
        </w:rPr>
        <w:t>No obstante, el </w:t>
      </w:r>
      <w:hyperlink r:id="rId9" w:tooltip="Estatuto Tributario CETA" w:history="1">
        <w:r w:rsidRPr="005F11FC">
          <w:rPr>
            <w:rFonts w:ascii="Segoe UI" w:eastAsia="Times New Roman" w:hAnsi="Segoe UI" w:cs="Segoe UI"/>
            <w:color w:val="0089E1"/>
            <w:sz w:val="22"/>
            <w:u w:val="single"/>
            <w:lang w:eastAsia="es-CO"/>
          </w:rPr>
          <w:t>artículo 911</w:t>
        </w:r>
      </w:hyperlink>
      <w:r w:rsidRPr="005F11FC">
        <w:rPr>
          <w:rFonts w:ascii="Segoe UI" w:eastAsia="Times New Roman" w:hAnsi="Segoe UI" w:cs="Segoe UI"/>
          <w:sz w:val="22"/>
          <w:lang w:eastAsia="es-CO"/>
        </w:rPr>
        <w:t> del Estatuto Tributario indica que los contribuyentes del SIMPLE no estarán sujetos a retención en la fuente y tampoco estarán obligados a practicar retenciones y autorretenciones en la fuente, con excepción de las correspondientes a pagos laborales. Esta situación incide evidentemente en el tipo de información a presentar por parte de este obligado.</w:t>
      </w:r>
    </w:p>
    <w:p w14:paraId="1933F2B4" w14:textId="77777777" w:rsidR="005F11FC" w:rsidRPr="005F11FC" w:rsidRDefault="005F11FC" w:rsidP="005F11FC">
      <w:pPr>
        <w:spacing w:after="0" w:line="240" w:lineRule="auto"/>
        <w:jc w:val="both"/>
        <w:rPr>
          <w:rFonts w:ascii="Arial" w:eastAsia="Times New Roman" w:hAnsi="Arial" w:cs="Arial"/>
          <w:color w:val="000000"/>
          <w:sz w:val="18"/>
          <w:szCs w:val="18"/>
          <w:lang w:eastAsia="es-CO"/>
        </w:rPr>
      </w:pPr>
      <w:r w:rsidRPr="005F11FC">
        <w:rPr>
          <w:rFonts w:ascii="Segoe UI" w:eastAsia="Times New Roman" w:hAnsi="Segoe UI" w:cs="Segoe UI"/>
          <w:sz w:val="22"/>
          <w:lang w:eastAsia="es-CO"/>
        </w:rPr>
        <w:t> </w:t>
      </w:r>
    </w:p>
    <w:p w14:paraId="78F2A865" w14:textId="77777777" w:rsidR="005F11FC" w:rsidRPr="005F11FC" w:rsidRDefault="005F11FC" w:rsidP="005F11FC">
      <w:pPr>
        <w:spacing w:after="0" w:line="240" w:lineRule="auto"/>
        <w:jc w:val="both"/>
        <w:rPr>
          <w:rFonts w:ascii="Arial" w:eastAsia="Times New Roman" w:hAnsi="Arial" w:cs="Arial"/>
          <w:color w:val="000000"/>
          <w:sz w:val="18"/>
          <w:szCs w:val="18"/>
          <w:lang w:eastAsia="es-CO"/>
        </w:rPr>
      </w:pPr>
      <w:r w:rsidRPr="005F11FC">
        <w:rPr>
          <w:rFonts w:ascii="Segoe UI" w:eastAsia="Times New Roman" w:hAnsi="Segoe UI" w:cs="Segoe UI"/>
          <w:sz w:val="22"/>
          <w:lang w:eastAsia="es-CO"/>
        </w:rPr>
        <w:t>En cuanto al Formato 1006 “</w:t>
      </w:r>
      <w:r w:rsidRPr="005F11FC">
        <w:rPr>
          <w:rFonts w:ascii="Segoe UI" w:eastAsia="Times New Roman" w:hAnsi="Segoe UI" w:cs="Segoe UI"/>
          <w:i/>
          <w:iCs/>
          <w:sz w:val="22"/>
          <w:lang w:eastAsia="es-CO"/>
        </w:rPr>
        <w:t>Impuesto a las Ventas por Pagar (Generado) e Impuesto al Consumo</w:t>
      </w:r>
      <w:r w:rsidRPr="005F11FC">
        <w:rPr>
          <w:rFonts w:ascii="Segoe UI" w:eastAsia="Times New Roman" w:hAnsi="Segoe UI" w:cs="Segoe UI"/>
          <w:sz w:val="22"/>
          <w:lang w:eastAsia="es-CO"/>
        </w:rPr>
        <w:t>” el artículo 20 de la Resolución No. 000070 de 2019 dispone que a este se encuentran obligadas las personas naturales y sus asimiladas, las personas jurídicas y sus asimiladas, enunciadas en los literales d), e) del artículo 1, entre otros, lo cual supone el cumplimiento integral de este artículo. En ese sentido, se deberá considerar si el contribuyente del SIMPLE es responsable de estos impuestos o no.</w:t>
      </w:r>
    </w:p>
    <w:p w14:paraId="10333610" w14:textId="77777777" w:rsidR="005F11FC" w:rsidRPr="005F11FC" w:rsidRDefault="005F11FC" w:rsidP="005F11FC">
      <w:pPr>
        <w:spacing w:after="0" w:line="240" w:lineRule="auto"/>
        <w:jc w:val="both"/>
        <w:rPr>
          <w:rFonts w:ascii="Arial" w:eastAsia="Times New Roman" w:hAnsi="Arial" w:cs="Arial"/>
          <w:color w:val="000000"/>
          <w:sz w:val="18"/>
          <w:szCs w:val="18"/>
          <w:lang w:eastAsia="es-CO"/>
        </w:rPr>
      </w:pPr>
      <w:r w:rsidRPr="005F11FC">
        <w:rPr>
          <w:rFonts w:ascii="Segoe UI" w:eastAsia="Times New Roman" w:hAnsi="Segoe UI" w:cs="Segoe UI"/>
          <w:sz w:val="22"/>
          <w:lang w:eastAsia="es-CO"/>
        </w:rPr>
        <w:t> </w:t>
      </w:r>
    </w:p>
    <w:p w14:paraId="17ADB199" w14:textId="77777777" w:rsidR="005F11FC" w:rsidRPr="005F11FC" w:rsidRDefault="005F11FC" w:rsidP="005F11FC">
      <w:pPr>
        <w:spacing w:after="0" w:line="240" w:lineRule="auto"/>
        <w:jc w:val="both"/>
        <w:rPr>
          <w:rFonts w:ascii="Arial" w:eastAsia="Times New Roman" w:hAnsi="Arial" w:cs="Arial"/>
          <w:color w:val="000000"/>
          <w:sz w:val="18"/>
          <w:szCs w:val="18"/>
          <w:lang w:eastAsia="es-CO"/>
        </w:rPr>
      </w:pPr>
      <w:r w:rsidRPr="005F11FC">
        <w:rPr>
          <w:rFonts w:ascii="Segoe UI" w:eastAsia="Times New Roman" w:hAnsi="Segoe UI" w:cs="Segoe UI"/>
          <w:sz w:val="22"/>
          <w:lang w:eastAsia="es-CO"/>
        </w:rPr>
        <w:t>Por último, respecto del Formato 1007 “</w:t>
      </w:r>
      <w:r w:rsidRPr="005F11FC">
        <w:rPr>
          <w:rFonts w:ascii="Segoe UI" w:eastAsia="Times New Roman" w:hAnsi="Segoe UI" w:cs="Segoe UI"/>
          <w:i/>
          <w:iCs/>
          <w:sz w:val="22"/>
          <w:lang w:eastAsia="es-CO"/>
        </w:rPr>
        <w:t>Ingresos Recibidos</w:t>
      </w:r>
      <w:r w:rsidRPr="005F11FC">
        <w:rPr>
          <w:rFonts w:ascii="Segoe UI" w:eastAsia="Times New Roman" w:hAnsi="Segoe UI" w:cs="Segoe UI"/>
          <w:sz w:val="22"/>
          <w:lang w:eastAsia="es-CO"/>
        </w:rPr>
        <w:t>” el artículo 19 trae una previsión similar, esto es, están obligados a su diligenciamiento, entre otras, las personas naturales y sus asimiladas y las personas jurídicas y sus asimiladas, enunciadas en los literales d), e) del artículo 1, lo que supone el cumplimiento integral de este artículo.</w:t>
      </w:r>
    </w:p>
    <w:p w14:paraId="7D82ED61" w14:textId="77777777" w:rsidR="005F11FC" w:rsidRPr="005F11FC" w:rsidRDefault="005F11FC" w:rsidP="005F11FC">
      <w:pPr>
        <w:spacing w:after="0" w:line="240" w:lineRule="auto"/>
        <w:jc w:val="both"/>
        <w:rPr>
          <w:rFonts w:ascii="Arial" w:eastAsia="Times New Roman" w:hAnsi="Arial" w:cs="Arial"/>
          <w:color w:val="000000"/>
          <w:sz w:val="18"/>
          <w:szCs w:val="18"/>
          <w:lang w:eastAsia="es-CO"/>
        </w:rPr>
      </w:pPr>
      <w:r w:rsidRPr="005F11FC">
        <w:rPr>
          <w:rFonts w:ascii="Segoe UI" w:eastAsia="Times New Roman" w:hAnsi="Segoe UI" w:cs="Segoe UI"/>
          <w:b/>
          <w:bCs/>
          <w:sz w:val="22"/>
          <w:lang w:eastAsia="es-CO"/>
        </w:rPr>
        <w:t> </w:t>
      </w:r>
    </w:p>
    <w:p w14:paraId="22D9A849" w14:textId="77777777" w:rsidR="005F11FC" w:rsidRPr="005F11FC" w:rsidRDefault="005F11FC" w:rsidP="005F11FC">
      <w:pPr>
        <w:spacing w:after="0" w:line="240" w:lineRule="auto"/>
        <w:jc w:val="both"/>
        <w:rPr>
          <w:rFonts w:ascii="Arial" w:eastAsia="Times New Roman" w:hAnsi="Arial" w:cs="Arial"/>
          <w:color w:val="000000"/>
          <w:sz w:val="18"/>
          <w:szCs w:val="18"/>
          <w:lang w:eastAsia="es-CO"/>
        </w:rPr>
      </w:pPr>
      <w:r w:rsidRPr="005F11FC">
        <w:rPr>
          <w:rFonts w:ascii="Segoe UI" w:eastAsia="Times New Roman" w:hAnsi="Segoe UI" w:cs="Segoe UI"/>
          <w:b/>
          <w:bCs/>
          <w:sz w:val="22"/>
          <w:lang w:eastAsia="es-CO"/>
        </w:rPr>
        <w:t>Nota final:</w:t>
      </w:r>
    </w:p>
    <w:p w14:paraId="1319D0B7" w14:textId="77777777" w:rsidR="005F11FC" w:rsidRPr="005F11FC" w:rsidRDefault="005F11FC" w:rsidP="005F11FC">
      <w:pPr>
        <w:spacing w:after="0" w:line="240" w:lineRule="auto"/>
        <w:jc w:val="both"/>
        <w:rPr>
          <w:rFonts w:ascii="Arial" w:eastAsia="Times New Roman" w:hAnsi="Arial" w:cs="Arial"/>
          <w:color w:val="000000"/>
          <w:sz w:val="18"/>
          <w:szCs w:val="18"/>
          <w:lang w:eastAsia="es-CO"/>
        </w:rPr>
      </w:pPr>
      <w:r w:rsidRPr="005F11FC">
        <w:rPr>
          <w:rFonts w:ascii="Segoe UI" w:eastAsia="Times New Roman" w:hAnsi="Segoe UI" w:cs="Segoe UI"/>
          <w:color w:val="000000"/>
          <w:sz w:val="18"/>
          <w:szCs w:val="18"/>
          <w:lang w:eastAsia="es-CO"/>
        </w:rPr>
        <w:t> </w:t>
      </w:r>
    </w:p>
    <w:p w14:paraId="6068A7F0" w14:textId="77777777" w:rsidR="005F11FC" w:rsidRPr="005F11FC" w:rsidRDefault="005F11FC" w:rsidP="005F11FC">
      <w:pPr>
        <w:spacing w:after="0" w:line="240" w:lineRule="auto"/>
        <w:jc w:val="both"/>
        <w:rPr>
          <w:rFonts w:ascii="Arial" w:eastAsia="Times New Roman" w:hAnsi="Arial" w:cs="Arial"/>
          <w:color w:val="000000"/>
          <w:sz w:val="18"/>
          <w:szCs w:val="18"/>
          <w:lang w:eastAsia="es-CO"/>
        </w:rPr>
      </w:pPr>
      <w:r w:rsidRPr="005F11FC">
        <w:rPr>
          <w:rFonts w:ascii="Segoe UI" w:eastAsia="Times New Roman" w:hAnsi="Segoe UI" w:cs="Segoe UI"/>
          <w:color w:val="000000"/>
          <w:sz w:val="18"/>
          <w:szCs w:val="18"/>
          <w:lang w:eastAsia="es-CO"/>
        </w:rPr>
        <w:t>Sin perjuicio de lo anteriormente mencionado, este Despacho enviará a la Dirección de Gestión Organizacional, Subdirección de Gestión de Análisis Operacional - Coordinación de Programas de Control y Facilitación las preguntas de los antecedentes relacionadas con los puntos 2, 3 y 4 del presente oficio, para lo de su competencia.</w:t>
      </w:r>
    </w:p>
    <w:p w14:paraId="63829AE6" w14:textId="77777777" w:rsidR="005F11FC" w:rsidRDefault="005F11FC" w:rsidP="005F11FC">
      <w:pPr>
        <w:spacing w:after="0" w:line="240" w:lineRule="auto"/>
        <w:jc w:val="both"/>
        <w:rPr>
          <w:rFonts w:ascii="Segoe UI" w:eastAsia="Times New Roman" w:hAnsi="Segoe UI" w:cs="Segoe UI"/>
          <w:sz w:val="22"/>
          <w:lang w:eastAsia="es-CO"/>
        </w:rPr>
      </w:pPr>
    </w:p>
    <w:p w14:paraId="4E27D737" w14:textId="044DFD2A" w:rsidR="005F11FC" w:rsidRPr="005F11FC" w:rsidRDefault="005F11FC" w:rsidP="005F11FC">
      <w:pPr>
        <w:pStyle w:val="default"/>
        <w:spacing w:before="0" w:beforeAutospacing="0" w:after="0" w:afterAutospacing="0"/>
        <w:jc w:val="both"/>
        <w:rPr>
          <w:rFonts w:ascii="Arial" w:hAnsi="Arial" w:cs="Arial"/>
          <w:color w:val="000000"/>
          <w:sz w:val="18"/>
          <w:szCs w:val="18"/>
        </w:rPr>
      </w:pPr>
    </w:p>
    <w:p w14:paraId="29123BF6" w14:textId="4FFA3DF6" w:rsidR="005F11FC" w:rsidRPr="005F11FC" w:rsidRDefault="005F11FC" w:rsidP="005F11FC">
      <w:pPr>
        <w:spacing w:after="0" w:line="240" w:lineRule="auto"/>
        <w:jc w:val="both"/>
        <w:rPr>
          <w:rFonts w:ascii="Arial" w:eastAsia="Times New Roman" w:hAnsi="Arial" w:cs="Arial"/>
          <w:color w:val="000000"/>
          <w:sz w:val="18"/>
          <w:szCs w:val="18"/>
          <w:lang w:eastAsia="es-CO"/>
        </w:rPr>
      </w:pPr>
      <w:r w:rsidRPr="005F11FC">
        <w:rPr>
          <w:rFonts w:ascii="Segoe UI" w:eastAsia="Times New Roman" w:hAnsi="Segoe UI" w:cs="Segoe UI"/>
          <w:sz w:val="22"/>
          <w:lang w:eastAsia="es-CO"/>
        </w:rPr>
        <w:t>Atentamente,</w:t>
      </w:r>
    </w:p>
    <w:p w14:paraId="3B932828" w14:textId="77777777" w:rsidR="005F11FC" w:rsidRPr="005F11FC" w:rsidRDefault="005F11FC" w:rsidP="005F11FC">
      <w:pPr>
        <w:spacing w:after="0" w:line="240" w:lineRule="auto"/>
        <w:jc w:val="both"/>
        <w:rPr>
          <w:rFonts w:ascii="Arial" w:eastAsia="Times New Roman" w:hAnsi="Arial" w:cs="Arial"/>
          <w:color w:val="000000"/>
          <w:sz w:val="18"/>
          <w:szCs w:val="18"/>
          <w:lang w:eastAsia="es-CO"/>
        </w:rPr>
      </w:pPr>
      <w:r w:rsidRPr="005F11FC">
        <w:rPr>
          <w:rFonts w:ascii="Segoe UI" w:eastAsia="Times New Roman" w:hAnsi="Segoe UI" w:cs="Segoe UI"/>
          <w:b/>
          <w:bCs/>
          <w:sz w:val="22"/>
          <w:lang w:eastAsia="es-CO"/>
        </w:rPr>
        <w:t> </w:t>
      </w:r>
    </w:p>
    <w:p w14:paraId="17784D91" w14:textId="77777777" w:rsidR="005F11FC" w:rsidRPr="005F11FC" w:rsidRDefault="005F11FC" w:rsidP="005F11FC">
      <w:pPr>
        <w:spacing w:after="0" w:line="240" w:lineRule="auto"/>
        <w:jc w:val="both"/>
        <w:rPr>
          <w:rFonts w:ascii="Arial" w:eastAsia="Times New Roman" w:hAnsi="Arial" w:cs="Arial"/>
          <w:color w:val="000000"/>
          <w:sz w:val="18"/>
          <w:szCs w:val="18"/>
          <w:lang w:eastAsia="es-CO"/>
        </w:rPr>
      </w:pPr>
      <w:r w:rsidRPr="005F11FC">
        <w:rPr>
          <w:rFonts w:ascii="Segoe UI" w:eastAsia="Times New Roman" w:hAnsi="Segoe UI" w:cs="Segoe UI"/>
          <w:b/>
          <w:bCs/>
          <w:sz w:val="22"/>
          <w:lang w:eastAsia="es-CO"/>
        </w:rPr>
        <w:t> </w:t>
      </w:r>
    </w:p>
    <w:p w14:paraId="7D446EA4" w14:textId="77777777" w:rsidR="005F11FC" w:rsidRPr="005F11FC" w:rsidRDefault="005F11FC" w:rsidP="005F11FC">
      <w:pPr>
        <w:spacing w:after="0" w:line="240" w:lineRule="auto"/>
        <w:jc w:val="both"/>
        <w:rPr>
          <w:rFonts w:ascii="Arial" w:eastAsia="Times New Roman" w:hAnsi="Arial" w:cs="Arial"/>
          <w:color w:val="000000"/>
          <w:sz w:val="18"/>
          <w:szCs w:val="18"/>
          <w:lang w:eastAsia="es-CO"/>
        </w:rPr>
      </w:pPr>
      <w:r w:rsidRPr="005F11FC">
        <w:rPr>
          <w:rFonts w:ascii="Segoe UI" w:eastAsia="Times New Roman" w:hAnsi="Segoe UI" w:cs="Segoe UI"/>
          <w:b/>
          <w:bCs/>
          <w:sz w:val="22"/>
          <w:lang w:eastAsia="es-CO"/>
        </w:rPr>
        <w:t>NICOLÁS BERNAL ABELLA</w:t>
      </w:r>
    </w:p>
    <w:p w14:paraId="455587E8" w14:textId="77777777" w:rsidR="005F11FC" w:rsidRPr="005F11FC" w:rsidRDefault="005F11FC" w:rsidP="005F11FC">
      <w:pPr>
        <w:spacing w:after="0" w:line="240" w:lineRule="auto"/>
        <w:jc w:val="both"/>
        <w:rPr>
          <w:rFonts w:ascii="Arial" w:eastAsia="Times New Roman" w:hAnsi="Arial" w:cs="Arial"/>
          <w:color w:val="000000"/>
          <w:sz w:val="18"/>
          <w:szCs w:val="18"/>
          <w:lang w:eastAsia="es-CO"/>
        </w:rPr>
      </w:pPr>
      <w:r w:rsidRPr="005F11FC">
        <w:rPr>
          <w:rFonts w:ascii="Segoe UI" w:eastAsia="Times New Roman" w:hAnsi="Segoe UI" w:cs="Segoe UI"/>
          <w:sz w:val="22"/>
          <w:lang w:eastAsia="es-CO"/>
        </w:rPr>
        <w:t>Subdirector de Gestión Normativa y Doctrina (E)</w:t>
      </w:r>
    </w:p>
    <w:p w14:paraId="7D4BB2B5" w14:textId="77777777" w:rsidR="005F11FC" w:rsidRPr="005F11FC" w:rsidRDefault="005F11FC" w:rsidP="005F11FC">
      <w:pPr>
        <w:spacing w:after="0" w:line="240" w:lineRule="auto"/>
        <w:jc w:val="both"/>
        <w:rPr>
          <w:rFonts w:ascii="Arial" w:eastAsia="Times New Roman" w:hAnsi="Arial" w:cs="Arial"/>
          <w:color w:val="000000"/>
          <w:sz w:val="18"/>
          <w:szCs w:val="18"/>
          <w:lang w:eastAsia="es-CO"/>
        </w:rPr>
      </w:pPr>
      <w:r w:rsidRPr="005F11FC">
        <w:rPr>
          <w:rFonts w:ascii="Segoe UI" w:eastAsia="Times New Roman" w:hAnsi="Segoe UI" w:cs="Segoe UI"/>
          <w:sz w:val="22"/>
          <w:lang w:eastAsia="es-CO"/>
        </w:rPr>
        <w:t>Dirección de Gestión Jurídica</w:t>
      </w:r>
    </w:p>
    <w:p w14:paraId="5C13CB61" w14:textId="77777777" w:rsidR="005F11FC" w:rsidRPr="005F11FC" w:rsidRDefault="005F11FC" w:rsidP="005F11FC">
      <w:pPr>
        <w:spacing w:after="0" w:line="240" w:lineRule="auto"/>
        <w:jc w:val="both"/>
        <w:rPr>
          <w:rFonts w:ascii="Arial" w:eastAsia="Times New Roman" w:hAnsi="Arial" w:cs="Arial"/>
          <w:color w:val="000000"/>
          <w:sz w:val="18"/>
          <w:szCs w:val="18"/>
          <w:lang w:eastAsia="es-CO"/>
        </w:rPr>
      </w:pPr>
      <w:r w:rsidRPr="005F11FC">
        <w:rPr>
          <w:rFonts w:ascii="Segoe UI" w:eastAsia="Times New Roman" w:hAnsi="Segoe UI" w:cs="Segoe UI"/>
          <w:color w:val="000000"/>
          <w:sz w:val="18"/>
          <w:szCs w:val="18"/>
          <w:lang w:eastAsia="es-CO"/>
        </w:rPr>
        <w:t>UAE- Dirección de Impuestos y Aduanas Nacionales</w:t>
      </w:r>
    </w:p>
    <w:p w14:paraId="525EDF17"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1FC"/>
    <w:rsid w:val="000F3837"/>
    <w:rsid w:val="001E311E"/>
    <w:rsid w:val="00434AE6"/>
    <w:rsid w:val="005F11FC"/>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A8148"/>
  <w15:chartTrackingRefBased/>
  <w15:docId w15:val="{01CDFDDB-3DAE-4F59-ADB4-647F5AD73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basedOn w:val="Normal"/>
    <w:rsid w:val="005F11FC"/>
    <w:pPr>
      <w:spacing w:before="100" w:beforeAutospacing="1" w:after="100" w:afterAutospacing="1" w:line="240" w:lineRule="auto"/>
    </w:pPr>
    <w:rPr>
      <w:rFonts w:eastAsia="Times New Roman" w:cs="Times New Roman"/>
      <w:szCs w:val="24"/>
      <w:lang w:eastAsia="es-CO"/>
    </w:rPr>
  </w:style>
  <w:style w:type="character" w:styleId="Hipervnculo">
    <w:name w:val="Hyperlink"/>
    <w:basedOn w:val="Fuentedeprrafopredeter"/>
    <w:uiPriority w:val="99"/>
    <w:semiHidden/>
    <w:unhideWhenUsed/>
    <w:rsid w:val="005F11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50396">
      <w:bodyDiv w:val="1"/>
      <w:marLeft w:val="0"/>
      <w:marRight w:val="0"/>
      <w:marTop w:val="0"/>
      <w:marBottom w:val="0"/>
      <w:divBdr>
        <w:top w:val="none" w:sz="0" w:space="0" w:color="auto"/>
        <w:left w:val="none" w:sz="0" w:space="0" w:color="auto"/>
        <w:bottom w:val="none" w:sz="0" w:space="0" w:color="auto"/>
        <w:right w:val="none" w:sz="0" w:space="0" w:color="auto"/>
      </w:divBdr>
    </w:div>
    <w:div w:id="870802080">
      <w:bodyDiv w:val="1"/>
      <w:marLeft w:val="0"/>
      <w:marRight w:val="0"/>
      <w:marTop w:val="0"/>
      <w:marBottom w:val="0"/>
      <w:divBdr>
        <w:top w:val="none" w:sz="0" w:space="0" w:color="auto"/>
        <w:left w:val="none" w:sz="0" w:space="0" w:color="auto"/>
        <w:bottom w:val="none" w:sz="0" w:space="0" w:color="auto"/>
        <w:right w:val="none" w:sz="0" w:space="0" w:color="auto"/>
      </w:divBdr>
    </w:div>
    <w:div w:id="1022316952">
      <w:bodyDiv w:val="1"/>
      <w:marLeft w:val="0"/>
      <w:marRight w:val="0"/>
      <w:marTop w:val="0"/>
      <w:marBottom w:val="0"/>
      <w:divBdr>
        <w:top w:val="none" w:sz="0" w:space="0" w:color="auto"/>
        <w:left w:val="none" w:sz="0" w:space="0" w:color="auto"/>
        <w:bottom w:val="none" w:sz="0" w:space="0" w:color="auto"/>
        <w:right w:val="none" w:sz="0" w:space="0" w:color="auto"/>
      </w:divBdr>
    </w:div>
    <w:div w:id="105022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42516"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45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42522" TargetMode="External"/><Relationship Id="rId11" Type="http://schemas.openxmlformats.org/officeDocument/2006/relationships/theme" Target="theme/theme1.xml"/><Relationship Id="rId5" Type="http://schemas.openxmlformats.org/officeDocument/2006/relationships/hyperlink" Target="https://www.ceta.org.co/html/vista_de_un_articulo.asp?Norma=42516" TargetMode="External"/><Relationship Id="rId10" Type="http://schemas.openxmlformats.org/officeDocument/2006/relationships/fontTable" Target="fontTable.xml"/><Relationship Id="rId4" Type="http://schemas.openxmlformats.org/officeDocument/2006/relationships/hyperlink" Target="https://www.ceta.org.co/html/vista_de_un_articulo.asp?Norma=459" TargetMode="External"/><Relationship Id="rId9" Type="http://schemas.openxmlformats.org/officeDocument/2006/relationships/hyperlink" Target="https://www.ceta.org.co/html/vista_de_un_articulo.asp?Norma=4252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1990</Words>
  <Characters>10949</Characters>
  <Application>Microsoft Office Word</Application>
  <DocSecurity>0</DocSecurity>
  <Lines>91</Lines>
  <Paragraphs>25</Paragraphs>
  <ScaleCrop>false</ScaleCrop>
  <Company/>
  <LinksUpToDate>false</LinksUpToDate>
  <CharactersWithSpaces>12914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2021-10-20T14:27:00Z</dcterms:created>
  <dcterms:modified xsi:type="dcterms:W3CDTF">2021-10-20T14:29:00Z</dcterms:modified>
</cp:coreProperties>
</file>