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7AD9" w14:textId="77777777" w:rsidR="0031430F" w:rsidRPr="0031430F" w:rsidRDefault="0031430F" w:rsidP="0031430F">
      <w:pPr>
        <w:shd w:val="clear" w:color="auto" w:fill="FFFFFF"/>
        <w:spacing w:after="0" w:line="360" w:lineRule="auto"/>
        <w:jc w:val="center"/>
        <w:outlineLvl w:val="0"/>
        <w:rPr>
          <w:rFonts w:eastAsia="Times New Roman" w:cs="Times New Roman"/>
          <w:kern w:val="36"/>
          <w:szCs w:val="24"/>
          <w:lang w:eastAsia="es-CO"/>
        </w:rPr>
      </w:pPr>
      <w:r w:rsidRPr="0031430F">
        <w:rPr>
          <w:rFonts w:eastAsia="Times New Roman" w:cs="Times New Roman"/>
          <w:b/>
          <w:bCs/>
          <w:kern w:val="36"/>
          <w:szCs w:val="24"/>
          <w:lang w:eastAsia="es-CO"/>
        </w:rPr>
        <w:t xml:space="preserve">OFICIO </w:t>
      </w:r>
      <w:proofErr w:type="spellStart"/>
      <w:r w:rsidRPr="0031430F">
        <w:rPr>
          <w:rFonts w:eastAsia="Times New Roman" w:cs="Times New Roman"/>
          <w:b/>
          <w:bCs/>
          <w:kern w:val="36"/>
          <w:szCs w:val="24"/>
          <w:lang w:eastAsia="es-CO"/>
        </w:rPr>
        <w:t>Nº</w:t>
      </w:r>
      <w:proofErr w:type="spellEnd"/>
      <w:r w:rsidRPr="0031430F">
        <w:rPr>
          <w:rFonts w:eastAsia="Times New Roman" w:cs="Times New Roman"/>
          <w:b/>
          <w:bCs/>
          <w:kern w:val="36"/>
          <w:szCs w:val="24"/>
          <w:lang w:eastAsia="es-CO"/>
        </w:rPr>
        <w:t xml:space="preserve"> 062</w:t>
      </w:r>
    </w:p>
    <w:p w14:paraId="6B85A07C" w14:textId="77777777" w:rsidR="0031430F" w:rsidRPr="0031430F" w:rsidRDefault="0031430F" w:rsidP="0031430F">
      <w:pPr>
        <w:shd w:val="clear" w:color="auto" w:fill="FFFFFF"/>
        <w:spacing w:after="0" w:line="360" w:lineRule="auto"/>
        <w:jc w:val="center"/>
        <w:outlineLvl w:val="0"/>
        <w:rPr>
          <w:rFonts w:eastAsia="Times New Roman" w:cs="Times New Roman"/>
          <w:kern w:val="36"/>
          <w:szCs w:val="24"/>
          <w:lang w:eastAsia="es-CO"/>
        </w:rPr>
      </w:pPr>
      <w:r w:rsidRPr="0031430F">
        <w:rPr>
          <w:rFonts w:eastAsia="Times New Roman" w:cs="Times New Roman"/>
          <w:b/>
          <w:bCs/>
          <w:kern w:val="36"/>
          <w:szCs w:val="24"/>
          <w:lang w:eastAsia="es-CO"/>
        </w:rPr>
        <w:t>18-01-2019</w:t>
      </w:r>
    </w:p>
    <w:p w14:paraId="006AA418" w14:textId="77777777" w:rsidR="0031430F" w:rsidRPr="0031430F" w:rsidRDefault="0031430F" w:rsidP="0031430F">
      <w:pPr>
        <w:shd w:val="clear" w:color="auto" w:fill="FFFFFF"/>
        <w:spacing w:after="0" w:line="360" w:lineRule="auto"/>
        <w:jc w:val="center"/>
        <w:outlineLvl w:val="0"/>
        <w:rPr>
          <w:rFonts w:eastAsia="Times New Roman" w:cs="Times New Roman"/>
          <w:kern w:val="36"/>
          <w:szCs w:val="24"/>
          <w:lang w:eastAsia="es-CO"/>
        </w:rPr>
      </w:pPr>
      <w:r w:rsidRPr="0031430F">
        <w:rPr>
          <w:rFonts w:eastAsia="Times New Roman" w:cs="Times New Roman"/>
          <w:b/>
          <w:bCs/>
          <w:kern w:val="36"/>
          <w:szCs w:val="24"/>
          <w:lang w:eastAsia="es-CO"/>
        </w:rPr>
        <w:t>DIAN</w:t>
      </w:r>
    </w:p>
    <w:p w14:paraId="1625E7B1" w14:textId="50C1BB3D" w:rsidR="0031430F" w:rsidRPr="0031430F" w:rsidRDefault="0031430F" w:rsidP="0031430F">
      <w:pPr>
        <w:shd w:val="clear" w:color="auto" w:fill="FFFFFF"/>
        <w:spacing w:after="0" w:line="360" w:lineRule="auto"/>
        <w:jc w:val="center"/>
        <w:rPr>
          <w:rFonts w:eastAsia="Times New Roman" w:cs="Times New Roman"/>
          <w:szCs w:val="24"/>
          <w:lang w:eastAsia="es-CO"/>
        </w:rPr>
      </w:pPr>
    </w:p>
    <w:p w14:paraId="473622E8"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b/>
          <w:bCs/>
          <w:color w:val="454545"/>
          <w:szCs w:val="24"/>
          <w:lang w:eastAsia="es-CO"/>
        </w:rPr>
        <w:t> </w:t>
      </w:r>
    </w:p>
    <w:p w14:paraId="02E5E6B4"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color w:val="454545"/>
          <w:szCs w:val="24"/>
          <w:lang w:eastAsia="es-CO"/>
        </w:rPr>
        <w:t>Subdirección de Gestión Normativa y Doctrina</w:t>
      </w:r>
    </w:p>
    <w:p w14:paraId="48D03D0A"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color w:val="454545"/>
          <w:szCs w:val="24"/>
          <w:lang w:eastAsia="es-CO"/>
        </w:rPr>
        <w:t>100208221 – 000062</w:t>
      </w:r>
    </w:p>
    <w:p w14:paraId="77C28492"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color w:val="454545"/>
          <w:szCs w:val="24"/>
          <w:lang w:eastAsia="es-CO"/>
        </w:rPr>
        <w:t>Bogotá, D.C.</w:t>
      </w:r>
    </w:p>
    <w:p w14:paraId="7C64C102"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proofErr w:type="spellStart"/>
      <w:r w:rsidRPr="0031430F">
        <w:rPr>
          <w:rFonts w:eastAsia="Times New Roman" w:cs="Times New Roman"/>
          <w:b/>
          <w:bCs/>
          <w:color w:val="454545"/>
          <w:szCs w:val="24"/>
          <w:lang w:eastAsia="es-CO"/>
        </w:rPr>
        <w:t>Ref</w:t>
      </w:r>
      <w:proofErr w:type="spellEnd"/>
      <w:r w:rsidRPr="0031430F">
        <w:rPr>
          <w:rFonts w:eastAsia="Times New Roman" w:cs="Times New Roman"/>
          <w:b/>
          <w:bCs/>
          <w:color w:val="454545"/>
          <w:szCs w:val="24"/>
          <w:lang w:eastAsia="es-CO"/>
        </w:rPr>
        <w:t>: </w:t>
      </w:r>
      <w:r w:rsidRPr="0031430F">
        <w:rPr>
          <w:rFonts w:eastAsia="Times New Roman" w:cs="Times New Roman"/>
          <w:color w:val="454545"/>
          <w:szCs w:val="24"/>
          <w:lang w:eastAsia="es-CO"/>
        </w:rPr>
        <w:t>Radicado 100064082 – A del 14/01/2019</w:t>
      </w:r>
    </w:p>
    <w:p w14:paraId="404D6030"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b/>
          <w:bCs/>
          <w:color w:val="454545"/>
          <w:szCs w:val="24"/>
          <w:lang w:eastAsia="es-CO"/>
        </w:rPr>
        <w:t>Tema </w:t>
      </w:r>
      <w:r w:rsidRPr="0031430F">
        <w:rPr>
          <w:rFonts w:eastAsia="Times New Roman" w:cs="Times New Roman"/>
          <w:color w:val="454545"/>
          <w:szCs w:val="24"/>
          <w:lang w:eastAsia="es-CO"/>
        </w:rPr>
        <w:t>Impuesto sobre la Renta y Complementarios</w:t>
      </w:r>
    </w:p>
    <w:p w14:paraId="736FF204"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b/>
          <w:bCs/>
          <w:color w:val="454545"/>
          <w:szCs w:val="24"/>
          <w:lang w:eastAsia="es-CO"/>
        </w:rPr>
        <w:t>Descriptores </w:t>
      </w:r>
      <w:r w:rsidRPr="0031430F">
        <w:rPr>
          <w:rFonts w:eastAsia="Times New Roman" w:cs="Times New Roman"/>
          <w:color w:val="454545"/>
          <w:szCs w:val="24"/>
          <w:lang w:eastAsia="es-CO"/>
        </w:rPr>
        <w:t>AUTORRETENCIÓN</w:t>
      </w:r>
    </w:p>
    <w:p w14:paraId="28A488D4"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b/>
          <w:bCs/>
          <w:color w:val="454545"/>
          <w:szCs w:val="24"/>
          <w:lang w:eastAsia="es-CO"/>
        </w:rPr>
        <w:t>Fuentes formales </w:t>
      </w:r>
      <w:r w:rsidRPr="0031430F">
        <w:rPr>
          <w:rFonts w:eastAsia="Times New Roman" w:cs="Times New Roman"/>
          <w:color w:val="454545"/>
          <w:szCs w:val="24"/>
          <w:lang w:eastAsia="es-CO"/>
        </w:rPr>
        <w:t>Artículo 368 del Estatuto Tributario, 1.2.6.6 y 1.2.6.7 del Decreto 1625 de 2016</w:t>
      </w:r>
    </w:p>
    <w:p w14:paraId="7993A02F" w14:textId="77777777" w:rsidR="0031430F" w:rsidRDefault="0031430F" w:rsidP="0031430F">
      <w:pPr>
        <w:shd w:val="clear" w:color="auto" w:fill="FFFFFF"/>
        <w:spacing w:after="0" w:line="360" w:lineRule="auto"/>
        <w:jc w:val="both"/>
        <w:rPr>
          <w:rFonts w:eastAsia="Times New Roman" w:cs="Times New Roman"/>
          <w:color w:val="454545"/>
          <w:szCs w:val="24"/>
          <w:lang w:eastAsia="es-CO"/>
        </w:rPr>
      </w:pPr>
    </w:p>
    <w:p w14:paraId="4B21ECC7" w14:textId="7B2FF33F"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color w:val="454545"/>
          <w:szCs w:val="24"/>
          <w:lang w:eastAsia="es-CO"/>
        </w:rPr>
        <w:t>Cordial saludo, señor García:</w:t>
      </w:r>
    </w:p>
    <w:p w14:paraId="3C241EE3" w14:textId="77777777" w:rsidR="0031430F" w:rsidRDefault="0031430F" w:rsidP="0031430F">
      <w:pPr>
        <w:shd w:val="clear" w:color="auto" w:fill="FFFFFF"/>
        <w:spacing w:after="0" w:line="360" w:lineRule="auto"/>
        <w:jc w:val="both"/>
        <w:rPr>
          <w:rFonts w:eastAsia="Times New Roman" w:cs="Times New Roman"/>
          <w:color w:val="454545"/>
          <w:szCs w:val="24"/>
          <w:lang w:eastAsia="es-CO"/>
        </w:rPr>
      </w:pPr>
    </w:p>
    <w:p w14:paraId="6F857E3C" w14:textId="2F752549"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color w:val="454545"/>
          <w:szCs w:val="24"/>
          <w:lang w:eastAsia="es-CO"/>
        </w:rPr>
        <w:t>Dando alcance al radicado de la referencia nos permitimos precisar lo siguiente:</w:t>
      </w:r>
    </w:p>
    <w:p w14:paraId="2261C7E2" w14:textId="77777777" w:rsidR="0031430F" w:rsidRDefault="0031430F" w:rsidP="0031430F">
      <w:pPr>
        <w:shd w:val="clear" w:color="auto" w:fill="FFFFFF"/>
        <w:spacing w:after="0" w:line="360" w:lineRule="auto"/>
        <w:jc w:val="both"/>
        <w:rPr>
          <w:rFonts w:eastAsia="Times New Roman" w:cs="Times New Roman"/>
          <w:color w:val="454545"/>
          <w:szCs w:val="24"/>
          <w:lang w:eastAsia="es-CO"/>
        </w:rPr>
      </w:pPr>
    </w:p>
    <w:p w14:paraId="6F48ABDF" w14:textId="089DA223"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color w:val="454545"/>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14:paraId="111C43A3" w14:textId="77777777" w:rsidR="0031430F" w:rsidRDefault="0031430F" w:rsidP="0031430F">
      <w:pPr>
        <w:shd w:val="clear" w:color="auto" w:fill="FFFFFF"/>
        <w:spacing w:after="0" w:line="360" w:lineRule="auto"/>
        <w:jc w:val="both"/>
        <w:rPr>
          <w:rFonts w:eastAsia="Times New Roman" w:cs="Times New Roman"/>
          <w:color w:val="454545"/>
          <w:szCs w:val="24"/>
          <w:lang w:eastAsia="es-CO"/>
        </w:rPr>
      </w:pPr>
    </w:p>
    <w:p w14:paraId="51F66F64" w14:textId="1C3DFCE9"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color w:val="454545"/>
          <w:szCs w:val="24"/>
          <w:lang w:eastAsia="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14:paraId="44D359FC" w14:textId="77777777" w:rsidR="0031430F" w:rsidRDefault="0031430F" w:rsidP="0031430F">
      <w:pPr>
        <w:shd w:val="clear" w:color="auto" w:fill="FFFFFF"/>
        <w:spacing w:after="0" w:line="360" w:lineRule="auto"/>
        <w:jc w:val="both"/>
        <w:rPr>
          <w:rFonts w:eastAsia="Times New Roman" w:cs="Times New Roman"/>
          <w:color w:val="454545"/>
          <w:szCs w:val="24"/>
          <w:lang w:eastAsia="es-CO"/>
        </w:rPr>
      </w:pPr>
    </w:p>
    <w:p w14:paraId="761C2006" w14:textId="045B7CE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color w:val="454545"/>
          <w:szCs w:val="24"/>
          <w:lang w:eastAsia="es-CO"/>
        </w:rPr>
        <w:t xml:space="preserve">En igual sentido, los conceptos que se emiten por este despacho tienen como fundamento las circunstancias presentadas en las consultas y buscan atender los supuestos de hecho y de derecho expuestos en estas; por ello, se recomienda que la lectura </w:t>
      </w:r>
      <w:proofErr w:type="gramStart"/>
      <w:r w:rsidRPr="0031430F">
        <w:rPr>
          <w:rFonts w:eastAsia="Times New Roman" w:cs="Times New Roman"/>
          <w:color w:val="454545"/>
          <w:szCs w:val="24"/>
          <w:lang w:eastAsia="es-CO"/>
        </w:rPr>
        <w:t>del mismo</w:t>
      </w:r>
      <w:proofErr w:type="gramEnd"/>
      <w:r w:rsidRPr="0031430F">
        <w:rPr>
          <w:rFonts w:eastAsia="Times New Roman" w:cs="Times New Roman"/>
          <w:color w:val="454545"/>
          <w:szCs w:val="24"/>
          <w:lang w:eastAsia="es-CO"/>
        </w:rPr>
        <w:t xml:space="preserve"> se haga en forma integral para la comprensión de su alcance, el cual no debe extenderse a situaciones diferentes a las planteadas y estudiadas.</w:t>
      </w:r>
    </w:p>
    <w:p w14:paraId="30057812"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color w:val="454545"/>
          <w:szCs w:val="24"/>
          <w:lang w:eastAsia="es-CO"/>
        </w:rPr>
        <w:t>Pregunta usted:</w:t>
      </w:r>
    </w:p>
    <w:p w14:paraId="05183B7D" w14:textId="77777777" w:rsidR="0031430F" w:rsidRDefault="0031430F" w:rsidP="0031430F">
      <w:pPr>
        <w:shd w:val="clear" w:color="auto" w:fill="FFFFFF"/>
        <w:spacing w:after="0" w:line="360" w:lineRule="auto"/>
        <w:jc w:val="both"/>
        <w:rPr>
          <w:rFonts w:eastAsia="Times New Roman" w:cs="Times New Roman"/>
          <w:color w:val="454545"/>
          <w:szCs w:val="24"/>
          <w:lang w:eastAsia="es-CO"/>
        </w:rPr>
      </w:pPr>
    </w:p>
    <w:p w14:paraId="5CDC27F9" w14:textId="33314B08"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color w:val="454545"/>
          <w:szCs w:val="24"/>
          <w:lang w:eastAsia="es-CO"/>
        </w:rPr>
        <w:t>¿Cuál es la base de las autorretenciones: ¿Los ingresos base de la declaración de renta de acuerdo con el artículo 21-1 del Estatuto Tributario, o los ingresos por las facturas expedidas en el mes?</w:t>
      </w:r>
    </w:p>
    <w:p w14:paraId="30AD6F90" w14:textId="77777777" w:rsidR="0031430F" w:rsidRDefault="0031430F" w:rsidP="0031430F">
      <w:pPr>
        <w:shd w:val="clear" w:color="auto" w:fill="FFFFFF"/>
        <w:spacing w:after="0" w:line="360" w:lineRule="auto"/>
        <w:jc w:val="both"/>
        <w:rPr>
          <w:rFonts w:eastAsia="Times New Roman" w:cs="Times New Roman"/>
          <w:color w:val="454545"/>
          <w:szCs w:val="24"/>
          <w:lang w:eastAsia="es-CO"/>
        </w:rPr>
      </w:pPr>
    </w:p>
    <w:p w14:paraId="04F668B5" w14:textId="0190F256"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color w:val="454545"/>
          <w:szCs w:val="24"/>
          <w:lang w:eastAsia="es-CO"/>
        </w:rPr>
        <w:t>A este respecto, el artículo 1.2.6.6. del DUR Decreto 1625 de 2016 establece:</w:t>
      </w:r>
    </w:p>
    <w:p w14:paraId="0AA54691" w14:textId="77777777" w:rsidR="0031430F" w:rsidRDefault="0031430F" w:rsidP="0031430F">
      <w:pPr>
        <w:shd w:val="clear" w:color="auto" w:fill="FFFFFF"/>
        <w:spacing w:after="0" w:line="360" w:lineRule="auto"/>
        <w:jc w:val="both"/>
        <w:rPr>
          <w:rFonts w:eastAsia="Times New Roman" w:cs="Times New Roman"/>
          <w:b/>
          <w:bCs/>
          <w:i/>
          <w:iCs/>
          <w:color w:val="454545"/>
          <w:szCs w:val="24"/>
          <w:lang w:eastAsia="es-CO"/>
        </w:rPr>
      </w:pPr>
    </w:p>
    <w:p w14:paraId="7C1B94C8" w14:textId="0DAEEC20"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b/>
          <w:bCs/>
          <w:i/>
          <w:iCs/>
          <w:color w:val="454545"/>
          <w:szCs w:val="24"/>
          <w:lang w:eastAsia="es-CO"/>
        </w:rPr>
        <w:t>“Artículo 1.2.6.6. Contribuyentes responsables de la autorretención a título del impuesto sobre la renta y complementario.</w:t>
      </w:r>
      <w:r w:rsidRPr="0031430F">
        <w:rPr>
          <w:rFonts w:eastAsia="Times New Roman" w:cs="Times New Roman"/>
          <w:i/>
          <w:iCs/>
          <w:color w:val="454545"/>
          <w:szCs w:val="24"/>
          <w:lang w:eastAsia="es-CO"/>
        </w:rPr>
        <w:t xml:space="preserve"> A partir del primero (1) de enero de 2017, tienen la calidad de </w:t>
      </w:r>
      <w:r w:rsidRPr="0031430F">
        <w:rPr>
          <w:rFonts w:eastAsia="Times New Roman" w:cs="Times New Roman"/>
          <w:i/>
          <w:iCs/>
          <w:color w:val="454545"/>
          <w:szCs w:val="24"/>
          <w:lang w:eastAsia="es-CO"/>
        </w:rPr>
        <w:lastRenderedPageBreak/>
        <w:t>autorretenedores a título de impuesto sobre la renta y complementario de que trata el parágrafo segundo (2) del artículo 365 del Estatuto Tributario adicionado por la Ley 1819 de 2016, los contribuyentes y responsables que cumplan con las siguientes condiciones:</w:t>
      </w:r>
    </w:p>
    <w:p w14:paraId="4927C33A"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i/>
          <w:iCs/>
          <w:color w:val="454545"/>
          <w:szCs w:val="24"/>
          <w:lang w:eastAsia="es-CO"/>
        </w:rPr>
        <w:t>(…)”</w:t>
      </w:r>
    </w:p>
    <w:p w14:paraId="15796A9B"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i/>
          <w:iCs/>
          <w:color w:val="454545"/>
          <w:szCs w:val="24"/>
          <w:lang w:eastAsia="es-CO"/>
        </w:rPr>
        <w:t> </w:t>
      </w:r>
    </w:p>
    <w:p w14:paraId="6DFB6A50"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color w:val="454545"/>
          <w:szCs w:val="24"/>
          <w:lang w:eastAsia="es-CO"/>
        </w:rPr>
        <w:t>A su turno el artículo 1.2.6.7. señala:</w:t>
      </w:r>
    </w:p>
    <w:p w14:paraId="19F6FC14" w14:textId="77777777" w:rsidR="0031430F" w:rsidRDefault="0031430F" w:rsidP="0031430F">
      <w:pPr>
        <w:shd w:val="clear" w:color="auto" w:fill="FFFFFF"/>
        <w:spacing w:after="0" w:line="360" w:lineRule="auto"/>
        <w:jc w:val="both"/>
        <w:rPr>
          <w:rFonts w:eastAsia="Times New Roman" w:cs="Times New Roman"/>
          <w:b/>
          <w:bCs/>
          <w:i/>
          <w:iCs/>
          <w:color w:val="454545"/>
          <w:szCs w:val="24"/>
          <w:lang w:eastAsia="es-CO"/>
        </w:rPr>
      </w:pPr>
    </w:p>
    <w:p w14:paraId="612A6D21" w14:textId="7CEC8D55"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b/>
          <w:bCs/>
          <w:i/>
          <w:iCs/>
          <w:color w:val="454545"/>
          <w:szCs w:val="24"/>
          <w:lang w:eastAsia="es-CO"/>
        </w:rPr>
        <w:t>“Artículo 1.2.6.7. Bases para calcular la autorretención a título de impuesto sobre la renta y complementario de que trata el artículo 1.2.6.6.</w:t>
      </w:r>
      <w:r w:rsidRPr="0031430F">
        <w:rPr>
          <w:rFonts w:eastAsia="Times New Roman" w:cs="Times New Roman"/>
          <w:i/>
          <w:iCs/>
          <w:color w:val="454545"/>
          <w:szCs w:val="24"/>
          <w:lang w:eastAsia="es-CO"/>
        </w:rPr>
        <w:t> Las bases establecidas en las normas vigentes para calcular la retención del impuesto sobre la renta y complementario serán aplicables igualmente para practicar la autorretención a título de este impuesto de que trata el artículo anterior.</w:t>
      </w:r>
    </w:p>
    <w:p w14:paraId="33A984BF"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i/>
          <w:iCs/>
          <w:color w:val="454545"/>
          <w:szCs w:val="24"/>
          <w:lang w:eastAsia="es-CO"/>
        </w:rPr>
        <w:t> </w:t>
      </w:r>
    </w:p>
    <w:p w14:paraId="09567399"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i/>
          <w:iCs/>
          <w:color w:val="454545"/>
          <w:szCs w:val="24"/>
          <w:lang w:eastAsia="es-CO"/>
        </w:rPr>
        <w:t>No obstante, lo anterior, en los siguientes casos, la base de esta autorretención se efectuará de conformidad con las siguientes reglas: (Subrayado fuera del texto)</w:t>
      </w:r>
    </w:p>
    <w:p w14:paraId="549D70C0"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i/>
          <w:iCs/>
          <w:color w:val="454545"/>
          <w:szCs w:val="24"/>
          <w:lang w:eastAsia="es-CO"/>
        </w:rPr>
        <w:t>(…)”</w:t>
      </w:r>
    </w:p>
    <w:p w14:paraId="36FB4A1F"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i/>
          <w:iCs/>
          <w:color w:val="454545"/>
          <w:szCs w:val="24"/>
          <w:lang w:eastAsia="es-CO"/>
        </w:rPr>
        <w:t> </w:t>
      </w:r>
    </w:p>
    <w:p w14:paraId="61574EF7"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color w:val="454545"/>
          <w:szCs w:val="24"/>
          <w:lang w:eastAsia="es-CO"/>
        </w:rPr>
        <w:t>El artículo 368 del E.T. prescribe:</w:t>
      </w:r>
    </w:p>
    <w:p w14:paraId="2EA14BFA" w14:textId="77777777" w:rsidR="0031430F" w:rsidRDefault="0031430F" w:rsidP="0031430F">
      <w:pPr>
        <w:shd w:val="clear" w:color="auto" w:fill="FFFFFF"/>
        <w:spacing w:after="0" w:line="360" w:lineRule="auto"/>
        <w:jc w:val="both"/>
        <w:rPr>
          <w:rFonts w:eastAsia="Times New Roman" w:cs="Times New Roman"/>
          <w:b/>
          <w:bCs/>
          <w:i/>
          <w:iCs/>
          <w:color w:val="454545"/>
          <w:szCs w:val="24"/>
          <w:lang w:eastAsia="es-CO"/>
        </w:rPr>
      </w:pPr>
    </w:p>
    <w:p w14:paraId="6D7D5369" w14:textId="4423DB4F"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b/>
          <w:bCs/>
          <w:i/>
          <w:iCs/>
          <w:color w:val="454545"/>
          <w:szCs w:val="24"/>
          <w:lang w:eastAsia="es-CO"/>
        </w:rPr>
        <w:t>“Artículo 368. Quiénes son agentes de retención. </w:t>
      </w:r>
      <w:r w:rsidRPr="0031430F">
        <w:rPr>
          <w:rFonts w:eastAsia="Times New Roman" w:cs="Times New Roman"/>
          <w:i/>
          <w:iCs/>
          <w:color w:val="454545"/>
          <w:szCs w:val="24"/>
          <w:lang w:eastAsia="es-CO"/>
        </w:rPr>
        <w:t>Son agentes de retención o de percepción, las entidades de derecho público, los fondos de inversión, los fondos de valores, los fondos de pensiones de jubilación e invalidez, los consorcios, uniones temporales, las comunidades organizadas y las demás personas naturales o jurídicas, sucesiones ilíquidas y sociedades de hecho, que por sus funciones intervengan en actos u operaciones en los cuales deben, por expresa disposición legal, efectuar la retención o percepción del tributo correspondiente.</w:t>
      </w:r>
    </w:p>
    <w:p w14:paraId="7BF5E2BE"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i/>
          <w:iCs/>
          <w:color w:val="454545"/>
          <w:szCs w:val="24"/>
          <w:lang w:eastAsia="es-CO"/>
        </w:rPr>
        <w:t> </w:t>
      </w:r>
    </w:p>
    <w:p w14:paraId="2308A01E"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i/>
          <w:iCs/>
          <w:color w:val="454545"/>
          <w:szCs w:val="24"/>
          <w:lang w:eastAsia="es-CO"/>
        </w:rPr>
        <w:t>Radica en el Director de Impuestos y Aduanas Nacionales, la competencia para autorizar o designar a las personas o entidades que deberán actuar como autorretenedores y suspender la autorización cuando a su juicio no se garantice el pago de los valores autorretenidos.</w:t>
      </w:r>
    </w:p>
    <w:p w14:paraId="1CF35393"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i/>
          <w:iCs/>
          <w:color w:val="454545"/>
          <w:szCs w:val="24"/>
          <w:lang w:eastAsia="es-CO"/>
        </w:rPr>
        <w:t> </w:t>
      </w:r>
    </w:p>
    <w:p w14:paraId="3DD9FC7A"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i/>
          <w:iCs/>
          <w:color w:val="454545"/>
          <w:szCs w:val="24"/>
          <w:lang w:eastAsia="es-CO"/>
        </w:rPr>
        <w:t>Además de los agentes de retención enumerados en este artículo, el gobierno podrá designar como tales a quienes efectúen el pago o abono en cuenta a nombre o por cuenta de un tercero o en su calidad de financiadores de la respectiva operación, aunque no intervengan directamente en la transacción que da lugar al impuesto objeto de retención”.</w:t>
      </w:r>
    </w:p>
    <w:p w14:paraId="6EB7B87F"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i/>
          <w:iCs/>
          <w:color w:val="454545"/>
          <w:szCs w:val="24"/>
          <w:lang w:eastAsia="es-CO"/>
        </w:rPr>
        <w:t> </w:t>
      </w:r>
    </w:p>
    <w:p w14:paraId="192DDAB9"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color w:val="454545"/>
          <w:szCs w:val="24"/>
          <w:lang w:eastAsia="es-CO"/>
        </w:rPr>
        <w:t xml:space="preserve">Así las cosas, puede ocurrir que las facturas expedidas en el mes no cumplan el requisito de realización base de ingresos fiscales. Para tales eventos, el artículo 772-1 E.T. señala que los contribuyentes obligados a llevar contabilidad deberán llevar un sistema de control o de conciliaciones de las diferencias que surjan entre la aplicación de los nuevos marcos técnicos </w:t>
      </w:r>
      <w:r w:rsidRPr="0031430F">
        <w:rPr>
          <w:rFonts w:eastAsia="Times New Roman" w:cs="Times New Roman"/>
          <w:color w:val="454545"/>
          <w:szCs w:val="24"/>
          <w:lang w:eastAsia="es-CO"/>
        </w:rPr>
        <w:lastRenderedPageBreak/>
        <w:t>normativos contables y las disposiciones del Estatuto, norma esta reglamentada a través del Decreto 1998 de 2017.</w:t>
      </w:r>
    </w:p>
    <w:p w14:paraId="467C0D80" w14:textId="77777777" w:rsidR="0031430F" w:rsidRDefault="0031430F" w:rsidP="0031430F">
      <w:pPr>
        <w:shd w:val="clear" w:color="auto" w:fill="FFFFFF"/>
        <w:spacing w:after="0" w:line="360" w:lineRule="auto"/>
        <w:jc w:val="both"/>
        <w:rPr>
          <w:rFonts w:eastAsia="Times New Roman" w:cs="Times New Roman"/>
          <w:color w:val="454545"/>
          <w:szCs w:val="24"/>
          <w:lang w:eastAsia="es-CO"/>
        </w:rPr>
      </w:pPr>
    </w:p>
    <w:p w14:paraId="0F2CA4FB" w14:textId="0F944732" w:rsidR="0031430F" w:rsidRPr="0031430F" w:rsidRDefault="0031430F" w:rsidP="0031430F">
      <w:pPr>
        <w:shd w:val="clear" w:color="auto" w:fill="FFFFFF"/>
        <w:spacing w:after="0" w:line="360" w:lineRule="auto"/>
        <w:jc w:val="both"/>
        <w:rPr>
          <w:rFonts w:eastAsia="Times New Roman" w:cs="Times New Roman"/>
          <w:color w:val="454545"/>
          <w:sz w:val="32"/>
          <w:szCs w:val="32"/>
          <w:lang w:eastAsia="es-CO"/>
        </w:rPr>
      </w:pPr>
      <w:r w:rsidRPr="0031430F">
        <w:rPr>
          <w:rFonts w:eastAsia="Times New Roman" w:cs="Times New Roman"/>
          <w:color w:val="454545"/>
          <w:szCs w:val="24"/>
          <w:lang w:eastAsia="es-CO"/>
        </w:rPr>
        <w:t xml:space="preserve">En conclusión, en materia tributaria, lo que realmente importa es que siempre que se cumplan las condiciones para que el contribuyente se clasifique como responsable de la autorretención a título de renta y complementario, </w:t>
      </w:r>
      <w:r w:rsidRPr="0031430F">
        <w:rPr>
          <w:rFonts w:eastAsia="Times New Roman" w:cs="Times New Roman"/>
          <w:color w:val="454545"/>
          <w:sz w:val="32"/>
          <w:szCs w:val="32"/>
          <w:highlight w:val="green"/>
          <w:lang w:eastAsia="es-CO"/>
        </w:rPr>
        <w:t>la base de la autorretención estará dada por el total de pagos o abonos en cuenta susceptibles de constituir ingreso tributario para el contribuyente del impuesto sobre la renta, percibidos en el período a liquidar. Por lo anterior, se deben reconocer para efectos de calcular la autorretención, todos aquellos ingresos devengados de acuerdo con el Estatuto Tributario.</w:t>
      </w:r>
    </w:p>
    <w:p w14:paraId="3EC1E662"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color w:val="454545"/>
          <w:szCs w:val="24"/>
          <w:lang w:eastAsia="es-CO"/>
        </w:rPr>
        <w:t>En los anteriores términos se resuelve su consulta.</w:t>
      </w:r>
    </w:p>
    <w:p w14:paraId="2FD6C450" w14:textId="27CED090"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color w:val="454545"/>
          <w:szCs w:val="24"/>
          <w:lang w:eastAsia="es-CO"/>
        </w:rPr>
        <w:t> </w:t>
      </w:r>
    </w:p>
    <w:p w14:paraId="5D35F04D"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color w:val="454545"/>
          <w:szCs w:val="24"/>
          <w:lang w:eastAsia="es-CO"/>
        </w:rPr>
        <w:t>Atentamente,</w:t>
      </w:r>
    </w:p>
    <w:p w14:paraId="79509F7F"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b/>
          <w:bCs/>
          <w:color w:val="454545"/>
          <w:szCs w:val="24"/>
          <w:lang w:eastAsia="es-CO"/>
        </w:rPr>
        <w:t>LORENZO CASTILLO BARVO</w:t>
      </w:r>
    </w:p>
    <w:p w14:paraId="2503D010"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color w:val="454545"/>
          <w:szCs w:val="24"/>
          <w:lang w:eastAsia="es-CO"/>
        </w:rPr>
        <w:t>Subdirector de Gestión Normativa y Doctrina (E)</w:t>
      </w:r>
    </w:p>
    <w:p w14:paraId="1E51B248" w14:textId="77777777" w:rsidR="0031430F" w:rsidRPr="0031430F" w:rsidRDefault="0031430F" w:rsidP="0031430F">
      <w:pPr>
        <w:shd w:val="clear" w:color="auto" w:fill="FFFFFF"/>
        <w:spacing w:after="0" w:line="360" w:lineRule="auto"/>
        <w:jc w:val="both"/>
        <w:rPr>
          <w:rFonts w:eastAsia="Times New Roman" w:cs="Times New Roman"/>
          <w:color w:val="454545"/>
          <w:szCs w:val="24"/>
          <w:lang w:eastAsia="es-CO"/>
        </w:rPr>
      </w:pPr>
      <w:r w:rsidRPr="0031430F">
        <w:rPr>
          <w:rFonts w:eastAsia="Times New Roman" w:cs="Times New Roman"/>
          <w:color w:val="454545"/>
          <w:szCs w:val="24"/>
          <w:lang w:eastAsia="es-CO"/>
        </w:rPr>
        <w:t>Dirección de Gestión Jurídica</w:t>
      </w:r>
    </w:p>
    <w:p w14:paraId="4FE199AA" w14:textId="77777777" w:rsidR="007F5CC8" w:rsidRPr="0031430F" w:rsidRDefault="007F5CC8" w:rsidP="0031430F">
      <w:pPr>
        <w:spacing w:after="0" w:line="360" w:lineRule="auto"/>
        <w:jc w:val="both"/>
        <w:rPr>
          <w:rFonts w:cs="Times New Roman"/>
          <w:szCs w:val="24"/>
        </w:rPr>
      </w:pPr>
    </w:p>
    <w:sectPr w:rsidR="007F5CC8" w:rsidRPr="0031430F"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0F"/>
    <w:rsid w:val="000F3837"/>
    <w:rsid w:val="001E311E"/>
    <w:rsid w:val="0031430F"/>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9116"/>
  <w15:chartTrackingRefBased/>
  <w15:docId w15:val="{D146CC8A-0986-45CD-8C99-1EC74CEF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7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4498</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2021-04-22T14:35:00Z</dcterms:created>
  <dcterms:modified xsi:type="dcterms:W3CDTF">2021-04-22T14:37:00Z</dcterms:modified>
</cp:coreProperties>
</file>