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83C97" w14:textId="77777777" w:rsidR="009F22ED" w:rsidRPr="009F22ED" w:rsidRDefault="009F22ED" w:rsidP="009F22ED">
      <w:pPr>
        <w:shd w:val="clear" w:color="auto" w:fill="FFFFFF"/>
        <w:spacing w:after="150" w:line="240" w:lineRule="auto"/>
        <w:jc w:val="center"/>
        <w:rPr>
          <w:rFonts w:eastAsia="Times New Roman" w:cs="Times New Roman"/>
          <w:color w:val="555555"/>
          <w:szCs w:val="24"/>
          <w:lang w:eastAsia="es-CO"/>
        </w:rPr>
      </w:pPr>
      <w:r w:rsidRPr="009F22ED">
        <w:rPr>
          <w:rFonts w:eastAsia="Times New Roman" w:cs="Times New Roman"/>
          <w:b/>
          <w:bCs/>
          <w:color w:val="0000FF"/>
          <w:szCs w:val="24"/>
          <w:lang w:eastAsia="es-CO"/>
        </w:rPr>
        <w:t xml:space="preserve">OFICIO </w:t>
      </w:r>
      <w:proofErr w:type="spellStart"/>
      <w:r w:rsidRPr="009F22ED">
        <w:rPr>
          <w:rFonts w:eastAsia="Times New Roman" w:cs="Times New Roman"/>
          <w:b/>
          <w:bCs/>
          <w:color w:val="0000FF"/>
          <w:szCs w:val="24"/>
          <w:lang w:eastAsia="es-CO"/>
        </w:rPr>
        <w:t>Nº</w:t>
      </w:r>
      <w:proofErr w:type="spellEnd"/>
      <w:r w:rsidRPr="009F22ED">
        <w:rPr>
          <w:rFonts w:eastAsia="Times New Roman" w:cs="Times New Roman"/>
          <w:b/>
          <w:bCs/>
          <w:color w:val="0000FF"/>
          <w:szCs w:val="24"/>
          <w:lang w:eastAsia="es-CO"/>
        </w:rPr>
        <w:t xml:space="preserve"> 0566 [903259]</w:t>
      </w:r>
    </w:p>
    <w:p w14:paraId="64496FC1" w14:textId="77777777" w:rsidR="009F22ED" w:rsidRPr="009F22ED" w:rsidRDefault="009F22ED" w:rsidP="009F22ED">
      <w:pPr>
        <w:shd w:val="clear" w:color="auto" w:fill="FFFFFF"/>
        <w:spacing w:after="150" w:line="240" w:lineRule="auto"/>
        <w:jc w:val="center"/>
        <w:rPr>
          <w:rFonts w:eastAsia="Times New Roman" w:cs="Times New Roman"/>
          <w:color w:val="555555"/>
          <w:szCs w:val="24"/>
          <w:lang w:eastAsia="es-CO"/>
        </w:rPr>
      </w:pPr>
      <w:r w:rsidRPr="009F22ED">
        <w:rPr>
          <w:rFonts w:eastAsia="Times New Roman" w:cs="Times New Roman"/>
          <w:b/>
          <w:bCs/>
          <w:color w:val="0000FF"/>
          <w:szCs w:val="24"/>
          <w:lang w:eastAsia="es-CO"/>
        </w:rPr>
        <w:t>15-04-2021</w:t>
      </w:r>
    </w:p>
    <w:p w14:paraId="7051258A" w14:textId="77777777" w:rsidR="009F22ED" w:rsidRPr="009F22ED" w:rsidRDefault="009F22ED" w:rsidP="009F22ED">
      <w:pPr>
        <w:shd w:val="clear" w:color="auto" w:fill="FFFFFF"/>
        <w:spacing w:after="150" w:line="240" w:lineRule="auto"/>
        <w:jc w:val="center"/>
        <w:rPr>
          <w:rFonts w:eastAsia="Times New Roman" w:cs="Times New Roman"/>
          <w:color w:val="555555"/>
          <w:szCs w:val="24"/>
          <w:lang w:eastAsia="es-CO"/>
        </w:rPr>
      </w:pPr>
      <w:r w:rsidRPr="009F22ED">
        <w:rPr>
          <w:rFonts w:eastAsia="Times New Roman" w:cs="Times New Roman"/>
          <w:b/>
          <w:bCs/>
          <w:color w:val="0000FF"/>
          <w:szCs w:val="24"/>
          <w:lang w:eastAsia="es-CO"/>
        </w:rPr>
        <w:t>DIAN</w:t>
      </w:r>
    </w:p>
    <w:p w14:paraId="741A0495" w14:textId="77777777" w:rsidR="009F22ED" w:rsidRPr="009F22ED" w:rsidRDefault="009F22ED" w:rsidP="009F22ED">
      <w:pPr>
        <w:shd w:val="clear" w:color="auto" w:fill="FFFFFF"/>
        <w:spacing w:after="150" w:line="240" w:lineRule="auto"/>
        <w:jc w:val="both"/>
        <w:rPr>
          <w:rFonts w:eastAsia="Times New Roman" w:cs="Times New Roman"/>
          <w:color w:val="555555"/>
          <w:szCs w:val="24"/>
          <w:lang w:eastAsia="es-CO"/>
        </w:rPr>
      </w:pPr>
      <w:r w:rsidRPr="009F22ED">
        <w:rPr>
          <w:rFonts w:eastAsia="Times New Roman" w:cs="Times New Roman"/>
          <w:color w:val="555555"/>
          <w:szCs w:val="24"/>
          <w:lang w:eastAsia="es-CO"/>
        </w:rPr>
        <w:t> </w:t>
      </w:r>
    </w:p>
    <w:p w14:paraId="252EC63C" w14:textId="77777777" w:rsidR="009F22ED" w:rsidRPr="009F22ED" w:rsidRDefault="009F22ED" w:rsidP="009F22ED">
      <w:pPr>
        <w:shd w:val="clear" w:color="auto" w:fill="FFFFFF"/>
        <w:spacing w:after="150" w:line="240" w:lineRule="auto"/>
        <w:jc w:val="both"/>
        <w:rPr>
          <w:rFonts w:eastAsia="Times New Roman" w:cs="Times New Roman"/>
          <w:color w:val="555555"/>
          <w:szCs w:val="24"/>
          <w:lang w:eastAsia="es-CO"/>
        </w:rPr>
      </w:pPr>
      <w:r w:rsidRPr="009F22ED">
        <w:rPr>
          <w:rFonts w:eastAsia="Times New Roman" w:cs="Times New Roman"/>
          <w:color w:val="555555"/>
          <w:szCs w:val="24"/>
          <w:lang w:eastAsia="es-CO"/>
        </w:rPr>
        <w:t> </w:t>
      </w:r>
    </w:p>
    <w:p w14:paraId="0E77BA40" w14:textId="77777777" w:rsidR="009F22ED" w:rsidRPr="009F22ED" w:rsidRDefault="009F22ED" w:rsidP="009F22ED">
      <w:pPr>
        <w:shd w:val="clear" w:color="auto" w:fill="FFFFFF"/>
        <w:spacing w:after="150" w:line="240" w:lineRule="auto"/>
        <w:jc w:val="both"/>
        <w:rPr>
          <w:rFonts w:eastAsia="Times New Roman" w:cs="Times New Roman"/>
          <w:color w:val="555555"/>
          <w:szCs w:val="24"/>
          <w:lang w:eastAsia="es-CO"/>
        </w:rPr>
      </w:pPr>
      <w:r w:rsidRPr="009F22ED">
        <w:rPr>
          <w:rFonts w:eastAsia="Times New Roman" w:cs="Times New Roman"/>
          <w:color w:val="000000"/>
          <w:szCs w:val="24"/>
          <w:lang w:eastAsia="es-CO"/>
        </w:rPr>
        <w:t>Subdirección de Gestión Normativa y Doctrina</w:t>
      </w:r>
    </w:p>
    <w:p w14:paraId="2230E38C" w14:textId="77777777" w:rsidR="009F22ED" w:rsidRPr="009F22ED" w:rsidRDefault="009F22ED" w:rsidP="009F22ED">
      <w:pPr>
        <w:shd w:val="clear" w:color="auto" w:fill="FFFFFF"/>
        <w:spacing w:after="150" w:line="240" w:lineRule="auto"/>
        <w:jc w:val="both"/>
        <w:rPr>
          <w:rFonts w:eastAsia="Times New Roman" w:cs="Times New Roman"/>
          <w:color w:val="555555"/>
          <w:szCs w:val="24"/>
          <w:lang w:eastAsia="es-CO"/>
        </w:rPr>
      </w:pPr>
      <w:r w:rsidRPr="009F22ED">
        <w:rPr>
          <w:rFonts w:eastAsia="Times New Roman" w:cs="Times New Roman"/>
          <w:color w:val="000000"/>
          <w:szCs w:val="24"/>
          <w:lang w:eastAsia="es-CO"/>
        </w:rPr>
        <w:t>100208221-0566</w:t>
      </w:r>
    </w:p>
    <w:p w14:paraId="48963179" w14:textId="77777777" w:rsidR="009F22ED" w:rsidRPr="009F22ED" w:rsidRDefault="009F22ED" w:rsidP="009F22ED">
      <w:pPr>
        <w:shd w:val="clear" w:color="auto" w:fill="FFFFFF"/>
        <w:spacing w:after="150" w:line="240" w:lineRule="auto"/>
        <w:jc w:val="both"/>
        <w:rPr>
          <w:rFonts w:eastAsia="Times New Roman" w:cs="Times New Roman"/>
          <w:color w:val="555555"/>
          <w:szCs w:val="24"/>
          <w:lang w:eastAsia="es-CO"/>
        </w:rPr>
      </w:pPr>
      <w:r w:rsidRPr="009F22ED">
        <w:rPr>
          <w:rFonts w:eastAsia="Times New Roman" w:cs="Times New Roman"/>
          <w:color w:val="000000"/>
          <w:szCs w:val="24"/>
          <w:lang w:eastAsia="es-CO"/>
        </w:rPr>
        <w:t>Bogotá, D.C.</w:t>
      </w:r>
    </w:p>
    <w:p w14:paraId="44F4D0F7" w14:textId="77777777" w:rsidR="009F22ED" w:rsidRPr="009F22ED" w:rsidRDefault="009F22ED" w:rsidP="009F22ED">
      <w:pPr>
        <w:shd w:val="clear" w:color="auto" w:fill="FFFFFF"/>
        <w:spacing w:after="150" w:line="240" w:lineRule="auto"/>
        <w:jc w:val="both"/>
        <w:rPr>
          <w:rFonts w:eastAsia="Times New Roman" w:cs="Times New Roman"/>
          <w:color w:val="555555"/>
          <w:szCs w:val="24"/>
          <w:lang w:eastAsia="es-CO"/>
        </w:rPr>
      </w:pPr>
      <w:r w:rsidRPr="009F22ED">
        <w:rPr>
          <w:rFonts w:eastAsia="Times New Roman" w:cs="Times New Roman"/>
          <w:color w:val="555555"/>
          <w:szCs w:val="24"/>
          <w:lang w:eastAsia="es-CO"/>
        </w:rPr>
        <w:t> </w:t>
      </w:r>
    </w:p>
    <w:p w14:paraId="7F015DAE" w14:textId="77777777" w:rsidR="009F22ED" w:rsidRPr="009F22ED" w:rsidRDefault="009F22ED" w:rsidP="009F22ED">
      <w:pPr>
        <w:shd w:val="clear" w:color="auto" w:fill="FFFFFF"/>
        <w:spacing w:after="285" w:line="240" w:lineRule="auto"/>
        <w:jc w:val="both"/>
        <w:rPr>
          <w:rFonts w:eastAsia="Times New Roman" w:cs="Times New Roman"/>
          <w:color w:val="555555"/>
          <w:szCs w:val="24"/>
          <w:lang w:eastAsia="es-CO"/>
        </w:rPr>
      </w:pPr>
      <w:r w:rsidRPr="009F22ED">
        <w:rPr>
          <w:rFonts w:eastAsia="Times New Roman" w:cs="Times New Roman"/>
          <w:color w:val="555555"/>
          <w:szCs w:val="24"/>
          <w:lang w:eastAsia="es-CO"/>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63"/>
        <w:gridCol w:w="270"/>
        <w:gridCol w:w="270"/>
        <w:gridCol w:w="5376"/>
      </w:tblGrid>
      <w:tr w:rsidR="009F22ED" w:rsidRPr="009F22ED" w14:paraId="09913F4E" w14:textId="77777777" w:rsidTr="009F22ED">
        <w:tc>
          <w:tcPr>
            <w:tcW w:w="0" w:type="auto"/>
            <w:shd w:val="clear" w:color="auto" w:fill="FFFFFF"/>
            <w:tcMar>
              <w:top w:w="0" w:type="dxa"/>
              <w:left w:w="105" w:type="dxa"/>
              <w:bottom w:w="0" w:type="dxa"/>
              <w:right w:w="105" w:type="dxa"/>
            </w:tcMar>
            <w:hideMark/>
          </w:tcPr>
          <w:p w14:paraId="7273E720" w14:textId="77777777" w:rsidR="009F22ED" w:rsidRPr="009F22ED" w:rsidRDefault="009F22ED" w:rsidP="009F22ED">
            <w:pPr>
              <w:spacing w:after="0" w:line="240" w:lineRule="auto"/>
              <w:jc w:val="both"/>
              <w:rPr>
                <w:rFonts w:eastAsia="Times New Roman" w:cs="Times New Roman"/>
                <w:color w:val="555555"/>
                <w:szCs w:val="24"/>
                <w:lang w:eastAsia="es-CO"/>
              </w:rPr>
            </w:pPr>
            <w:r w:rsidRPr="009F22ED">
              <w:rPr>
                <w:rFonts w:eastAsia="Times New Roman" w:cs="Times New Roman"/>
                <w:b/>
                <w:bCs/>
                <w:color w:val="555555"/>
                <w:szCs w:val="24"/>
                <w:lang w:eastAsia="es-CO"/>
              </w:rPr>
              <w:t>Tema</w:t>
            </w:r>
          </w:p>
        </w:tc>
        <w:tc>
          <w:tcPr>
            <w:tcW w:w="0" w:type="auto"/>
            <w:shd w:val="clear" w:color="auto" w:fill="FFFFFF"/>
            <w:tcMar>
              <w:top w:w="0" w:type="dxa"/>
              <w:left w:w="105" w:type="dxa"/>
              <w:bottom w:w="0" w:type="dxa"/>
              <w:right w:w="105" w:type="dxa"/>
            </w:tcMar>
            <w:hideMark/>
          </w:tcPr>
          <w:p w14:paraId="6376ADD6" w14:textId="77777777" w:rsidR="009F22ED" w:rsidRPr="009F22ED" w:rsidRDefault="009F22ED" w:rsidP="009F22ED">
            <w:pPr>
              <w:spacing w:after="0" w:line="240" w:lineRule="auto"/>
              <w:jc w:val="both"/>
              <w:rPr>
                <w:rFonts w:eastAsia="Times New Roman" w:cs="Times New Roman"/>
                <w:color w:val="555555"/>
                <w:szCs w:val="24"/>
                <w:lang w:eastAsia="es-CO"/>
              </w:rPr>
            </w:pPr>
            <w:r w:rsidRPr="009F22ED">
              <w:rPr>
                <w:rFonts w:eastAsia="Times New Roman" w:cs="Times New Roman"/>
                <w:color w:val="555555"/>
                <w:szCs w:val="24"/>
                <w:lang w:eastAsia="es-CO"/>
              </w:rPr>
              <w:t> </w:t>
            </w:r>
          </w:p>
        </w:tc>
        <w:tc>
          <w:tcPr>
            <w:tcW w:w="0" w:type="auto"/>
            <w:shd w:val="clear" w:color="auto" w:fill="FFFFFF"/>
            <w:tcMar>
              <w:top w:w="0" w:type="dxa"/>
              <w:left w:w="105" w:type="dxa"/>
              <w:bottom w:w="0" w:type="dxa"/>
              <w:right w:w="105" w:type="dxa"/>
            </w:tcMar>
            <w:hideMark/>
          </w:tcPr>
          <w:p w14:paraId="5AF7C448" w14:textId="77777777" w:rsidR="009F22ED" w:rsidRPr="009F22ED" w:rsidRDefault="009F22ED" w:rsidP="009F22ED">
            <w:pPr>
              <w:spacing w:after="0" w:line="240" w:lineRule="auto"/>
              <w:jc w:val="both"/>
              <w:rPr>
                <w:rFonts w:eastAsia="Times New Roman" w:cs="Times New Roman"/>
                <w:color w:val="555555"/>
                <w:szCs w:val="24"/>
                <w:lang w:eastAsia="es-CO"/>
              </w:rPr>
            </w:pPr>
            <w:r w:rsidRPr="009F22ED">
              <w:rPr>
                <w:rFonts w:eastAsia="Times New Roman" w:cs="Times New Roman"/>
                <w:color w:val="555555"/>
                <w:szCs w:val="24"/>
                <w:lang w:eastAsia="es-CO"/>
              </w:rPr>
              <w:t> </w:t>
            </w:r>
          </w:p>
        </w:tc>
        <w:tc>
          <w:tcPr>
            <w:tcW w:w="0" w:type="auto"/>
            <w:shd w:val="clear" w:color="auto" w:fill="FFFFFF"/>
            <w:tcMar>
              <w:top w:w="0" w:type="dxa"/>
              <w:left w:w="105" w:type="dxa"/>
              <w:bottom w:w="0" w:type="dxa"/>
              <w:right w:w="105" w:type="dxa"/>
            </w:tcMar>
            <w:hideMark/>
          </w:tcPr>
          <w:p w14:paraId="6E31DA51" w14:textId="77777777" w:rsidR="009F22ED" w:rsidRPr="009F22ED" w:rsidRDefault="009F22ED" w:rsidP="009F22ED">
            <w:pPr>
              <w:spacing w:after="0" w:line="240" w:lineRule="auto"/>
              <w:jc w:val="both"/>
              <w:rPr>
                <w:rFonts w:eastAsia="Times New Roman" w:cs="Times New Roman"/>
                <w:color w:val="555555"/>
                <w:szCs w:val="24"/>
                <w:lang w:eastAsia="es-CO"/>
              </w:rPr>
            </w:pPr>
            <w:r w:rsidRPr="009F22ED">
              <w:rPr>
                <w:rFonts w:eastAsia="Times New Roman" w:cs="Times New Roman"/>
                <w:color w:val="555555"/>
                <w:szCs w:val="24"/>
                <w:lang w:eastAsia="es-CO"/>
              </w:rPr>
              <w:t>Impuesto sobre la renta y complementarios</w:t>
            </w:r>
          </w:p>
        </w:tc>
      </w:tr>
      <w:tr w:rsidR="009F22ED" w:rsidRPr="009F22ED" w14:paraId="7B7AC9D8" w14:textId="77777777" w:rsidTr="009F22ED">
        <w:tc>
          <w:tcPr>
            <w:tcW w:w="0" w:type="auto"/>
            <w:shd w:val="clear" w:color="auto" w:fill="FFFFFF"/>
            <w:tcMar>
              <w:top w:w="0" w:type="dxa"/>
              <w:left w:w="105" w:type="dxa"/>
              <w:bottom w:w="0" w:type="dxa"/>
              <w:right w:w="105" w:type="dxa"/>
            </w:tcMar>
            <w:hideMark/>
          </w:tcPr>
          <w:p w14:paraId="243639C7" w14:textId="77777777" w:rsidR="009F22ED" w:rsidRPr="009F22ED" w:rsidRDefault="009F22ED" w:rsidP="009F22ED">
            <w:pPr>
              <w:spacing w:after="0" w:line="240" w:lineRule="auto"/>
              <w:jc w:val="both"/>
              <w:rPr>
                <w:rFonts w:eastAsia="Times New Roman" w:cs="Times New Roman"/>
                <w:color w:val="555555"/>
                <w:szCs w:val="24"/>
                <w:lang w:eastAsia="es-CO"/>
              </w:rPr>
            </w:pPr>
            <w:r w:rsidRPr="009F22ED">
              <w:rPr>
                <w:rFonts w:eastAsia="Times New Roman" w:cs="Times New Roman"/>
                <w:b/>
                <w:bCs/>
                <w:color w:val="555555"/>
                <w:szCs w:val="24"/>
                <w:lang w:eastAsia="es-CO"/>
              </w:rPr>
              <w:t>Descriptores</w:t>
            </w:r>
          </w:p>
        </w:tc>
        <w:tc>
          <w:tcPr>
            <w:tcW w:w="0" w:type="auto"/>
            <w:shd w:val="clear" w:color="auto" w:fill="FFFFFF"/>
            <w:tcMar>
              <w:top w:w="0" w:type="dxa"/>
              <w:left w:w="105" w:type="dxa"/>
              <w:bottom w:w="0" w:type="dxa"/>
              <w:right w:w="105" w:type="dxa"/>
            </w:tcMar>
            <w:hideMark/>
          </w:tcPr>
          <w:p w14:paraId="4F5341BD" w14:textId="77777777" w:rsidR="009F22ED" w:rsidRPr="009F22ED" w:rsidRDefault="009F22ED" w:rsidP="009F22ED">
            <w:pPr>
              <w:spacing w:after="0" w:line="240" w:lineRule="auto"/>
              <w:jc w:val="both"/>
              <w:rPr>
                <w:rFonts w:eastAsia="Times New Roman" w:cs="Times New Roman"/>
                <w:color w:val="555555"/>
                <w:szCs w:val="24"/>
                <w:lang w:eastAsia="es-CO"/>
              </w:rPr>
            </w:pPr>
            <w:r w:rsidRPr="009F22ED">
              <w:rPr>
                <w:rFonts w:eastAsia="Times New Roman" w:cs="Times New Roman"/>
                <w:color w:val="555555"/>
                <w:szCs w:val="24"/>
                <w:lang w:eastAsia="es-CO"/>
              </w:rPr>
              <w:t> </w:t>
            </w:r>
          </w:p>
        </w:tc>
        <w:tc>
          <w:tcPr>
            <w:tcW w:w="0" w:type="auto"/>
            <w:shd w:val="clear" w:color="auto" w:fill="FFFFFF"/>
            <w:tcMar>
              <w:top w:w="0" w:type="dxa"/>
              <w:left w:w="105" w:type="dxa"/>
              <w:bottom w:w="0" w:type="dxa"/>
              <w:right w:w="105" w:type="dxa"/>
            </w:tcMar>
            <w:hideMark/>
          </w:tcPr>
          <w:p w14:paraId="480DBD36" w14:textId="77777777" w:rsidR="009F22ED" w:rsidRPr="009F22ED" w:rsidRDefault="009F22ED" w:rsidP="009F22ED">
            <w:pPr>
              <w:spacing w:after="0" w:line="240" w:lineRule="auto"/>
              <w:jc w:val="both"/>
              <w:rPr>
                <w:rFonts w:eastAsia="Times New Roman" w:cs="Times New Roman"/>
                <w:color w:val="555555"/>
                <w:szCs w:val="24"/>
                <w:lang w:eastAsia="es-CO"/>
              </w:rPr>
            </w:pPr>
            <w:r w:rsidRPr="009F22ED">
              <w:rPr>
                <w:rFonts w:eastAsia="Times New Roman" w:cs="Times New Roman"/>
                <w:color w:val="555555"/>
                <w:szCs w:val="24"/>
                <w:lang w:eastAsia="es-CO"/>
              </w:rPr>
              <w:t> </w:t>
            </w:r>
          </w:p>
        </w:tc>
        <w:tc>
          <w:tcPr>
            <w:tcW w:w="0" w:type="auto"/>
            <w:shd w:val="clear" w:color="auto" w:fill="FFFFFF"/>
            <w:tcMar>
              <w:top w:w="0" w:type="dxa"/>
              <w:left w:w="105" w:type="dxa"/>
              <w:bottom w:w="0" w:type="dxa"/>
              <w:right w:w="105" w:type="dxa"/>
            </w:tcMar>
            <w:hideMark/>
          </w:tcPr>
          <w:p w14:paraId="52209A61" w14:textId="77777777" w:rsidR="009F22ED" w:rsidRPr="009F22ED" w:rsidRDefault="009F22ED" w:rsidP="009F22ED">
            <w:pPr>
              <w:spacing w:after="150" w:line="240" w:lineRule="auto"/>
              <w:jc w:val="both"/>
              <w:rPr>
                <w:rFonts w:eastAsia="Times New Roman" w:cs="Times New Roman"/>
                <w:color w:val="555555"/>
                <w:szCs w:val="24"/>
                <w:lang w:eastAsia="es-CO"/>
              </w:rPr>
            </w:pPr>
            <w:r w:rsidRPr="009F22ED">
              <w:rPr>
                <w:rFonts w:eastAsia="Times New Roman" w:cs="Times New Roman"/>
                <w:color w:val="555555"/>
                <w:szCs w:val="24"/>
                <w:lang w:eastAsia="es-CO"/>
              </w:rPr>
              <w:t>Deducción por depreciación</w:t>
            </w:r>
          </w:p>
          <w:p w14:paraId="47CF6C4E" w14:textId="77777777" w:rsidR="009F22ED" w:rsidRPr="009F22ED" w:rsidRDefault="009F22ED" w:rsidP="009F22ED">
            <w:pPr>
              <w:spacing w:after="0" w:line="240" w:lineRule="auto"/>
              <w:jc w:val="both"/>
              <w:rPr>
                <w:rFonts w:eastAsia="Times New Roman" w:cs="Times New Roman"/>
                <w:color w:val="555555"/>
                <w:szCs w:val="24"/>
                <w:lang w:eastAsia="es-CO"/>
              </w:rPr>
            </w:pPr>
            <w:r w:rsidRPr="009F22ED">
              <w:rPr>
                <w:rFonts w:eastAsia="Times New Roman" w:cs="Times New Roman"/>
                <w:color w:val="555555"/>
                <w:szCs w:val="24"/>
                <w:lang w:eastAsia="es-CO"/>
              </w:rPr>
              <w:t>Depreciación acelerada</w:t>
            </w:r>
          </w:p>
        </w:tc>
      </w:tr>
      <w:tr w:rsidR="009F22ED" w:rsidRPr="009F22ED" w14:paraId="56039748" w14:textId="77777777" w:rsidTr="009F22ED">
        <w:tc>
          <w:tcPr>
            <w:tcW w:w="0" w:type="auto"/>
            <w:shd w:val="clear" w:color="auto" w:fill="FFFFFF"/>
            <w:tcMar>
              <w:top w:w="0" w:type="dxa"/>
              <w:left w:w="105" w:type="dxa"/>
              <w:bottom w:w="0" w:type="dxa"/>
              <w:right w:w="105" w:type="dxa"/>
            </w:tcMar>
            <w:hideMark/>
          </w:tcPr>
          <w:p w14:paraId="309E57AF" w14:textId="77777777" w:rsidR="009F22ED" w:rsidRPr="009F22ED" w:rsidRDefault="009F22ED" w:rsidP="009F22ED">
            <w:pPr>
              <w:spacing w:after="0" w:line="240" w:lineRule="auto"/>
              <w:jc w:val="both"/>
              <w:rPr>
                <w:rFonts w:eastAsia="Times New Roman" w:cs="Times New Roman"/>
                <w:color w:val="555555"/>
                <w:szCs w:val="24"/>
                <w:lang w:eastAsia="es-CO"/>
              </w:rPr>
            </w:pPr>
            <w:r w:rsidRPr="009F22ED">
              <w:rPr>
                <w:rFonts w:eastAsia="Times New Roman" w:cs="Times New Roman"/>
                <w:b/>
                <w:bCs/>
                <w:color w:val="555555"/>
                <w:szCs w:val="24"/>
                <w:lang w:eastAsia="es-CO"/>
              </w:rPr>
              <w:t>Fuentes formales</w:t>
            </w:r>
          </w:p>
        </w:tc>
        <w:tc>
          <w:tcPr>
            <w:tcW w:w="0" w:type="auto"/>
            <w:shd w:val="clear" w:color="auto" w:fill="FFFFFF"/>
            <w:tcMar>
              <w:top w:w="0" w:type="dxa"/>
              <w:left w:w="105" w:type="dxa"/>
              <w:bottom w:w="0" w:type="dxa"/>
              <w:right w:w="105" w:type="dxa"/>
            </w:tcMar>
            <w:hideMark/>
          </w:tcPr>
          <w:p w14:paraId="4596A3EC" w14:textId="77777777" w:rsidR="009F22ED" w:rsidRPr="009F22ED" w:rsidRDefault="009F22ED" w:rsidP="009F22ED">
            <w:pPr>
              <w:spacing w:after="0" w:line="240" w:lineRule="auto"/>
              <w:jc w:val="both"/>
              <w:rPr>
                <w:rFonts w:eastAsia="Times New Roman" w:cs="Times New Roman"/>
                <w:color w:val="555555"/>
                <w:szCs w:val="24"/>
                <w:lang w:eastAsia="es-CO"/>
              </w:rPr>
            </w:pPr>
            <w:r w:rsidRPr="009F22ED">
              <w:rPr>
                <w:rFonts w:eastAsia="Times New Roman" w:cs="Times New Roman"/>
                <w:color w:val="555555"/>
                <w:szCs w:val="24"/>
                <w:lang w:eastAsia="es-CO"/>
              </w:rPr>
              <w:t> </w:t>
            </w:r>
          </w:p>
        </w:tc>
        <w:tc>
          <w:tcPr>
            <w:tcW w:w="0" w:type="auto"/>
            <w:shd w:val="clear" w:color="auto" w:fill="FFFFFF"/>
            <w:tcMar>
              <w:top w:w="0" w:type="dxa"/>
              <w:left w:w="105" w:type="dxa"/>
              <w:bottom w:w="0" w:type="dxa"/>
              <w:right w:w="105" w:type="dxa"/>
            </w:tcMar>
            <w:hideMark/>
          </w:tcPr>
          <w:p w14:paraId="3F1B7C49" w14:textId="77777777" w:rsidR="009F22ED" w:rsidRPr="009F22ED" w:rsidRDefault="009F22ED" w:rsidP="009F22ED">
            <w:pPr>
              <w:spacing w:after="0" w:line="240" w:lineRule="auto"/>
              <w:jc w:val="both"/>
              <w:rPr>
                <w:rFonts w:eastAsia="Times New Roman" w:cs="Times New Roman"/>
                <w:color w:val="555555"/>
                <w:szCs w:val="24"/>
                <w:lang w:eastAsia="es-CO"/>
              </w:rPr>
            </w:pPr>
            <w:r w:rsidRPr="009F22ED">
              <w:rPr>
                <w:rFonts w:eastAsia="Times New Roman" w:cs="Times New Roman"/>
                <w:color w:val="555555"/>
                <w:szCs w:val="24"/>
                <w:lang w:eastAsia="es-CO"/>
              </w:rPr>
              <w:t> </w:t>
            </w:r>
          </w:p>
        </w:tc>
        <w:tc>
          <w:tcPr>
            <w:tcW w:w="0" w:type="auto"/>
            <w:shd w:val="clear" w:color="auto" w:fill="FFFFFF"/>
            <w:tcMar>
              <w:top w:w="0" w:type="dxa"/>
              <w:left w:w="105" w:type="dxa"/>
              <w:bottom w:w="0" w:type="dxa"/>
              <w:right w:w="105" w:type="dxa"/>
            </w:tcMar>
            <w:hideMark/>
          </w:tcPr>
          <w:p w14:paraId="1C7BD769" w14:textId="77777777" w:rsidR="009F22ED" w:rsidRPr="009F22ED" w:rsidRDefault="009F22ED" w:rsidP="009F22ED">
            <w:pPr>
              <w:spacing w:after="0" w:line="240" w:lineRule="auto"/>
              <w:jc w:val="both"/>
              <w:rPr>
                <w:rFonts w:eastAsia="Times New Roman" w:cs="Times New Roman"/>
                <w:color w:val="555555"/>
                <w:szCs w:val="24"/>
                <w:lang w:eastAsia="es-CO"/>
              </w:rPr>
            </w:pPr>
            <w:r w:rsidRPr="009F22ED">
              <w:rPr>
                <w:rFonts w:eastAsia="Times New Roman" w:cs="Times New Roman"/>
                <w:color w:val="555555"/>
                <w:szCs w:val="24"/>
                <w:lang w:eastAsia="es-CO"/>
              </w:rPr>
              <w:t>Artículos 131, 137, 140 y 290 del Estatuto Tributario.</w:t>
            </w:r>
          </w:p>
        </w:tc>
      </w:tr>
    </w:tbl>
    <w:p w14:paraId="62CF9193" w14:textId="77777777" w:rsidR="009F22ED" w:rsidRPr="009F22ED" w:rsidRDefault="009F22ED" w:rsidP="009F22ED">
      <w:pPr>
        <w:shd w:val="clear" w:color="auto" w:fill="FFFFFF"/>
        <w:spacing w:after="150" w:line="240" w:lineRule="auto"/>
        <w:jc w:val="both"/>
        <w:rPr>
          <w:rFonts w:eastAsia="Times New Roman" w:cs="Times New Roman"/>
          <w:color w:val="555555"/>
          <w:szCs w:val="24"/>
          <w:lang w:eastAsia="es-CO"/>
        </w:rPr>
      </w:pPr>
      <w:r w:rsidRPr="009F22ED">
        <w:rPr>
          <w:rFonts w:eastAsia="Times New Roman" w:cs="Times New Roman"/>
          <w:color w:val="555555"/>
          <w:szCs w:val="24"/>
          <w:lang w:eastAsia="es-CO"/>
        </w:rPr>
        <w:t> </w:t>
      </w:r>
    </w:p>
    <w:p w14:paraId="5010AE3C" w14:textId="77777777" w:rsidR="009F22ED" w:rsidRPr="009F22ED" w:rsidRDefault="009F22ED" w:rsidP="009F22ED">
      <w:pPr>
        <w:shd w:val="clear" w:color="auto" w:fill="FFFFFF"/>
        <w:spacing w:after="150" w:line="240" w:lineRule="auto"/>
        <w:jc w:val="both"/>
        <w:rPr>
          <w:rFonts w:eastAsia="Times New Roman" w:cs="Times New Roman"/>
          <w:color w:val="555555"/>
          <w:szCs w:val="24"/>
          <w:lang w:eastAsia="es-CO"/>
        </w:rPr>
      </w:pPr>
      <w:r w:rsidRPr="009F22ED">
        <w:rPr>
          <w:rFonts w:eastAsia="Times New Roman" w:cs="Times New Roman"/>
          <w:color w:val="555555"/>
          <w:szCs w:val="24"/>
          <w:lang w:eastAsia="es-CO"/>
        </w:rPr>
        <w:t> </w:t>
      </w:r>
    </w:p>
    <w:p w14:paraId="2AF91AFA" w14:textId="77777777" w:rsidR="009F22ED" w:rsidRPr="009F22ED" w:rsidRDefault="009F22ED" w:rsidP="009F22ED">
      <w:pPr>
        <w:shd w:val="clear" w:color="auto" w:fill="FFFFFF"/>
        <w:spacing w:after="150" w:line="240" w:lineRule="auto"/>
        <w:jc w:val="both"/>
        <w:rPr>
          <w:rFonts w:eastAsia="Times New Roman" w:cs="Times New Roman"/>
          <w:color w:val="555555"/>
          <w:szCs w:val="24"/>
          <w:lang w:eastAsia="es-CO"/>
        </w:rPr>
      </w:pPr>
      <w:r w:rsidRPr="009F22ED">
        <w:rPr>
          <w:rFonts w:eastAsia="Times New Roman" w:cs="Times New Roman"/>
          <w:color w:val="000000"/>
          <w:szCs w:val="24"/>
          <w:lang w:eastAsia="es-CO"/>
        </w:rPr>
        <w:t>Cordial saludo, señora Luisa.</w:t>
      </w:r>
    </w:p>
    <w:p w14:paraId="318CA0DE" w14:textId="77777777" w:rsidR="009F22ED" w:rsidRPr="009F22ED" w:rsidRDefault="009F22ED" w:rsidP="009F22ED">
      <w:pPr>
        <w:shd w:val="clear" w:color="auto" w:fill="FFFFFF"/>
        <w:spacing w:after="150" w:line="240" w:lineRule="auto"/>
        <w:jc w:val="both"/>
        <w:rPr>
          <w:rFonts w:eastAsia="Times New Roman" w:cs="Times New Roman"/>
          <w:color w:val="555555"/>
          <w:szCs w:val="24"/>
          <w:lang w:eastAsia="es-CO"/>
        </w:rPr>
      </w:pPr>
      <w:r w:rsidRPr="009F22ED">
        <w:rPr>
          <w:rFonts w:eastAsia="Times New Roman" w:cs="Times New Roman"/>
          <w:color w:val="555555"/>
          <w:szCs w:val="24"/>
          <w:lang w:eastAsia="es-CO"/>
        </w:rPr>
        <w:t> </w:t>
      </w:r>
    </w:p>
    <w:p w14:paraId="7B043964" w14:textId="77777777" w:rsidR="009F22ED" w:rsidRPr="009F22ED" w:rsidRDefault="009F22ED" w:rsidP="009F22ED">
      <w:pPr>
        <w:shd w:val="clear" w:color="auto" w:fill="FFFFFF"/>
        <w:spacing w:after="150" w:line="240" w:lineRule="auto"/>
        <w:jc w:val="both"/>
        <w:rPr>
          <w:rFonts w:eastAsia="Times New Roman" w:cs="Times New Roman"/>
          <w:color w:val="555555"/>
          <w:szCs w:val="24"/>
          <w:lang w:eastAsia="es-CO"/>
        </w:rPr>
      </w:pPr>
      <w:r w:rsidRPr="009F22ED">
        <w:rPr>
          <w:rFonts w:eastAsia="Times New Roman" w:cs="Times New Roman"/>
          <w:color w:val="000000"/>
          <w:szCs w:val="24"/>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6C1A9BE0" w14:textId="77777777" w:rsidR="009F22ED" w:rsidRPr="009F22ED" w:rsidRDefault="009F22ED" w:rsidP="009F22ED">
      <w:pPr>
        <w:shd w:val="clear" w:color="auto" w:fill="FFFFFF"/>
        <w:spacing w:after="150" w:line="240" w:lineRule="auto"/>
        <w:jc w:val="both"/>
        <w:rPr>
          <w:rFonts w:eastAsia="Times New Roman" w:cs="Times New Roman"/>
          <w:color w:val="555555"/>
          <w:szCs w:val="24"/>
          <w:lang w:eastAsia="es-CO"/>
        </w:rPr>
      </w:pPr>
      <w:r w:rsidRPr="009F22ED">
        <w:rPr>
          <w:rFonts w:eastAsia="Times New Roman" w:cs="Times New Roman"/>
          <w:color w:val="555555"/>
          <w:szCs w:val="24"/>
          <w:lang w:eastAsia="es-CO"/>
        </w:rPr>
        <w:t> </w:t>
      </w:r>
    </w:p>
    <w:p w14:paraId="53DAC59A" w14:textId="77777777" w:rsidR="009F22ED" w:rsidRPr="009F22ED" w:rsidRDefault="009F22ED" w:rsidP="009F22ED">
      <w:pPr>
        <w:shd w:val="clear" w:color="auto" w:fill="FFFFFF"/>
        <w:spacing w:after="150" w:line="240" w:lineRule="auto"/>
        <w:jc w:val="both"/>
        <w:rPr>
          <w:rFonts w:eastAsia="Times New Roman" w:cs="Times New Roman"/>
          <w:color w:val="555555"/>
          <w:szCs w:val="24"/>
          <w:lang w:eastAsia="es-CO"/>
        </w:rPr>
      </w:pPr>
      <w:r w:rsidRPr="009F22ED">
        <w:rPr>
          <w:rFonts w:eastAsia="Times New Roman" w:cs="Times New Roman"/>
          <w:color w:val="000000"/>
          <w:szCs w:val="24"/>
          <w:lang w:eastAsia="es-CO"/>
        </w:rPr>
        <w:t>Mediante el radicado de la referencia y con base en lo dispuesto en el artículo 140 del Estatuto Tributario, la peticionaria pregunta si, en el contexto de los períodos improductivos a los que se vieron sometidas algunas compañías a raíz de la pandemia generada por el COVID-19, es susceptible de depreciación acelerada un activo fijo que durante unos meses del año gravable 2020 no prestó servicio pero en otros – cuando se retomó la actividad productora – se utilizó diariamente por 16 horas o más en el transcurso del mismo año gravable.</w:t>
      </w:r>
    </w:p>
    <w:p w14:paraId="0ADB8E13" w14:textId="77777777" w:rsidR="009F22ED" w:rsidRPr="009F22ED" w:rsidRDefault="009F22ED" w:rsidP="009F22ED">
      <w:pPr>
        <w:shd w:val="clear" w:color="auto" w:fill="FFFFFF"/>
        <w:spacing w:after="150" w:line="240" w:lineRule="auto"/>
        <w:jc w:val="both"/>
        <w:rPr>
          <w:rFonts w:eastAsia="Times New Roman" w:cs="Times New Roman"/>
          <w:color w:val="555555"/>
          <w:szCs w:val="24"/>
          <w:lang w:eastAsia="es-CO"/>
        </w:rPr>
      </w:pPr>
      <w:r w:rsidRPr="009F22ED">
        <w:rPr>
          <w:rFonts w:eastAsia="Times New Roman" w:cs="Times New Roman"/>
          <w:color w:val="555555"/>
          <w:szCs w:val="24"/>
          <w:lang w:eastAsia="es-CO"/>
        </w:rPr>
        <w:t> </w:t>
      </w:r>
    </w:p>
    <w:p w14:paraId="23E61C50" w14:textId="77777777" w:rsidR="009F22ED" w:rsidRPr="009F22ED" w:rsidRDefault="009F22ED" w:rsidP="009F22ED">
      <w:pPr>
        <w:shd w:val="clear" w:color="auto" w:fill="FFFFFF"/>
        <w:spacing w:after="150" w:line="240" w:lineRule="auto"/>
        <w:jc w:val="both"/>
        <w:rPr>
          <w:rFonts w:eastAsia="Times New Roman" w:cs="Times New Roman"/>
          <w:color w:val="555555"/>
          <w:szCs w:val="24"/>
          <w:lang w:eastAsia="es-CO"/>
        </w:rPr>
      </w:pPr>
      <w:r w:rsidRPr="009F22ED">
        <w:rPr>
          <w:rFonts w:eastAsia="Times New Roman" w:cs="Times New Roman"/>
          <w:color w:val="000000"/>
          <w:szCs w:val="24"/>
          <w:lang w:eastAsia="es-CO"/>
        </w:rPr>
        <w:t>Sobre el particular, las consideraciones de este Despacho son las siguientes:</w:t>
      </w:r>
    </w:p>
    <w:p w14:paraId="4DD8DF63" w14:textId="77777777" w:rsidR="009F22ED" w:rsidRPr="009F22ED" w:rsidRDefault="009F22ED" w:rsidP="009F22ED">
      <w:pPr>
        <w:shd w:val="clear" w:color="auto" w:fill="FFFFFF"/>
        <w:spacing w:after="150" w:line="240" w:lineRule="auto"/>
        <w:jc w:val="both"/>
        <w:rPr>
          <w:rFonts w:eastAsia="Times New Roman" w:cs="Times New Roman"/>
          <w:color w:val="555555"/>
          <w:szCs w:val="24"/>
          <w:lang w:eastAsia="es-CO"/>
        </w:rPr>
      </w:pPr>
      <w:r w:rsidRPr="009F22ED">
        <w:rPr>
          <w:rFonts w:eastAsia="Times New Roman" w:cs="Times New Roman"/>
          <w:color w:val="555555"/>
          <w:szCs w:val="24"/>
          <w:lang w:eastAsia="es-CO"/>
        </w:rPr>
        <w:t> </w:t>
      </w:r>
    </w:p>
    <w:p w14:paraId="13FEA6E5" w14:textId="77777777" w:rsidR="009F22ED" w:rsidRPr="009F22ED" w:rsidRDefault="009F22ED" w:rsidP="009F22ED">
      <w:pPr>
        <w:shd w:val="clear" w:color="auto" w:fill="FFFFFF"/>
        <w:spacing w:after="150" w:line="240" w:lineRule="auto"/>
        <w:jc w:val="both"/>
        <w:rPr>
          <w:rFonts w:eastAsia="Times New Roman" w:cs="Times New Roman"/>
          <w:color w:val="555555"/>
          <w:szCs w:val="24"/>
          <w:lang w:eastAsia="es-CO"/>
        </w:rPr>
      </w:pPr>
      <w:r w:rsidRPr="009F22ED">
        <w:rPr>
          <w:rFonts w:eastAsia="Times New Roman" w:cs="Times New Roman"/>
          <w:color w:val="000000"/>
          <w:szCs w:val="24"/>
          <w:lang w:eastAsia="es-CO"/>
        </w:rPr>
        <w:t xml:space="preserve">De acuerdo con lo explicado en el Oficio </w:t>
      </w:r>
      <w:proofErr w:type="spellStart"/>
      <w:r w:rsidRPr="009F22ED">
        <w:rPr>
          <w:rFonts w:eastAsia="Times New Roman" w:cs="Times New Roman"/>
          <w:color w:val="000000"/>
          <w:szCs w:val="24"/>
          <w:lang w:eastAsia="es-CO"/>
        </w:rPr>
        <w:t>N°</w:t>
      </w:r>
      <w:proofErr w:type="spellEnd"/>
      <w:r w:rsidRPr="009F22ED">
        <w:rPr>
          <w:rFonts w:eastAsia="Times New Roman" w:cs="Times New Roman"/>
          <w:color w:val="000000"/>
          <w:szCs w:val="24"/>
          <w:lang w:eastAsia="es-CO"/>
        </w:rPr>
        <w:t xml:space="preserve"> 002217 del 29 de enero de 2019, </w:t>
      </w:r>
      <w:r w:rsidRPr="009F22ED">
        <w:rPr>
          <w:rFonts w:eastAsia="Times New Roman" w:cs="Times New Roman"/>
          <w:i/>
          <w:iCs/>
          <w:color w:val="000000"/>
          <w:szCs w:val="24"/>
          <w:lang w:eastAsia="es-CO"/>
        </w:rPr>
        <w:t>“El Estatuto Tributario establece la posibilidad de efectuar deducciones por depreciación en el Impuesto sobre la Renta causada por el desgaste de bienes tangibles usados en negocios o actividades productoras de renta, en atención de la vida útil de los bienes productores de renta, la obligación de llevar libros de contabilidad, las circunstancias del desgaste que se generen en su utilización y, además, se conserven los respectivos documentos probatorios en que se soporta la depreciación”</w:t>
      </w:r>
      <w:r w:rsidRPr="009F22ED">
        <w:rPr>
          <w:rFonts w:eastAsia="Times New Roman" w:cs="Times New Roman"/>
          <w:color w:val="000000"/>
          <w:szCs w:val="24"/>
          <w:lang w:eastAsia="es-CO"/>
        </w:rPr>
        <w:t>.</w:t>
      </w:r>
    </w:p>
    <w:p w14:paraId="2B554F12" w14:textId="77777777" w:rsidR="009F22ED" w:rsidRPr="009F22ED" w:rsidRDefault="009F22ED" w:rsidP="009F22ED">
      <w:pPr>
        <w:shd w:val="clear" w:color="auto" w:fill="FFFFFF"/>
        <w:spacing w:after="150" w:line="240" w:lineRule="auto"/>
        <w:jc w:val="both"/>
        <w:rPr>
          <w:rFonts w:eastAsia="Times New Roman" w:cs="Times New Roman"/>
          <w:color w:val="555555"/>
          <w:szCs w:val="24"/>
          <w:lang w:eastAsia="es-CO"/>
        </w:rPr>
      </w:pPr>
      <w:r w:rsidRPr="009F22ED">
        <w:rPr>
          <w:rFonts w:eastAsia="Times New Roman" w:cs="Times New Roman"/>
          <w:color w:val="555555"/>
          <w:szCs w:val="24"/>
          <w:lang w:eastAsia="es-CO"/>
        </w:rPr>
        <w:t> </w:t>
      </w:r>
    </w:p>
    <w:p w14:paraId="02C74201" w14:textId="77777777" w:rsidR="009F22ED" w:rsidRPr="009F22ED" w:rsidRDefault="009F22ED" w:rsidP="009F22ED">
      <w:pPr>
        <w:shd w:val="clear" w:color="auto" w:fill="FFFFFF"/>
        <w:spacing w:after="150" w:line="240" w:lineRule="auto"/>
        <w:jc w:val="both"/>
        <w:rPr>
          <w:rFonts w:eastAsia="Times New Roman" w:cs="Times New Roman"/>
          <w:color w:val="555555"/>
          <w:szCs w:val="24"/>
          <w:lang w:eastAsia="es-CO"/>
        </w:rPr>
      </w:pPr>
      <w:r w:rsidRPr="009F22ED">
        <w:rPr>
          <w:rFonts w:eastAsia="Times New Roman" w:cs="Times New Roman"/>
          <w:color w:val="000000"/>
          <w:szCs w:val="24"/>
          <w:lang w:eastAsia="es-CO"/>
        </w:rPr>
        <w:t>En este pronunciamiento igualmente se agregó que, de manera general, </w:t>
      </w:r>
      <w:r w:rsidRPr="009F22ED">
        <w:rPr>
          <w:rFonts w:eastAsia="Times New Roman" w:cs="Times New Roman"/>
          <w:i/>
          <w:iCs/>
          <w:color w:val="000000"/>
          <w:szCs w:val="24"/>
          <w:lang w:eastAsia="es-CO"/>
        </w:rPr>
        <w:t>“la depreciación opera sobre el costo fiscal de los bienes depreciables, menos el valor residual a lo largo de la vida útil”</w:t>
      </w:r>
      <w:r w:rsidRPr="009F22ED">
        <w:rPr>
          <w:rFonts w:eastAsia="Times New Roman" w:cs="Times New Roman"/>
          <w:color w:val="000000"/>
          <w:szCs w:val="24"/>
          <w:lang w:eastAsia="es-CO"/>
        </w:rPr>
        <w:t>, atendiendo lo señalado en el artículo 131 del Estatuto Tributario.</w:t>
      </w:r>
    </w:p>
    <w:p w14:paraId="313BD963" w14:textId="77777777" w:rsidR="009F22ED" w:rsidRPr="009F22ED" w:rsidRDefault="009F22ED" w:rsidP="009F22ED">
      <w:pPr>
        <w:shd w:val="clear" w:color="auto" w:fill="FFFFFF"/>
        <w:spacing w:after="150" w:line="240" w:lineRule="auto"/>
        <w:jc w:val="both"/>
        <w:rPr>
          <w:rFonts w:eastAsia="Times New Roman" w:cs="Times New Roman"/>
          <w:color w:val="555555"/>
          <w:szCs w:val="24"/>
          <w:lang w:eastAsia="es-CO"/>
        </w:rPr>
      </w:pPr>
      <w:r w:rsidRPr="009F22ED">
        <w:rPr>
          <w:rFonts w:eastAsia="Times New Roman" w:cs="Times New Roman"/>
          <w:color w:val="555555"/>
          <w:szCs w:val="24"/>
          <w:lang w:eastAsia="es-CO"/>
        </w:rPr>
        <w:t> </w:t>
      </w:r>
    </w:p>
    <w:p w14:paraId="600F6735" w14:textId="77777777" w:rsidR="009F22ED" w:rsidRPr="009F22ED" w:rsidRDefault="009F22ED" w:rsidP="009F22ED">
      <w:pPr>
        <w:shd w:val="clear" w:color="auto" w:fill="FFFFFF"/>
        <w:spacing w:after="150" w:line="240" w:lineRule="auto"/>
        <w:jc w:val="both"/>
        <w:rPr>
          <w:rFonts w:eastAsia="Times New Roman" w:cs="Times New Roman"/>
          <w:color w:val="555555"/>
          <w:szCs w:val="24"/>
          <w:lang w:eastAsia="es-CO"/>
        </w:rPr>
      </w:pPr>
      <w:r w:rsidRPr="009F22ED">
        <w:rPr>
          <w:rFonts w:eastAsia="Times New Roman" w:cs="Times New Roman"/>
          <w:color w:val="000000"/>
          <w:szCs w:val="24"/>
          <w:lang w:eastAsia="es-CO"/>
        </w:rPr>
        <w:lastRenderedPageBreak/>
        <w:t>Tratándose de la posibilidad de aplicar la depreciación acelerada, el artículo 140 del Estatuto Tributario, modificado por el artículo 83 de la Ley 1819 de 2016, establece:</w:t>
      </w:r>
    </w:p>
    <w:p w14:paraId="49F74E98" w14:textId="77777777" w:rsidR="009F22ED" w:rsidRPr="009F22ED" w:rsidRDefault="009F22ED" w:rsidP="009F22ED">
      <w:pPr>
        <w:shd w:val="clear" w:color="auto" w:fill="FFFFFF"/>
        <w:spacing w:after="150" w:line="240" w:lineRule="auto"/>
        <w:jc w:val="both"/>
        <w:rPr>
          <w:rFonts w:eastAsia="Times New Roman" w:cs="Times New Roman"/>
          <w:color w:val="555555"/>
          <w:szCs w:val="24"/>
          <w:lang w:eastAsia="es-CO"/>
        </w:rPr>
      </w:pPr>
      <w:r w:rsidRPr="009F22ED">
        <w:rPr>
          <w:rFonts w:eastAsia="Times New Roman" w:cs="Times New Roman"/>
          <w:color w:val="555555"/>
          <w:szCs w:val="24"/>
          <w:lang w:eastAsia="es-CO"/>
        </w:rPr>
        <w:t> </w:t>
      </w:r>
    </w:p>
    <w:p w14:paraId="2F8EFE1A" w14:textId="77777777" w:rsidR="009F22ED" w:rsidRPr="009F22ED" w:rsidRDefault="009F22ED" w:rsidP="009F22ED">
      <w:pPr>
        <w:shd w:val="clear" w:color="auto" w:fill="FFFFFF"/>
        <w:spacing w:after="150" w:line="240" w:lineRule="auto"/>
        <w:ind w:left="285"/>
        <w:jc w:val="both"/>
        <w:rPr>
          <w:rFonts w:eastAsia="Times New Roman" w:cs="Times New Roman"/>
          <w:color w:val="555555"/>
          <w:szCs w:val="24"/>
          <w:lang w:eastAsia="es-CO"/>
        </w:rPr>
      </w:pPr>
      <w:r w:rsidRPr="009F22ED">
        <w:rPr>
          <w:rFonts w:eastAsia="Times New Roman" w:cs="Times New Roman"/>
          <w:i/>
          <w:iCs/>
          <w:color w:val="000000"/>
          <w:szCs w:val="24"/>
          <w:lang w:eastAsia="es-CO"/>
        </w:rPr>
        <w:t>“</w:t>
      </w:r>
      <w:r w:rsidRPr="009F22ED">
        <w:rPr>
          <w:rFonts w:eastAsia="Times New Roman" w:cs="Times New Roman"/>
          <w:b/>
          <w:bCs/>
          <w:i/>
          <w:iCs/>
          <w:color w:val="000000"/>
          <w:szCs w:val="24"/>
          <w:lang w:eastAsia="es-CO"/>
        </w:rPr>
        <w:t>Artículo 140.</w:t>
      </w:r>
      <w:r w:rsidRPr="009F22ED">
        <w:rPr>
          <w:rFonts w:eastAsia="Times New Roman" w:cs="Times New Roman"/>
          <w:i/>
          <w:iCs/>
          <w:color w:val="000000"/>
          <w:szCs w:val="24"/>
          <w:lang w:eastAsia="es-CO"/>
        </w:rPr>
        <w:t> Depreciación acelerada para fines fiscales. El contribuyente puede aumentar la alícuota de depreciación determinada en el artículo 137 de este estatuto en un veinticinco por ciento (25%), si el bien depreciable </w:t>
      </w:r>
      <w:r w:rsidRPr="009F22ED">
        <w:rPr>
          <w:rFonts w:eastAsia="Times New Roman" w:cs="Times New Roman"/>
          <w:b/>
          <w:bCs/>
          <w:i/>
          <w:iCs/>
          <w:color w:val="000000"/>
          <w:szCs w:val="24"/>
          <w:lang w:eastAsia="es-CO"/>
        </w:rPr>
        <w:t>se utiliza diariamente por 16 horas y proporcionalmente en fracciones superiores</w:t>
      </w:r>
      <w:r w:rsidRPr="009F22ED">
        <w:rPr>
          <w:rFonts w:eastAsia="Times New Roman" w:cs="Times New Roman"/>
          <w:i/>
          <w:iCs/>
          <w:color w:val="000000"/>
          <w:szCs w:val="24"/>
          <w:lang w:eastAsia="es-CO"/>
        </w:rPr>
        <w:t>, siempre y cuando esto se demuestre.</w:t>
      </w:r>
    </w:p>
    <w:p w14:paraId="1BB6FFF8" w14:textId="77777777" w:rsidR="009F22ED" w:rsidRPr="009F22ED" w:rsidRDefault="009F22ED" w:rsidP="009F22ED">
      <w:pPr>
        <w:shd w:val="clear" w:color="auto" w:fill="FFFFFF"/>
        <w:spacing w:after="150" w:line="240" w:lineRule="auto"/>
        <w:ind w:left="285"/>
        <w:jc w:val="both"/>
        <w:rPr>
          <w:rFonts w:eastAsia="Times New Roman" w:cs="Times New Roman"/>
          <w:color w:val="555555"/>
          <w:szCs w:val="24"/>
          <w:lang w:eastAsia="es-CO"/>
        </w:rPr>
      </w:pPr>
      <w:r w:rsidRPr="009F22ED">
        <w:rPr>
          <w:rFonts w:eastAsia="Times New Roman" w:cs="Times New Roman"/>
          <w:color w:val="555555"/>
          <w:szCs w:val="24"/>
          <w:lang w:eastAsia="es-CO"/>
        </w:rPr>
        <w:t> </w:t>
      </w:r>
    </w:p>
    <w:p w14:paraId="56867C5F" w14:textId="77777777" w:rsidR="009F22ED" w:rsidRPr="009F22ED" w:rsidRDefault="009F22ED" w:rsidP="009F22ED">
      <w:pPr>
        <w:shd w:val="clear" w:color="auto" w:fill="FFFFFF"/>
        <w:spacing w:after="150" w:line="240" w:lineRule="auto"/>
        <w:ind w:left="285"/>
        <w:jc w:val="both"/>
        <w:rPr>
          <w:rFonts w:eastAsia="Times New Roman" w:cs="Times New Roman"/>
          <w:color w:val="555555"/>
          <w:szCs w:val="24"/>
          <w:lang w:eastAsia="es-CO"/>
        </w:rPr>
      </w:pPr>
      <w:r w:rsidRPr="009F22ED">
        <w:rPr>
          <w:rFonts w:eastAsia="Times New Roman" w:cs="Times New Roman"/>
          <w:i/>
          <w:iCs/>
          <w:color w:val="000000"/>
          <w:szCs w:val="24"/>
          <w:lang w:eastAsia="es-CO"/>
        </w:rPr>
        <w:t>El tratamiento aquí previsto no será aplicable respecto de los bienes inmuebles.”</w:t>
      </w:r>
    </w:p>
    <w:p w14:paraId="005E39F5" w14:textId="77777777" w:rsidR="009F22ED" w:rsidRPr="009F22ED" w:rsidRDefault="009F22ED" w:rsidP="009F22ED">
      <w:pPr>
        <w:shd w:val="clear" w:color="auto" w:fill="FFFFFF"/>
        <w:spacing w:after="150" w:line="240" w:lineRule="auto"/>
        <w:ind w:left="285"/>
        <w:jc w:val="both"/>
        <w:rPr>
          <w:rFonts w:eastAsia="Times New Roman" w:cs="Times New Roman"/>
          <w:color w:val="555555"/>
          <w:szCs w:val="24"/>
          <w:lang w:eastAsia="es-CO"/>
        </w:rPr>
      </w:pPr>
      <w:r w:rsidRPr="009F22ED">
        <w:rPr>
          <w:rFonts w:eastAsia="Times New Roman" w:cs="Times New Roman"/>
          <w:color w:val="000000"/>
          <w:szCs w:val="24"/>
          <w:lang w:eastAsia="es-CO"/>
        </w:rPr>
        <w:t>(Resaltado fuera del texto original).</w:t>
      </w:r>
    </w:p>
    <w:p w14:paraId="39E21FA1" w14:textId="77777777" w:rsidR="009F22ED" w:rsidRPr="009F22ED" w:rsidRDefault="009F22ED" w:rsidP="009F22ED">
      <w:pPr>
        <w:shd w:val="clear" w:color="auto" w:fill="FFFFFF"/>
        <w:spacing w:after="150" w:line="240" w:lineRule="auto"/>
        <w:jc w:val="both"/>
        <w:rPr>
          <w:rFonts w:eastAsia="Times New Roman" w:cs="Times New Roman"/>
          <w:color w:val="555555"/>
          <w:szCs w:val="24"/>
          <w:lang w:eastAsia="es-CO"/>
        </w:rPr>
      </w:pPr>
      <w:r w:rsidRPr="009F22ED">
        <w:rPr>
          <w:rFonts w:eastAsia="Times New Roman" w:cs="Times New Roman"/>
          <w:color w:val="555555"/>
          <w:szCs w:val="24"/>
          <w:lang w:eastAsia="es-CO"/>
        </w:rPr>
        <w:t> </w:t>
      </w:r>
    </w:p>
    <w:p w14:paraId="32E44319" w14:textId="77777777" w:rsidR="009F22ED" w:rsidRPr="009F22ED" w:rsidRDefault="009F22ED" w:rsidP="009F22ED">
      <w:pPr>
        <w:shd w:val="clear" w:color="auto" w:fill="FFFFFF"/>
        <w:spacing w:after="150" w:line="240" w:lineRule="auto"/>
        <w:jc w:val="both"/>
        <w:rPr>
          <w:rFonts w:eastAsia="Times New Roman" w:cs="Times New Roman"/>
          <w:color w:val="555555"/>
          <w:szCs w:val="24"/>
          <w:lang w:eastAsia="es-CO"/>
        </w:rPr>
      </w:pPr>
      <w:r w:rsidRPr="009F22ED">
        <w:rPr>
          <w:rFonts w:eastAsia="Times New Roman" w:cs="Times New Roman"/>
          <w:color w:val="000000"/>
          <w:szCs w:val="24"/>
          <w:lang w:eastAsia="es-CO"/>
        </w:rPr>
        <w:t xml:space="preserve">A la par, mediante Oficio </w:t>
      </w:r>
      <w:proofErr w:type="spellStart"/>
      <w:r w:rsidRPr="009F22ED">
        <w:rPr>
          <w:rFonts w:eastAsia="Times New Roman" w:cs="Times New Roman"/>
          <w:color w:val="000000"/>
          <w:szCs w:val="24"/>
          <w:lang w:eastAsia="es-CO"/>
        </w:rPr>
        <w:t>N°</w:t>
      </w:r>
      <w:proofErr w:type="spellEnd"/>
      <w:r w:rsidRPr="009F22ED">
        <w:rPr>
          <w:rFonts w:eastAsia="Times New Roman" w:cs="Times New Roman"/>
          <w:color w:val="000000"/>
          <w:szCs w:val="24"/>
          <w:lang w:eastAsia="es-CO"/>
        </w:rPr>
        <w:t xml:space="preserve"> 008230 del 4 de abril de 2018 se indicó:</w:t>
      </w:r>
    </w:p>
    <w:p w14:paraId="79EEF59D" w14:textId="77777777" w:rsidR="009F22ED" w:rsidRPr="009F22ED" w:rsidRDefault="009F22ED" w:rsidP="009F22ED">
      <w:pPr>
        <w:shd w:val="clear" w:color="auto" w:fill="FFFFFF"/>
        <w:spacing w:after="150" w:line="240" w:lineRule="auto"/>
        <w:jc w:val="both"/>
        <w:rPr>
          <w:rFonts w:eastAsia="Times New Roman" w:cs="Times New Roman"/>
          <w:color w:val="555555"/>
          <w:szCs w:val="24"/>
          <w:lang w:eastAsia="es-CO"/>
        </w:rPr>
      </w:pPr>
      <w:r w:rsidRPr="009F22ED">
        <w:rPr>
          <w:rFonts w:eastAsia="Times New Roman" w:cs="Times New Roman"/>
          <w:color w:val="555555"/>
          <w:szCs w:val="24"/>
          <w:lang w:eastAsia="es-CO"/>
        </w:rPr>
        <w:t> </w:t>
      </w:r>
    </w:p>
    <w:p w14:paraId="5F517893" w14:textId="77777777" w:rsidR="009F22ED" w:rsidRPr="009F22ED" w:rsidRDefault="009F22ED" w:rsidP="009F22ED">
      <w:pPr>
        <w:shd w:val="clear" w:color="auto" w:fill="FFFFFF"/>
        <w:spacing w:after="150" w:line="240" w:lineRule="auto"/>
        <w:ind w:left="285"/>
        <w:jc w:val="both"/>
        <w:rPr>
          <w:rFonts w:eastAsia="Times New Roman" w:cs="Times New Roman"/>
          <w:color w:val="555555"/>
          <w:szCs w:val="24"/>
          <w:lang w:eastAsia="es-CO"/>
        </w:rPr>
      </w:pPr>
      <w:r w:rsidRPr="009F22ED">
        <w:rPr>
          <w:rFonts w:eastAsia="Times New Roman" w:cs="Times New Roman"/>
          <w:i/>
          <w:iCs/>
          <w:color w:val="000000"/>
          <w:szCs w:val="24"/>
          <w:lang w:eastAsia="es-CO"/>
        </w:rPr>
        <w:t>“De lo anterior se tiene que </w:t>
      </w:r>
      <w:r w:rsidRPr="009F22ED">
        <w:rPr>
          <w:rFonts w:eastAsia="Times New Roman" w:cs="Times New Roman"/>
          <w:b/>
          <w:bCs/>
          <w:i/>
          <w:iCs/>
          <w:color w:val="000000"/>
          <w:szCs w:val="24"/>
          <w:lang w:eastAsia="es-CO"/>
        </w:rPr>
        <w:t>la utilización diaria del activo por 16 horas le permite al contribuyente un incremento del 25% de la tasa de depreciación fiscal anual</w:t>
      </w:r>
      <w:r w:rsidRPr="009F22ED">
        <w:rPr>
          <w:rFonts w:eastAsia="Times New Roman" w:cs="Times New Roman"/>
          <w:i/>
          <w:iCs/>
          <w:color w:val="000000"/>
          <w:szCs w:val="24"/>
          <w:lang w:eastAsia="es-CO"/>
        </w:rPr>
        <w:t xml:space="preserve">, por lo </w:t>
      </w:r>
      <w:proofErr w:type="gramStart"/>
      <w:r w:rsidRPr="009F22ED">
        <w:rPr>
          <w:rFonts w:eastAsia="Times New Roman" w:cs="Times New Roman"/>
          <w:i/>
          <w:iCs/>
          <w:color w:val="000000"/>
          <w:szCs w:val="24"/>
          <w:lang w:eastAsia="es-CO"/>
        </w:rPr>
        <w:t>tanto</w:t>
      </w:r>
      <w:proofErr w:type="gramEnd"/>
      <w:r w:rsidRPr="009F22ED">
        <w:rPr>
          <w:rFonts w:eastAsia="Times New Roman" w:cs="Times New Roman"/>
          <w:i/>
          <w:iCs/>
          <w:color w:val="000000"/>
          <w:szCs w:val="24"/>
          <w:lang w:eastAsia="es-CO"/>
        </w:rPr>
        <w:t xml:space="preserve"> en la medida que el activo se utilice </w:t>
      </w:r>
      <w:proofErr w:type="spellStart"/>
      <w:r w:rsidRPr="009F22ED">
        <w:rPr>
          <w:rFonts w:eastAsia="Times New Roman" w:cs="Times New Roman"/>
          <w:i/>
          <w:iCs/>
          <w:color w:val="000000"/>
          <w:szCs w:val="24"/>
          <w:lang w:eastAsia="es-CO"/>
        </w:rPr>
        <w:t>mas</w:t>
      </w:r>
      <w:proofErr w:type="spellEnd"/>
      <w:r w:rsidRPr="009F22ED">
        <w:rPr>
          <w:rFonts w:eastAsia="Times New Roman" w:cs="Times New Roman"/>
          <w:i/>
          <w:iCs/>
          <w:color w:val="000000"/>
          <w:szCs w:val="24"/>
          <w:lang w:eastAsia="es-CO"/>
        </w:rPr>
        <w:t xml:space="preserve"> halla (sic) de las 16 horas hasta llegar al máximo de 24 horas diarias, se tendría que calcular la fracción así:</w:t>
      </w:r>
    </w:p>
    <w:p w14:paraId="538B9903" w14:textId="77777777" w:rsidR="009F22ED" w:rsidRPr="009F22ED" w:rsidRDefault="009F22ED" w:rsidP="009F22ED">
      <w:pPr>
        <w:shd w:val="clear" w:color="auto" w:fill="FFFFFF"/>
        <w:spacing w:after="150" w:line="240" w:lineRule="auto"/>
        <w:ind w:left="285"/>
        <w:jc w:val="both"/>
        <w:rPr>
          <w:rFonts w:eastAsia="Times New Roman" w:cs="Times New Roman"/>
          <w:color w:val="555555"/>
          <w:szCs w:val="24"/>
          <w:lang w:eastAsia="es-CO"/>
        </w:rPr>
      </w:pPr>
      <w:r w:rsidRPr="009F22ED">
        <w:rPr>
          <w:rFonts w:eastAsia="Times New Roman" w:cs="Times New Roman"/>
          <w:color w:val="555555"/>
          <w:szCs w:val="24"/>
          <w:lang w:eastAsia="es-CO"/>
        </w:rPr>
        <w:t> </w:t>
      </w:r>
    </w:p>
    <w:p w14:paraId="2D79DA5D" w14:textId="77777777" w:rsidR="009F22ED" w:rsidRPr="009F22ED" w:rsidRDefault="009F22ED" w:rsidP="009F22ED">
      <w:pPr>
        <w:shd w:val="clear" w:color="auto" w:fill="FFFFFF"/>
        <w:spacing w:after="150" w:line="240" w:lineRule="auto"/>
        <w:ind w:left="285"/>
        <w:jc w:val="center"/>
        <w:rPr>
          <w:rFonts w:eastAsia="Times New Roman" w:cs="Times New Roman"/>
          <w:color w:val="555555"/>
          <w:szCs w:val="24"/>
          <w:lang w:eastAsia="es-CO"/>
        </w:rPr>
      </w:pPr>
      <w:r w:rsidRPr="009F22ED">
        <w:rPr>
          <w:rFonts w:eastAsia="Times New Roman" w:cs="Times New Roman"/>
          <w:i/>
          <w:iCs/>
          <w:color w:val="000000"/>
          <w:szCs w:val="24"/>
          <w:u w:val="single"/>
          <w:lang w:eastAsia="es-CO"/>
        </w:rPr>
        <w:t>(No. De horas utilizadas diariamente * 25%)</w:t>
      </w:r>
    </w:p>
    <w:p w14:paraId="36BAE632" w14:textId="77777777" w:rsidR="009F22ED" w:rsidRPr="009F22ED" w:rsidRDefault="009F22ED" w:rsidP="009F22ED">
      <w:pPr>
        <w:shd w:val="clear" w:color="auto" w:fill="FFFFFF"/>
        <w:spacing w:after="150" w:line="240" w:lineRule="auto"/>
        <w:ind w:left="285"/>
        <w:jc w:val="center"/>
        <w:rPr>
          <w:rFonts w:eastAsia="Times New Roman" w:cs="Times New Roman"/>
          <w:color w:val="555555"/>
          <w:szCs w:val="24"/>
          <w:lang w:eastAsia="es-CO"/>
        </w:rPr>
      </w:pPr>
      <w:r w:rsidRPr="009F22ED">
        <w:rPr>
          <w:rFonts w:eastAsia="Times New Roman" w:cs="Times New Roman"/>
          <w:i/>
          <w:iCs/>
          <w:color w:val="000000"/>
          <w:szCs w:val="24"/>
          <w:lang w:eastAsia="es-CO"/>
        </w:rPr>
        <w:t>16 horas</w:t>
      </w:r>
    </w:p>
    <w:p w14:paraId="3B1DDFC9" w14:textId="77777777" w:rsidR="009F22ED" w:rsidRPr="009F22ED" w:rsidRDefault="009F22ED" w:rsidP="009F22ED">
      <w:pPr>
        <w:shd w:val="clear" w:color="auto" w:fill="FFFFFF"/>
        <w:spacing w:after="150" w:line="240" w:lineRule="auto"/>
        <w:ind w:left="285"/>
        <w:jc w:val="both"/>
        <w:rPr>
          <w:rFonts w:eastAsia="Times New Roman" w:cs="Times New Roman"/>
          <w:color w:val="555555"/>
          <w:szCs w:val="24"/>
          <w:lang w:eastAsia="es-CO"/>
        </w:rPr>
      </w:pPr>
      <w:r w:rsidRPr="009F22ED">
        <w:rPr>
          <w:rFonts w:eastAsia="Times New Roman" w:cs="Times New Roman"/>
          <w:color w:val="555555"/>
          <w:szCs w:val="24"/>
          <w:lang w:eastAsia="es-CO"/>
        </w:rPr>
        <w:t> </w:t>
      </w:r>
    </w:p>
    <w:p w14:paraId="041EF0C6" w14:textId="77777777" w:rsidR="009F22ED" w:rsidRPr="009F22ED" w:rsidRDefault="009F22ED" w:rsidP="009F22ED">
      <w:pPr>
        <w:shd w:val="clear" w:color="auto" w:fill="FFFFFF"/>
        <w:spacing w:after="150" w:line="240" w:lineRule="auto"/>
        <w:ind w:left="285"/>
        <w:jc w:val="both"/>
        <w:rPr>
          <w:rFonts w:eastAsia="Times New Roman" w:cs="Times New Roman"/>
          <w:color w:val="555555"/>
          <w:szCs w:val="24"/>
          <w:lang w:eastAsia="es-CO"/>
        </w:rPr>
      </w:pPr>
      <w:r w:rsidRPr="009F22ED">
        <w:rPr>
          <w:rFonts w:eastAsia="Times New Roman" w:cs="Times New Roman"/>
          <w:i/>
          <w:iCs/>
          <w:color w:val="000000"/>
          <w:szCs w:val="24"/>
          <w:lang w:eastAsia="es-CO"/>
        </w:rPr>
        <w:t>(…)” </w:t>
      </w:r>
      <w:r w:rsidRPr="009F22ED">
        <w:rPr>
          <w:rFonts w:eastAsia="Times New Roman" w:cs="Times New Roman"/>
          <w:color w:val="000000"/>
          <w:szCs w:val="24"/>
          <w:lang w:eastAsia="es-CO"/>
        </w:rPr>
        <w:t>(Resaltado fuera del texto original).</w:t>
      </w:r>
    </w:p>
    <w:p w14:paraId="32078BBC" w14:textId="77777777" w:rsidR="009F22ED" w:rsidRPr="009F22ED" w:rsidRDefault="009F22ED" w:rsidP="009F22ED">
      <w:pPr>
        <w:shd w:val="clear" w:color="auto" w:fill="FFFFFF"/>
        <w:spacing w:after="150" w:line="240" w:lineRule="auto"/>
        <w:jc w:val="both"/>
        <w:rPr>
          <w:rFonts w:eastAsia="Times New Roman" w:cs="Times New Roman"/>
          <w:color w:val="555555"/>
          <w:szCs w:val="24"/>
          <w:lang w:eastAsia="es-CO"/>
        </w:rPr>
      </w:pPr>
      <w:r w:rsidRPr="009F22ED">
        <w:rPr>
          <w:rFonts w:eastAsia="Times New Roman" w:cs="Times New Roman"/>
          <w:color w:val="555555"/>
          <w:szCs w:val="24"/>
          <w:lang w:eastAsia="es-CO"/>
        </w:rPr>
        <w:t> </w:t>
      </w:r>
    </w:p>
    <w:p w14:paraId="668880CA" w14:textId="77777777" w:rsidR="009F22ED" w:rsidRPr="009F22ED" w:rsidRDefault="009F22ED" w:rsidP="009F22ED">
      <w:pPr>
        <w:shd w:val="clear" w:color="auto" w:fill="FFFFFF"/>
        <w:spacing w:after="150" w:line="240" w:lineRule="auto"/>
        <w:jc w:val="both"/>
        <w:rPr>
          <w:rFonts w:eastAsia="Times New Roman" w:cs="Times New Roman"/>
          <w:color w:val="555555"/>
          <w:szCs w:val="24"/>
          <w:lang w:eastAsia="es-CO"/>
        </w:rPr>
      </w:pPr>
      <w:r w:rsidRPr="009F22ED">
        <w:rPr>
          <w:rFonts w:eastAsia="Times New Roman" w:cs="Times New Roman"/>
          <w:color w:val="000000"/>
          <w:szCs w:val="24"/>
          <w:lang w:eastAsia="es-CO"/>
        </w:rPr>
        <w:t>De modo que, la depreciación acelerada parte de una condición y es que el bien depreciable se utilice diariamente por 16 horas o más en el correspondiente año gravable, siempre y cuando se demuestre esta situación.</w:t>
      </w:r>
    </w:p>
    <w:p w14:paraId="1DC1A8E4" w14:textId="77777777" w:rsidR="009F22ED" w:rsidRPr="009F22ED" w:rsidRDefault="009F22ED" w:rsidP="009F22ED">
      <w:pPr>
        <w:shd w:val="clear" w:color="auto" w:fill="FFFFFF"/>
        <w:spacing w:after="150" w:line="240" w:lineRule="auto"/>
        <w:jc w:val="both"/>
        <w:rPr>
          <w:rFonts w:eastAsia="Times New Roman" w:cs="Times New Roman"/>
          <w:color w:val="555555"/>
          <w:szCs w:val="24"/>
          <w:lang w:eastAsia="es-CO"/>
        </w:rPr>
      </w:pPr>
      <w:r w:rsidRPr="009F22ED">
        <w:rPr>
          <w:rFonts w:eastAsia="Times New Roman" w:cs="Times New Roman"/>
          <w:color w:val="555555"/>
          <w:szCs w:val="24"/>
          <w:lang w:eastAsia="es-CO"/>
        </w:rPr>
        <w:t> </w:t>
      </w:r>
    </w:p>
    <w:p w14:paraId="2978EEB3" w14:textId="77777777" w:rsidR="009F22ED" w:rsidRPr="009F22ED" w:rsidRDefault="009F22ED" w:rsidP="009F22ED">
      <w:pPr>
        <w:shd w:val="clear" w:color="auto" w:fill="FFFFFF"/>
        <w:spacing w:after="150" w:line="240" w:lineRule="auto"/>
        <w:jc w:val="both"/>
        <w:rPr>
          <w:rFonts w:eastAsia="Times New Roman" w:cs="Times New Roman"/>
          <w:color w:val="555555"/>
          <w:szCs w:val="24"/>
          <w:lang w:eastAsia="es-CO"/>
        </w:rPr>
      </w:pPr>
      <w:r w:rsidRPr="009F22ED">
        <w:rPr>
          <w:rFonts w:eastAsia="Times New Roman" w:cs="Times New Roman"/>
          <w:color w:val="000000"/>
          <w:szCs w:val="24"/>
          <w:lang w:eastAsia="es-CO"/>
        </w:rPr>
        <w:t>Por lo tanto, en el caso de aquellas compañías con períodos improductivos con motivo de la pandemia generada por el COVID-19, en los cuales no prestaron servicio algunos de sus activos fijos durante unos meses del año gravable 2020, estos no son susceptibles de la depreciación acelerada de que trata el artículo 140 del Estatuto Tributario, ya que precisamente se exige para el efecto la utilización diaria de los mismos por 16 horas o más durante el año gravable, esto con la finalidad de aumentar la correspondiente alícuota de depreciación anual señalada en el artículo 137 </w:t>
      </w:r>
      <w:proofErr w:type="spellStart"/>
      <w:r w:rsidRPr="009F22ED">
        <w:rPr>
          <w:rFonts w:eastAsia="Times New Roman" w:cs="Times New Roman"/>
          <w:i/>
          <w:iCs/>
          <w:color w:val="000000"/>
          <w:szCs w:val="24"/>
          <w:lang w:eastAsia="es-CO"/>
        </w:rPr>
        <w:t>ibídem</w:t>
      </w:r>
      <w:proofErr w:type="spellEnd"/>
      <w:r w:rsidRPr="009F22ED">
        <w:rPr>
          <w:rFonts w:eastAsia="Times New Roman" w:cs="Times New Roman"/>
          <w:color w:val="000000"/>
          <w:szCs w:val="24"/>
          <w:lang w:eastAsia="es-CO"/>
        </w:rPr>
        <w:t>.</w:t>
      </w:r>
    </w:p>
    <w:p w14:paraId="1F6A0187" w14:textId="77777777" w:rsidR="009F22ED" w:rsidRPr="009F22ED" w:rsidRDefault="009F22ED" w:rsidP="009F22ED">
      <w:pPr>
        <w:shd w:val="clear" w:color="auto" w:fill="FFFFFF"/>
        <w:spacing w:after="150" w:line="240" w:lineRule="auto"/>
        <w:jc w:val="both"/>
        <w:rPr>
          <w:rFonts w:eastAsia="Times New Roman" w:cs="Times New Roman"/>
          <w:color w:val="555555"/>
          <w:szCs w:val="24"/>
          <w:lang w:eastAsia="es-CO"/>
        </w:rPr>
      </w:pPr>
      <w:r w:rsidRPr="009F22ED">
        <w:rPr>
          <w:rFonts w:eastAsia="Times New Roman" w:cs="Times New Roman"/>
          <w:color w:val="555555"/>
          <w:szCs w:val="24"/>
          <w:lang w:eastAsia="es-CO"/>
        </w:rPr>
        <w:t> </w:t>
      </w:r>
    </w:p>
    <w:p w14:paraId="40C949DF" w14:textId="77777777" w:rsidR="009F22ED" w:rsidRPr="009F22ED" w:rsidRDefault="009F22ED" w:rsidP="009F22ED">
      <w:pPr>
        <w:shd w:val="clear" w:color="auto" w:fill="FFFFFF"/>
        <w:spacing w:after="150" w:line="240" w:lineRule="auto"/>
        <w:jc w:val="both"/>
        <w:rPr>
          <w:rFonts w:eastAsia="Times New Roman" w:cs="Times New Roman"/>
          <w:color w:val="555555"/>
          <w:szCs w:val="24"/>
          <w:lang w:eastAsia="es-CO"/>
        </w:rPr>
      </w:pPr>
      <w:r w:rsidRPr="009F22ED">
        <w:rPr>
          <w:rFonts w:eastAsia="Times New Roman" w:cs="Times New Roman"/>
          <w:color w:val="000000"/>
          <w:szCs w:val="24"/>
          <w:lang w:eastAsia="es-CO"/>
        </w:rPr>
        <w:t xml:space="preserve">Lo antepuesto, empero, no afecta la deducción por depreciación en los términos del citado artículo 137, ya que los activos fijos en comento prestaron servicio durante una parte del año gravable, tal y como se concluyó en el Oficio </w:t>
      </w:r>
      <w:proofErr w:type="spellStart"/>
      <w:r w:rsidRPr="009F22ED">
        <w:rPr>
          <w:rFonts w:eastAsia="Times New Roman" w:cs="Times New Roman"/>
          <w:color w:val="000000"/>
          <w:szCs w:val="24"/>
          <w:lang w:eastAsia="es-CO"/>
        </w:rPr>
        <w:t>N°</w:t>
      </w:r>
      <w:proofErr w:type="spellEnd"/>
      <w:r w:rsidRPr="009F22ED">
        <w:rPr>
          <w:rFonts w:eastAsia="Times New Roman" w:cs="Times New Roman"/>
          <w:color w:val="000000"/>
          <w:szCs w:val="24"/>
          <w:lang w:eastAsia="es-CO"/>
        </w:rPr>
        <w:t xml:space="preserve"> 905015 del 18 de septiembre de 2020:</w:t>
      </w:r>
    </w:p>
    <w:p w14:paraId="0523C1D6" w14:textId="77777777" w:rsidR="009F22ED" w:rsidRPr="009F22ED" w:rsidRDefault="009F22ED" w:rsidP="009F22ED">
      <w:pPr>
        <w:shd w:val="clear" w:color="auto" w:fill="FFFFFF"/>
        <w:spacing w:after="150" w:line="240" w:lineRule="auto"/>
        <w:jc w:val="both"/>
        <w:rPr>
          <w:rFonts w:eastAsia="Times New Roman" w:cs="Times New Roman"/>
          <w:color w:val="555555"/>
          <w:szCs w:val="24"/>
          <w:lang w:eastAsia="es-CO"/>
        </w:rPr>
      </w:pPr>
      <w:r w:rsidRPr="009F22ED">
        <w:rPr>
          <w:rFonts w:eastAsia="Times New Roman" w:cs="Times New Roman"/>
          <w:color w:val="555555"/>
          <w:szCs w:val="24"/>
          <w:lang w:eastAsia="es-CO"/>
        </w:rPr>
        <w:t> </w:t>
      </w:r>
    </w:p>
    <w:p w14:paraId="47CFEFB4" w14:textId="77777777" w:rsidR="009F22ED" w:rsidRPr="009F22ED" w:rsidRDefault="009F22ED" w:rsidP="009F22ED">
      <w:pPr>
        <w:shd w:val="clear" w:color="auto" w:fill="FFFFFF"/>
        <w:spacing w:after="150" w:line="240" w:lineRule="auto"/>
        <w:ind w:left="285"/>
        <w:jc w:val="both"/>
        <w:rPr>
          <w:rFonts w:eastAsia="Times New Roman" w:cs="Times New Roman"/>
          <w:color w:val="555555"/>
          <w:szCs w:val="24"/>
          <w:lang w:eastAsia="es-CO"/>
        </w:rPr>
      </w:pPr>
      <w:r w:rsidRPr="009F22ED">
        <w:rPr>
          <w:rFonts w:eastAsia="Times New Roman" w:cs="Times New Roman"/>
          <w:i/>
          <w:iCs/>
          <w:color w:val="000000"/>
          <w:szCs w:val="24"/>
          <w:lang w:eastAsia="es-CO"/>
        </w:rPr>
        <w:t>“(…) para efectos de la procedencia de la deducción por depreciación, se exige que el activo haya prestado servicio en el año gravable</w:t>
      </w:r>
      <w:r w:rsidRPr="009F22ED">
        <w:rPr>
          <w:rFonts w:eastAsia="Times New Roman" w:cs="Times New Roman"/>
          <w:i/>
          <w:iCs/>
          <w:color w:val="000000"/>
          <w:szCs w:val="24"/>
          <w:u w:val="single"/>
          <w:lang w:eastAsia="es-CO"/>
        </w:rPr>
        <w:t xml:space="preserve">, ya sea durante parte o totalidad </w:t>
      </w:r>
      <w:proofErr w:type="gramStart"/>
      <w:r w:rsidRPr="009F22ED">
        <w:rPr>
          <w:rFonts w:eastAsia="Times New Roman" w:cs="Times New Roman"/>
          <w:i/>
          <w:iCs/>
          <w:color w:val="000000"/>
          <w:szCs w:val="24"/>
          <w:u w:val="single"/>
          <w:lang w:eastAsia="es-CO"/>
        </w:rPr>
        <w:t>del mismo</w:t>
      </w:r>
      <w:proofErr w:type="gramEnd"/>
      <w:r w:rsidRPr="009F22ED">
        <w:rPr>
          <w:rFonts w:eastAsia="Times New Roman" w:cs="Times New Roman"/>
          <w:i/>
          <w:iCs/>
          <w:color w:val="000000"/>
          <w:szCs w:val="24"/>
          <w:u w:val="single"/>
          <w:lang w:eastAsia="es-CO"/>
        </w:rPr>
        <w:t>, siempre y cuando el método de depreciación utilizado no esté condicionado a su uso o contenga cualquier otra limitación al respecto</w:t>
      </w:r>
      <w:r w:rsidRPr="009F22ED">
        <w:rPr>
          <w:rFonts w:eastAsia="Times New Roman" w:cs="Times New Roman"/>
          <w:i/>
          <w:iCs/>
          <w:color w:val="000000"/>
          <w:szCs w:val="24"/>
          <w:lang w:eastAsia="es-CO"/>
        </w:rPr>
        <w:t>. Asimismo, la tasa por depreciación debe ser la establecida de conformidad con la técnica contable sin que se superen las tasas máximas de que trata el artículo 137 del Estatuto Tributario.” </w:t>
      </w:r>
      <w:r w:rsidRPr="009F22ED">
        <w:rPr>
          <w:rFonts w:eastAsia="Times New Roman" w:cs="Times New Roman"/>
          <w:color w:val="000000"/>
          <w:szCs w:val="24"/>
          <w:lang w:eastAsia="es-CO"/>
        </w:rPr>
        <w:t>(Subrayado fuera del texto original).</w:t>
      </w:r>
    </w:p>
    <w:p w14:paraId="0F2BB8BE" w14:textId="77777777" w:rsidR="009F22ED" w:rsidRPr="009F22ED" w:rsidRDefault="009F22ED" w:rsidP="009F22ED">
      <w:pPr>
        <w:shd w:val="clear" w:color="auto" w:fill="FFFFFF"/>
        <w:spacing w:after="150" w:line="240" w:lineRule="auto"/>
        <w:jc w:val="both"/>
        <w:rPr>
          <w:rFonts w:eastAsia="Times New Roman" w:cs="Times New Roman"/>
          <w:color w:val="555555"/>
          <w:szCs w:val="24"/>
          <w:lang w:eastAsia="es-CO"/>
        </w:rPr>
      </w:pPr>
      <w:r w:rsidRPr="009F22ED">
        <w:rPr>
          <w:rFonts w:eastAsia="Times New Roman" w:cs="Times New Roman"/>
          <w:color w:val="555555"/>
          <w:szCs w:val="24"/>
          <w:lang w:eastAsia="es-CO"/>
        </w:rPr>
        <w:t> </w:t>
      </w:r>
    </w:p>
    <w:p w14:paraId="1B5AF72A" w14:textId="77777777" w:rsidR="009F22ED" w:rsidRPr="009F22ED" w:rsidRDefault="009F22ED" w:rsidP="009F22ED">
      <w:pPr>
        <w:shd w:val="clear" w:color="auto" w:fill="FFFFFF"/>
        <w:spacing w:after="150" w:line="240" w:lineRule="auto"/>
        <w:jc w:val="both"/>
        <w:rPr>
          <w:rFonts w:eastAsia="Times New Roman" w:cs="Times New Roman"/>
          <w:color w:val="555555"/>
          <w:szCs w:val="24"/>
          <w:lang w:eastAsia="es-CO"/>
        </w:rPr>
      </w:pPr>
      <w:r w:rsidRPr="009F22ED">
        <w:rPr>
          <w:rFonts w:eastAsia="Times New Roman" w:cs="Times New Roman"/>
          <w:color w:val="000000"/>
          <w:szCs w:val="24"/>
          <w:lang w:eastAsia="es-CO"/>
        </w:rPr>
        <w:lastRenderedPageBreak/>
        <w:t>Por último, este pronunciamiento debe entenderse sin perjuicio de lo señalado en el numeral 2 del artículo 290 del Estatuto Tributario en relación con el saldo pendiente de depreciación de los activos fijos a 31 de diciembre de 2016.</w:t>
      </w:r>
    </w:p>
    <w:p w14:paraId="0BC8CB32" w14:textId="77777777" w:rsidR="009F22ED" w:rsidRPr="009F22ED" w:rsidRDefault="009F22ED" w:rsidP="009F22ED">
      <w:pPr>
        <w:shd w:val="clear" w:color="auto" w:fill="FFFFFF"/>
        <w:spacing w:after="150" w:line="240" w:lineRule="auto"/>
        <w:jc w:val="both"/>
        <w:rPr>
          <w:rFonts w:eastAsia="Times New Roman" w:cs="Times New Roman"/>
          <w:color w:val="555555"/>
          <w:szCs w:val="24"/>
          <w:lang w:eastAsia="es-CO"/>
        </w:rPr>
      </w:pPr>
      <w:r w:rsidRPr="009F22ED">
        <w:rPr>
          <w:rFonts w:eastAsia="Times New Roman" w:cs="Times New Roman"/>
          <w:color w:val="555555"/>
          <w:szCs w:val="24"/>
          <w:lang w:eastAsia="es-CO"/>
        </w:rPr>
        <w:t> </w:t>
      </w:r>
    </w:p>
    <w:p w14:paraId="489CBB84" w14:textId="77777777" w:rsidR="009F22ED" w:rsidRPr="009F22ED" w:rsidRDefault="009F22ED" w:rsidP="009F22ED">
      <w:pPr>
        <w:shd w:val="clear" w:color="auto" w:fill="FFFFFF"/>
        <w:spacing w:after="150" w:line="240" w:lineRule="auto"/>
        <w:jc w:val="both"/>
        <w:rPr>
          <w:rFonts w:eastAsia="Times New Roman" w:cs="Times New Roman"/>
          <w:color w:val="555555"/>
          <w:szCs w:val="24"/>
          <w:lang w:eastAsia="es-CO"/>
        </w:rPr>
      </w:pPr>
      <w:r w:rsidRPr="009F22ED">
        <w:rPr>
          <w:rFonts w:eastAsia="Times New Roman" w:cs="Times New Roman"/>
          <w:color w:val="000000"/>
          <w:szCs w:val="24"/>
          <w:lang w:eastAsia="es-CO"/>
        </w:rPr>
        <w:t>Atentamente,</w:t>
      </w:r>
    </w:p>
    <w:p w14:paraId="3FD29A29" w14:textId="77777777" w:rsidR="009F22ED" w:rsidRPr="009F22ED" w:rsidRDefault="009F22ED" w:rsidP="009F22ED">
      <w:pPr>
        <w:shd w:val="clear" w:color="auto" w:fill="FFFFFF"/>
        <w:spacing w:after="150" w:line="240" w:lineRule="auto"/>
        <w:jc w:val="both"/>
        <w:rPr>
          <w:rFonts w:eastAsia="Times New Roman" w:cs="Times New Roman"/>
          <w:color w:val="555555"/>
          <w:szCs w:val="24"/>
          <w:lang w:eastAsia="es-CO"/>
        </w:rPr>
      </w:pPr>
      <w:r w:rsidRPr="009F22ED">
        <w:rPr>
          <w:rFonts w:eastAsia="Times New Roman" w:cs="Times New Roman"/>
          <w:color w:val="555555"/>
          <w:szCs w:val="24"/>
          <w:lang w:eastAsia="es-CO"/>
        </w:rPr>
        <w:t> </w:t>
      </w:r>
    </w:p>
    <w:p w14:paraId="0D70DD41" w14:textId="77777777" w:rsidR="009F22ED" w:rsidRPr="009F22ED" w:rsidRDefault="009F22ED" w:rsidP="009F22ED">
      <w:pPr>
        <w:shd w:val="clear" w:color="auto" w:fill="FFFFFF"/>
        <w:spacing w:after="150" w:line="240" w:lineRule="auto"/>
        <w:jc w:val="both"/>
        <w:rPr>
          <w:rFonts w:eastAsia="Times New Roman" w:cs="Times New Roman"/>
          <w:color w:val="555555"/>
          <w:szCs w:val="24"/>
          <w:lang w:eastAsia="es-CO"/>
        </w:rPr>
      </w:pPr>
      <w:r w:rsidRPr="009F22ED">
        <w:rPr>
          <w:rFonts w:eastAsia="Times New Roman" w:cs="Times New Roman"/>
          <w:color w:val="555555"/>
          <w:szCs w:val="24"/>
          <w:lang w:eastAsia="es-CO"/>
        </w:rPr>
        <w:t> </w:t>
      </w:r>
    </w:p>
    <w:p w14:paraId="3DE4CF98" w14:textId="77777777" w:rsidR="009F22ED" w:rsidRPr="009F22ED" w:rsidRDefault="009F22ED" w:rsidP="009F22ED">
      <w:pPr>
        <w:shd w:val="clear" w:color="auto" w:fill="FFFFFF"/>
        <w:spacing w:after="150" w:line="240" w:lineRule="auto"/>
        <w:jc w:val="both"/>
        <w:rPr>
          <w:rFonts w:eastAsia="Times New Roman" w:cs="Times New Roman"/>
          <w:color w:val="555555"/>
          <w:szCs w:val="24"/>
          <w:lang w:eastAsia="es-CO"/>
        </w:rPr>
      </w:pPr>
      <w:r w:rsidRPr="009F22ED">
        <w:rPr>
          <w:rFonts w:eastAsia="Times New Roman" w:cs="Times New Roman"/>
          <w:b/>
          <w:bCs/>
          <w:color w:val="000000"/>
          <w:szCs w:val="24"/>
          <w:lang w:eastAsia="es-CO"/>
        </w:rPr>
        <w:t>PABLO EMILIO MENDOZA VELILLA</w:t>
      </w:r>
    </w:p>
    <w:p w14:paraId="0DFCD0EA" w14:textId="77777777" w:rsidR="009F22ED" w:rsidRPr="009F22ED" w:rsidRDefault="009F22ED" w:rsidP="009F22ED">
      <w:pPr>
        <w:shd w:val="clear" w:color="auto" w:fill="FFFFFF"/>
        <w:spacing w:after="150" w:line="240" w:lineRule="auto"/>
        <w:jc w:val="both"/>
        <w:rPr>
          <w:rFonts w:eastAsia="Times New Roman" w:cs="Times New Roman"/>
          <w:color w:val="555555"/>
          <w:szCs w:val="24"/>
          <w:lang w:eastAsia="es-CO"/>
        </w:rPr>
      </w:pPr>
      <w:r w:rsidRPr="009F22ED">
        <w:rPr>
          <w:rFonts w:eastAsia="Times New Roman" w:cs="Times New Roman"/>
          <w:color w:val="000000"/>
          <w:szCs w:val="24"/>
          <w:lang w:eastAsia="es-CO"/>
        </w:rPr>
        <w:t>Subdirector de Gestión Normativa y Doctrina</w:t>
      </w:r>
    </w:p>
    <w:p w14:paraId="36E75A8E" w14:textId="77777777" w:rsidR="009F22ED" w:rsidRPr="009F22ED" w:rsidRDefault="009F22ED" w:rsidP="009F22ED">
      <w:pPr>
        <w:shd w:val="clear" w:color="auto" w:fill="FFFFFF"/>
        <w:spacing w:after="150" w:line="240" w:lineRule="auto"/>
        <w:jc w:val="both"/>
        <w:rPr>
          <w:rFonts w:eastAsia="Times New Roman" w:cs="Times New Roman"/>
          <w:color w:val="555555"/>
          <w:szCs w:val="24"/>
          <w:lang w:eastAsia="es-CO"/>
        </w:rPr>
      </w:pPr>
      <w:r w:rsidRPr="009F22ED">
        <w:rPr>
          <w:rFonts w:eastAsia="Times New Roman" w:cs="Times New Roman"/>
          <w:color w:val="000000"/>
          <w:szCs w:val="24"/>
          <w:lang w:eastAsia="es-CO"/>
        </w:rPr>
        <w:t>Dirección de Gestión Jurídica</w:t>
      </w:r>
    </w:p>
    <w:p w14:paraId="6489C03E" w14:textId="77777777" w:rsidR="009F22ED" w:rsidRPr="009F22ED" w:rsidRDefault="009F22ED" w:rsidP="009F22ED">
      <w:pPr>
        <w:shd w:val="clear" w:color="auto" w:fill="FFFFFF"/>
        <w:spacing w:after="0" w:line="240" w:lineRule="auto"/>
        <w:jc w:val="both"/>
        <w:rPr>
          <w:rFonts w:eastAsia="Times New Roman" w:cs="Times New Roman"/>
          <w:color w:val="555555"/>
          <w:szCs w:val="24"/>
          <w:lang w:eastAsia="es-CO"/>
        </w:rPr>
      </w:pPr>
      <w:r w:rsidRPr="009F22ED">
        <w:rPr>
          <w:rFonts w:eastAsia="Times New Roman" w:cs="Times New Roman"/>
          <w:color w:val="000000"/>
          <w:szCs w:val="24"/>
          <w:lang w:eastAsia="es-CO"/>
        </w:rPr>
        <w:t>UAE-Dirección de Impuestos y Aduanas Nacionales</w:t>
      </w:r>
    </w:p>
    <w:p w14:paraId="4B50E11A" w14:textId="77777777" w:rsidR="007F5CC8" w:rsidRPr="009F22ED" w:rsidRDefault="007F5CC8">
      <w:pPr>
        <w:rPr>
          <w:rFonts w:cs="Times New Roman"/>
          <w:szCs w:val="24"/>
        </w:rPr>
      </w:pPr>
    </w:p>
    <w:sectPr w:rsidR="007F5CC8" w:rsidRPr="009F22ED"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2ED"/>
    <w:rsid w:val="000F3837"/>
    <w:rsid w:val="001E311E"/>
    <w:rsid w:val="00434AE6"/>
    <w:rsid w:val="007F5CC8"/>
    <w:rsid w:val="008779BE"/>
    <w:rsid w:val="009F22ED"/>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4625E"/>
  <w15:chartTrackingRefBased/>
  <w15:docId w15:val="{A136920F-83B2-4A41-AA8B-956D4E8F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84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854</Words>
  <Characters>4699</Characters>
  <Application>Microsoft Office Word</Application>
  <DocSecurity>0</DocSecurity>
  <Lines>39</Lines>
  <Paragraphs>11</Paragraphs>
  <ScaleCrop>false</ScaleCrop>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2021-05-19T23:36:00Z</dcterms:created>
  <dcterms:modified xsi:type="dcterms:W3CDTF">2021-05-19T23:45:00Z</dcterms:modified>
</cp:coreProperties>
</file>