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3CD5" w14:textId="77777777" w:rsidR="00DD1EEF" w:rsidRPr="00DD1EEF" w:rsidRDefault="00DD1EEF" w:rsidP="00DD1EEF">
      <w:pPr>
        <w:spacing w:after="0" w:line="240" w:lineRule="auto"/>
        <w:jc w:val="center"/>
        <w:rPr>
          <w:rFonts w:ascii="Arial" w:eastAsia="Times New Roman" w:hAnsi="Arial" w:cs="Arial"/>
          <w:color w:val="000000"/>
          <w:sz w:val="18"/>
          <w:szCs w:val="18"/>
          <w:lang w:eastAsia="es-CO"/>
        </w:rPr>
      </w:pPr>
      <w:r w:rsidRPr="00DD1EEF">
        <w:rPr>
          <w:rFonts w:ascii="Segoe UI" w:eastAsia="Times New Roman" w:hAnsi="Segoe UI" w:cs="Segoe UI"/>
          <w:b/>
          <w:bCs/>
          <w:color w:val="0000FF"/>
          <w:sz w:val="28"/>
          <w:szCs w:val="28"/>
          <w:lang w:eastAsia="es-CO"/>
        </w:rPr>
        <w:t>OFICIO N 0451 [902470]</w:t>
      </w:r>
    </w:p>
    <w:p w14:paraId="51568920" w14:textId="77777777" w:rsidR="00DD1EEF" w:rsidRPr="00DD1EEF" w:rsidRDefault="00DD1EEF" w:rsidP="00DD1EEF">
      <w:pPr>
        <w:spacing w:after="0" w:line="240" w:lineRule="auto"/>
        <w:jc w:val="center"/>
        <w:rPr>
          <w:rFonts w:ascii="Arial" w:eastAsia="Times New Roman" w:hAnsi="Arial" w:cs="Arial"/>
          <w:color w:val="000000"/>
          <w:sz w:val="18"/>
          <w:szCs w:val="18"/>
          <w:lang w:eastAsia="es-CO"/>
        </w:rPr>
      </w:pPr>
      <w:r w:rsidRPr="00DD1EEF">
        <w:rPr>
          <w:rFonts w:ascii="Segoe UI" w:eastAsia="Times New Roman" w:hAnsi="Segoe UI" w:cs="Segoe UI"/>
          <w:b/>
          <w:bCs/>
          <w:color w:val="0000FF"/>
          <w:sz w:val="28"/>
          <w:szCs w:val="28"/>
          <w:lang w:eastAsia="es-CO"/>
        </w:rPr>
        <w:t>24-03-2021</w:t>
      </w:r>
    </w:p>
    <w:p w14:paraId="7FD770FB" w14:textId="77777777" w:rsidR="00DD1EEF" w:rsidRPr="00DD1EEF" w:rsidRDefault="00DD1EEF" w:rsidP="00DD1EEF">
      <w:pPr>
        <w:spacing w:after="0" w:line="240" w:lineRule="auto"/>
        <w:jc w:val="center"/>
        <w:rPr>
          <w:rFonts w:ascii="Arial" w:eastAsia="Times New Roman" w:hAnsi="Arial" w:cs="Arial"/>
          <w:color w:val="000000"/>
          <w:sz w:val="18"/>
          <w:szCs w:val="18"/>
          <w:lang w:eastAsia="es-CO"/>
        </w:rPr>
      </w:pPr>
      <w:r w:rsidRPr="00DD1EEF">
        <w:rPr>
          <w:rFonts w:ascii="Segoe UI" w:eastAsia="Times New Roman" w:hAnsi="Segoe UI" w:cs="Segoe UI"/>
          <w:b/>
          <w:bCs/>
          <w:color w:val="0000FF"/>
          <w:sz w:val="28"/>
          <w:szCs w:val="28"/>
          <w:lang w:eastAsia="es-CO"/>
        </w:rPr>
        <w:t>DIAN</w:t>
      </w:r>
    </w:p>
    <w:p w14:paraId="07163DA8"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7B47FBDE"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13966970"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Subdirección de Gestión Normativa y Doctrina</w:t>
      </w:r>
    </w:p>
    <w:p w14:paraId="0C57B5D9"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100208221-0451</w:t>
      </w:r>
    </w:p>
    <w:p w14:paraId="1BE7F63D"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Bogotá, D.C.</w:t>
      </w:r>
    </w:p>
    <w:p w14:paraId="2CDE42AD"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619"/>
      </w:tblGrid>
      <w:tr w:rsidR="00DD1EEF" w:rsidRPr="00DD1EEF" w14:paraId="23C2CAA1" w14:textId="77777777" w:rsidTr="00DD1EEF">
        <w:tc>
          <w:tcPr>
            <w:tcW w:w="1822" w:type="dxa"/>
            <w:tcBorders>
              <w:top w:val="nil"/>
              <w:left w:val="nil"/>
              <w:bottom w:val="nil"/>
              <w:right w:val="nil"/>
            </w:tcBorders>
            <w:shd w:val="clear" w:color="auto" w:fill="auto"/>
            <w:tcMar>
              <w:top w:w="0" w:type="dxa"/>
              <w:left w:w="108" w:type="dxa"/>
              <w:bottom w:w="0" w:type="dxa"/>
              <w:right w:w="108" w:type="dxa"/>
            </w:tcMar>
            <w:hideMark/>
          </w:tcPr>
          <w:p w14:paraId="65B0A962"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55EF9D4"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 </w:t>
            </w:r>
          </w:p>
        </w:tc>
        <w:tc>
          <w:tcPr>
            <w:tcW w:w="222" w:type="dxa"/>
            <w:tcBorders>
              <w:top w:val="nil"/>
              <w:left w:val="nil"/>
              <w:bottom w:val="nil"/>
              <w:right w:val="nil"/>
            </w:tcBorders>
            <w:shd w:val="clear" w:color="auto" w:fill="auto"/>
            <w:tcMar>
              <w:top w:w="0" w:type="dxa"/>
              <w:left w:w="108" w:type="dxa"/>
              <w:bottom w:w="0" w:type="dxa"/>
              <w:right w:w="108" w:type="dxa"/>
            </w:tcMar>
            <w:hideMark/>
          </w:tcPr>
          <w:p w14:paraId="67A32310"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 </w:t>
            </w:r>
          </w:p>
        </w:tc>
        <w:tc>
          <w:tcPr>
            <w:tcW w:w="5619" w:type="dxa"/>
            <w:tcBorders>
              <w:top w:val="nil"/>
              <w:left w:val="nil"/>
              <w:bottom w:val="nil"/>
              <w:right w:val="nil"/>
            </w:tcBorders>
            <w:shd w:val="clear" w:color="auto" w:fill="auto"/>
            <w:tcMar>
              <w:top w:w="0" w:type="dxa"/>
              <w:left w:w="108" w:type="dxa"/>
              <w:bottom w:w="0" w:type="dxa"/>
              <w:right w:w="108" w:type="dxa"/>
            </w:tcMar>
            <w:hideMark/>
          </w:tcPr>
          <w:p w14:paraId="78850FF9"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Cambiario</w:t>
            </w:r>
          </w:p>
        </w:tc>
      </w:tr>
      <w:tr w:rsidR="00DD1EEF" w:rsidRPr="00DD1EEF" w14:paraId="36D19F16" w14:textId="77777777" w:rsidTr="00DD1EEF">
        <w:tc>
          <w:tcPr>
            <w:tcW w:w="1822" w:type="dxa"/>
            <w:tcBorders>
              <w:top w:val="nil"/>
              <w:left w:val="nil"/>
              <w:bottom w:val="nil"/>
              <w:right w:val="nil"/>
            </w:tcBorders>
            <w:shd w:val="clear" w:color="auto" w:fill="auto"/>
            <w:tcMar>
              <w:top w:w="0" w:type="dxa"/>
              <w:left w:w="108" w:type="dxa"/>
              <w:bottom w:w="0" w:type="dxa"/>
              <w:right w:w="108" w:type="dxa"/>
            </w:tcMar>
            <w:hideMark/>
          </w:tcPr>
          <w:p w14:paraId="02E4500B"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BDF6967"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 </w:t>
            </w:r>
          </w:p>
        </w:tc>
        <w:tc>
          <w:tcPr>
            <w:tcW w:w="222" w:type="dxa"/>
            <w:tcBorders>
              <w:top w:val="nil"/>
              <w:left w:val="nil"/>
              <w:bottom w:val="nil"/>
              <w:right w:val="nil"/>
            </w:tcBorders>
            <w:shd w:val="clear" w:color="auto" w:fill="auto"/>
            <w:tcMar>
              <w:top w:w="0" w:type="dxa"/>
              <w:left w:w="108" w:type="dxa"/>
              <w:bottom w:w="0" w:type="dxa"/>
              <w:right w:w="108" w:type="dxa"/>
            </w:tcMar>
            <w:hideMark/>
          </w:tcPr>
          <w:p w14:paraId="14DB38C3"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 </w:t>
            </w:r>
          </w:p>
        </w:tc>
        <w:tc>
          <w:tcPr>
            <w:tcW w:w="5619" w:type="dxa"/>
            <w:tcBorders>
              <w:top w:val="nil"/>
              <w:left w:val="nil"/>
              <w:bottom w:val="nil"/>
              <w:right w:val="nil"/>
            </w:tcBorders>
            <w:shd w:val="clear" w:color="auto" w:fill="auto"/>
            <w:tcMar>
              <w:top w:w="0" w:type="dxa"/>
              <w:left w:w="108" w:type="dxa"/>
              <w:bottom w:w="0" w:type="dxa"/>
              <w:right w:w="108" w:type="dxa"/>
            </w:tcMar>
            <w:hideMark/>
          </w:tcPr>
          <w:p w14:paraId="391D5EFB"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Sociedades de Comercialización Internacional – Objeto Social</w:t>
            </w:r>
          </w:p>
        </w:tc>
      </w:tr>
      <w:tr w:rsidR="00DD1EEF" w:rsidRPr="00DD1EEF" w14:paraId="18F41B1A" w14:textId="77777777" w:rsidTr="00DD1EEF">
        <w:tc>
          <w:tcPr>
            <w:tcW w:w="1822" w:type="dxa"/>
            <w:tcBorders>
              <w:top w:val="nil"/>
              <w:left w:val="nil"/>
              <w:bottom w:val="nil"/>
              <w:right w:val="nil"/>
            </w:tcBorders>
            <w:shd w:val="clear" w:color="auto" w:fill="auto"/>
            <w:tcMar>
              <w:top w:w="0" w:type="dxa"/>
              <w:left w:w="108" w:type="dxa"/>
              <w:bottom w:w="0" w:type="dxa"/>
              <w:right w:w="108" w:type="dxa"/>
            </w:tcMar>
            <w:hideMark/>
          </w:tcPr>
          <w:p w14:paraId="22D0CD56"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F621484"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 </w:t>
            </w:r>
          </w:p>
        </w:tc>
        <w:tc>
          <w:tcPr>
            <w:tcW w:w="222" w:type="dxa"/>
            <w:tcBorders>
              <w:top w:val="nil"/>
              <w:left w:val="nil"/>
              <w:bottom w:val="nil"/>
              <w:right w:val="nil"/>
            </w:tcBorders>
            <w:shd w:val="clear" w:color="auto" w:fill="auto"/>
            <w:tcMar>
              <w:top w:w="0" w:type="dxa"/>
              <w:left w:w="108" w:type="dxa"/>
              <w:bottom w:w="0" w:type="dxa"/>
              <w:right w:w="108" w:type="dxa"/>
            </w:tcMar>
            <w:hideMark/>
          </w:tcPr>
          <w:p w14:paraId="30B9CF3D"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 </w:t>
            </w:r>
          </w:p>
        </w:tc>
        <w:tc>
          <w:tcPr>
            <w:tcW w:w="5619" w:type="dxa"/>
            <w:tcBorders>
              <w:top w:val="nil"/>
              <w:left w:val="nil"/>
              <w:bottom w:val="nil"/>
              <w:right w:val="nil"/>
            </w:tcBorders>
            <w:shd w:val="clear" w:color="auto" w:fill="auto"/>
            <w:tcMar>
              <w:top w:w="0" w:type="dxa"/>
              <w:left w:w="108" w:type="dxa"/>
              <w:bottom w:w="0" w:type="dxa"/>
              <w:right w:w="108" w:type="dxa"/>
            </w:tcMar>
            <w:hideMark/>
          </w:tcPr>
          <w:p w14:paraId="63503558"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Capítulo 5° del Título 2° del Decreto 1165 de 2019.</w:t>
            </w:r>
          </w:p>
          <w:p w14:paraId="171B572C"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Capítulo 4° del Título 4° de la Resolución 046 de 2019.</w:t>
            </w:r>
          </w:p>
          <w:p w14:paraId="0EEC0389"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Capítulo 4° de la Circular Reglamentaria Externa DCIN 83.</w:t>
            </w:r>
          </w:p>
          <w:p w14:paraId="0F505C5D" w14:textId="77777777" w:rsidR="00DD1EEF" w:rsidRPr="00DD1EEF" w:rsidRDefault="00DD1EEF" w:rsidP="00DD1EEF">
            <w:pPr>
              <w:spacing w:after="0" w:line="240" w:lineRule="auto"/>
              <w:jc w:val="both"/>
              <w:rPr>
                <w:rFonts w:ascii="Arial" w:eastAsia="Times New Roman" w:hAnsi="Arial" w:cs="Arial"/>
                <w:szCs w:val="24"/>
                <w:lang w:eastAsia="es-CO"/>
              </w:rPr>
            </w:pPr>
            <w:r w:rsidRPr="00DD1EEF">
              <w:rPr>
                <w:rFonts w:ascii="Segoe UI" w:eastAsia="Times New Roman" w:hAnsi="Segoe UI" w:cs="Segoe UI"/>
                <w:sz w:val="20"/>
                <w:szCs w:val="20"/>
                <w:lang w:eastAsia="es-CO"/>
              </w:rPr>
              <w:t>Artículo 3° del Decreto 2245 de 2011.</w:t>
            </w:r>
          </w:p>
        </w:tc>
      </w:tr>
    </w:tbl>
    <w:p w14:paraId="67C07A93"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5E2B5A34"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40305FF2"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Cordial saludo,</w:t>
      </w:r>
    </w:p>
    <w:p w14:paraId="1ADDA5B3"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442A9540"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0AC8E32"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66D7D4C0"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Mediante el radicado de la referencia, la peticionaria consulta acerca de la posibilidad de una Sociedad de Comercialización Internacional, en calidad de mandataria de una sociedad extranjera, adquiera bienes en Colombia y posteriormente los exporte a los clientes de su mandante en el exterior.</w:t>
      </w:r>
    </w:p>
    <w:p w14:paraId="0109B99F"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6D22C381"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Sobre el particular, las consideraciones de este Despacho son las siguientes:</w:t>
      </w:r>
    </w:p>
    <w:p w14:paraId="69B31549"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16448CC8"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La Dirección de Gestión Jurídica de esta Entidad, en Oficio No. 083472 del 30 de diciembre de 2013, concluyó:</w:t>
      </w:r>
    </w:p>
    <w:p w14:paraId="5ED9806A"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 </w:t>
      </w:r>
    </w:p>
    <w:p w14:paraId="59203F58"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“La tesis expuesta en los oficios, cuya reconsideración se solicita, establece que dentro del objeto social de las Sociedades de Comercialización Internacional (en adelante SCI) </w:t>
      </w:r>
      <w:r w:rsidRPr="00DD1EEF">
        <w:rPr>
          <w:rFonts w:ascii="Segoe UI" w:eastAsia="Times New Roman" w:hAnsi="Segoe UI" w:cs="Segoe UI"/>
          <w:b/>
          <w:bCs/>
          <w:i/>
          <w:iCs/>
          <w:color w:val="000000"/>
          <w:sz w:val="18"/>
          <w:szCs w:val="18"/>
          <w:lang w:eastAsia="es-CO"/>
        </w:rPr>
        <w:t>no se encuentra el de recibir mercancías amparadas en contratos de mandato</w:t>
      </w:r>
      <w:r w:rsidRPr="00DD1EEF">
        <w:rPr>
          <w:rFonts w:ascii="Segoe UI" w:eastAsia="Times New Roman" w:hAnsi="Segoe UI" w:cs="Segoe UI"/>
          <w:i/>
          <w:iCs/>
          <w:color w:val="000000"/>
          <w:sz w:val="18"/>
          <w:szCs w:val="18"/>
          <w:lang w:eastAsia="es-CO"/>
        </w:rPr>
        <w:t>, consignación u otra forma de intermediación y que las mercancías recibidas para exportación deben estar amparadas en un contrato de compraventa, como condición "sine qua non" para obtener los beneficios y prerrogativas concedidas tanto para las SCI como a sus proveedores.</w:t>
      </w:r>
    </w:p>
    <w:p w14:paraId="452AEED5"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w:t>
      </w:r>
    </w:p>
    <w:p w14:paraId="1B192F62"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Sobre el segundo aspecto este Despacho considera que, aun cuando sea viable celebrar contratos de intermediación para una SCI en desarrollo de su objeto social, </w:t>
      </w:r>
      <w:r w:rsidRPr="00DD1EEF">
        <w:rPr>
          <w:rFonts w:ascii="Segoe UI" w:eastAsia="Times New Roman" w:hAnsi="Segoe UI" w:cs="Segoe UI"/>
          <w:b/>
          <w:bCs/>
          <w:i/>
          <w:iCs/>
          <w:color w:val="000000"/>
          <w:sz w:val="18"/>
          <w:szCs w:val="18"/>
          <w:lang w:eastAsia="es-CO"/>
        </w:rPr>
        <w:t>no es posible acceder al mencionado beneficio de la exención del IVA y su devolución si se adquieren los bienes con destino a la exportación mediante negocios jurídicos distintos a la compraventa</w:t>
      </w:r>
      <w:r w:rsidRPr="00DD1EEF">
        <w:rPr>
          <w:rFonts w:ascii="Segoe UI" w:eastAsia="Times New Roman" w:hAnsi="Segoe UI" w:cs="Segoe UI"/>
          <w:i/>
          <w:iCs/>
          <w:color w:val="000000"/>
          <w:sz w:val="18"/>
          <w:szCs w:val="18"/>
          <w:lang w:eastAsia="es-CO"/>
        </w:rPr>
        <w:t>, de acuerdo a lo señalado en los artículos </w:t>
      </w:r>
      <w:hyperlink r:id="rId4" w:tooltip="Estatuto Tributario CETA" w:history="1">
        <w:r w:rsidRPr="00DD1EEF">
          <w:rPr>
            <w:rFonts w:ascii="Segoe UI" w:eastAsia="Times New Roman" w:hAnsi="Segoe UI" w:cs="Segoe UI"/>
            <w:i/>
            <w:iCs/>
            <w:color w:val="0089E1"/>
            <w:sz w:val="18"/>
            <w:szCs w:val="18"/>
            <w:u w:val="single"/>
            <w:lang w:eastAsia="es-CO"/>
          </w:rPr>
          <w:t>479</w:t>
        </w:r>
      </w:hyperlink>
      <w:r w:rsidRPr="00DD1EEF">
        <w:rPr>
          <w:rFonts w:ascii="Segoe UI" w:eastAsia="Times New Roman" w:hAnsi="Segoe UI" w:cs="Segoe UI"/>
          <w:i/>
          <w:iCs/>
          <w:color w:val="000000"/>
          <w:sz w:val="18"/>
          <w:szCs w:val="18"/>
          <w:lang w:eastAsia="es-CO"/>
        </w:rPr>
        <w:t> y </w:t>
      </w:r>
      <w:hyperlink r:id="rId5" w:tooltip="Estatuto Tributario CETA" w:history="1">
        <w:r w:rsidRPr="00DD1EEF">
          <w:rPr>
            <w:rFonts w:ascii="Segoe UI" w:eastAsia="Times New Roman" w:hAnsi="Segoe UI" w:cs="Segoe UI"/>
            <w:i/>
            <w:iCs/>
            <w:color w:val="0089E1"/>
            <w:sz w:val="18"/>
            <w:szCs w:val="18"/>
            <w:u w:val="single"/>
            <w:lang w:eastAsia="es-CO"/>
          </w:rPr>
          <w:t>481</w:t>
        </w:r>
      </w:hyperlink>
      <w:r w:rsidRPr="00DD1EEF">
        <w:rPr>
          <w:rFonts w:ascii="Segoe UI" w:eastAsia="Times New Roman" w:hAnsi="Segoe UI" w:cs="Segoe UI"/>
          <w:i/>
          <w:iCs/>
          <w:color w:val="000000"/>
          <w:sz w:val="18"/>
          <w:szCs w:val="18"/>
          <w:lang w:eastAsia="es-CO"/>
        </w:rPr>
        <w:t> del Estatuto Tributario: (…)</w:t>
      </w:r>
    </w:p>
    <w:p w14:paraId="303B7973"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 </w:t>
      </w:r>
    </w:p>
    <w:p w14:paraId="74AF091D"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Por lo anteriormente expuesto, no le asiste razón a la consultante en su argumento que las SCI están facultadas para adquirir bienes colombianos con destino a la exportación, mediante negocios jurídicos distintos a la compraventa como los de intermediación comercial, pues los beneficios en comento sí requieren que la transacción entre la SCI y su proveedor se ejecute con las connotaciones inherente al título traslaticio de dominio, es decir mediante el contrato de compraventa.</w:t>
      </w:r>
    </w:p>
    <w:p w14:paraId="79FDA3A7"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w:t>
      </w:r>
    </w:p>
    <w:p w14:paraId="127C4345"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Es en ese sentido que la Administración al interpretar las normas en comento, ha concluido que estas exigen </w:t>
      </w:r>
      <w:r w:rsidRPr="00DD1EEF">
        <w:rPr>
          <w:rFonts w:ascii="Segoe UI" w:eastAsia="Times New Roman" w:hAnsi="Segoe UI" w:cs="Segoe UI"/>
          <w:b/>
          <w:bCs/>
          <w:i/>
          <w:iCs/>
          <w:color w:val="000000"/>
          <w:sz w:val="18"/>
          <w:szCs w:val="18"/>
          <w:lang w:eastAsia="es-CO"/>
        </w:rPr>
        <w:t>la titularidad del derecho de dominio de los bienes que estas sociedades exportan</w:t>
      </w:r>
      <w:r w:rsidRPr="00DD1EEF">
        <w:rPr>
          <w:rFonts w:ascii="Segoe UI" w:eastAsia="Times New Roman" w:hAnsi="Segoe UI" w:cs="Segoe UI"/>
          <w:i/>
          <w:iCs/>
          <w:color w:val="000000"/>
          <w:sz w:val="18"/>
          <w:szCs w:val="18"/>
          <w:lang w:eastAsia="es-CO"/>
        </w:rPr>
        <w:t>, pues las normas tributarias que regulan la forma como se obtienen los beneficios tributarios citados suponen la venta estos bienes, lo que excluye negocios jurídicos como los de intermediación comercial</w:t>
      </w:r>
      <w:proofErr w:type="gramStart"/>
      <w:r w:rsidRPr="00DD1EEF">
        <w:rPr>
          <w:rFonts w:ascii="Segoe UI" w:eastAsia="Times New Roman" w:hAnsi="Segoe UI" w:cs="Segoe UI"/>
          <w:i/>
          <w:iCs/>
          <w:color w:val="000000"/>
          <w:sz w:val="18"/>
          <w:szCs w:val="18"/>
          <w:lang w:eastAsia="es-CO"/>
        </w:rPr>
        <w:t>. ”</w:t>
      </w:r>
      <w:proofErr w:type="gramEnd"/>
      <w:r w:rsidRPr="00DD1EEF">
        <w:rPr>
          <w:rFonts w:ascii="Segoe UI" w:eastAsia="Times New Roman" w:hAnsi="Segoe UI" w:cs="Segoe UI"/>
          <w:i/>
          <w:iCs/>
          <w:color w:val="000000"/>
          <w:sz w:val="18"/>
          <w:szCs w:val="18"/>
          <w:lang w:eastAsia="es-CO"/>
        </w:rPr>
        <w:t> </w:t>
      </w:r>
      <w:r w:rsidRPr="00DD1EEF">
        <w:rPr>
          <w:rFonts w:ascii="Segoe UI" w:eastAsia="Times New Roman" w:hAnsi="Segoe UI" w:cs="Segoe UI"/>
          <w:color w:val="000000"/>
          <w:sz w:val="18"/>
          <w:szCs w:val="18"/>
          <w:lang w:eastAsia="es-CO"/>
        </w:rPr>
        <w:t>(Negrillas fuera de texto)</w:t>
      </w:r>
    </w:p>
    <w:p w14:paraId="442D5C72"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1B406BF7"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En primer lugar, se aclara que, si bien el concepto citado se fundamenta en normativa aduanera sin vigencia, el mismo resulta aplicable en el entendido que no existen diferencias sustanciales con la norma vigente a la fecha (Capítulo 5° del Título 2° del Decreto 1165 de 2019 y Capítulo 4° del Título 4° de la Resolución 046 de 2019). Así las cosas, es claro que una Sociedad de Comercialización Internacional no podrá acceder a los beneficios tributarios inherentes a su condición en caso de adquirir bienes en calidad de mandataria.</w:t>
      </w:r>
    </w:p>
    <w:p w14:paraId="117AA173"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28906D87"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Sin perjuicio de lo anterior, según los supuestos de su consulta, resulta procedente advertir los siguientes asuntos en materia cambiaria:</w:t>
      </w:r>
    </w:p>
    <w:p w14:paraId="47C6A916"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2B51910D"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La Circular Reglamentaria Externa DCIN 83, en su capítulo 4°, establece:</w:t>
      </w:r>
    </w:p>
    <w:p w14:paraId="73367450"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 </w:t>
      </w:r>
    </w:p>
    <w:p w14:paraId="0B19240A"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lastRenderedPageBreak/>
        <w:t xml:space="preserve">“En las situaciones que impiden o hayan impedido jurídicamente a los exportadores el cumplimiento de la obligación de reintegro de divisas (fuerza mayor, caso fortuito, inexistencia o inexigibilidad, entre otras), no será exigible la canalización </w:t>
      </w:r>
      <w:proofErr w:type="gramStart"/>
      <w:r w:rsidRPr="00DD1EEF">
        <w:rPr>
          <w:rFonts w:ascii="Segoe UI" w:eastAsia="Times New Roman" w:hAnsi="Segoe UI" w:cs="Segoe UI"/>
          <w:i/>
          <w:iCs/>
          <w:color w:val="000000"/>
          <w:sz w:val="18"/>
          <w:szCs w:val="18"/>
          <w:lang w:eastAsia="es-CO"/>
        </w:rPr>
        <w:t>del mismo</w:t>
      </w:r>
      <w:proofErr w:type="gramEnd"/>
      <w:r w:rsidRPr="00DD1EEF">
        <w:rPr>
          <w:rFonts w:ascii="Segoe UI" w:eastAsia="Times New Roman" w:hAnsi="Segoe UI" w:cs="Segoe UI"/>
          <w:i/>
          <w:iCs/>
          <w:color w:val="000000"/>
          <w:sz w:val="18"/>
          <w:szCs w:val="18"/>
          <w:lang w:eastAsia="es-CO"/>
        </w:rPr>
        <w:t xml:space="preserve"> a través del mercado cambiario.”</w:t>
      </w:r>
    </w:p>
    <w:p w14:paraId="5E885A97"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30082D38"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En virtud del artículo 90 de la Resolución Externa No. 1 de 2018, los residentes que efectúen operaciones de cambio están obligados a conservar los documentos que las acrediten:</w:t>
      </w:r>
    </w:p>
    <w:p w14:paraId="44BB996E"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 </w:t>
      </w:r>
    </w:p>
    <w:p w14:paraId="6BF9F3DD"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w:t>
      </w:r>
      <w:r w:rsidRPr="00DD1EEF">
        <w:rPr>
          <w:rFonts w:ascii="Segoe UI" w:eastAsia="Times New Roman" w:hAnsi="Segoe UI" w:cs="Segoe UI"/>
          <w:b/>
          <w:bCs/>
          <w:i/>
          <w:iCs/>
          <w:color w:val="000000"/>
          <w:sz w:val="18"/>
          <w:szCs w:val="18"/>
          <w:lang w:eastAsia="es-CO"/>
        </w:rPr>
        <w:t>Artículo 90.</w:t>
      </w:r>
      <w:r w:rsidRPr="00DD1EEF">
        <w:rPr>
          <w:rFonts w:ascii="Segoe UI" w:eastAsia="Times New Roman" w:hAnsi="Segoe UI" w:cs="Segoe UI"/>
          <w:i/>
          <w:iCs/>
          <w:color w:val="000000"/>
          <w:sz w:val="18"/>
          <w:szCs w:val="18"/>
          <w:lang w:eastAsia="es-CO"/>
        </w:rPr>
        <w:t> CONSERVACIÓN DE DOCUMENTOS. Para efectos cambiarios y sin perjuicio de lo dispuesto en normas especiales, los residentes que efectúen operaciones de cambio están obligados a conservar los documentos que acrediten el monto, características y demás condiciones de la operación y el origen o destino de los recursos, según el caso, por un período igual al de caducidad o prescripción de la acción sancionatoria por infracciones al régimen cambiario.</w:t>
      </w:r>
    </w:p>
    <w:p w14:paraId="6F0D5C7E"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 </w:t>
      </w:r>
    </w:p>
    <w:p w14:paraId="6EA24DAC"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Tales documentos deberán presentarse a las entidades encargadas del control y vigilancia del cumplimiento del régimen cambiario que los requieran o dentro de las actuaciones administrativas que se inicien para determinar la comisión de infracciones cambiarias.”</w:t>
      </w:r>
    </w:p>
    <w:p w14:paraId="638AC215"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5D44908B"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En caso de no acreditar la inexistencia de la obligación de reintegro de divisas en una operación de exportación de bienes, se podrá configurar la infracción contenida en el numeral 3° del artículo 3° del Decreto 2245 de 2011:</w:t>
      </w:r>
    </w:p>
    <w:p w14:paraId="2A6A1A6F"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 </w:t>
      </w:r>
    </w:p>
    <w:p w14:paraId="4384EA6B" w14:textId="77777777" w:rsidR="00DD1EEF" w:rsidRPr="00DD1EEF" w:rsidRDefault="00DD1EEF" w:rsidP="00DD1EEF">
      <w:pPr>
        <w:spacing w:after="0" w:line="240" w:lineRule="auto"/>
        <w:ind w:left="284"/>
        <w:jc w:val="both"/>
        <w:rPr>
          <w:rFonts w:ascii="Arial" w:eastAsia="Times New Roman" w:hAnsi="Arial" w:cs="Arial"/>
          <w:color w:val="000000"/>
          <w:sz w:val="18"/>
          <w:szCs w:val="18"/>
          <w:lang w:eastAsia="es-CO"/>
        </w:rPr>
      </w:pPr>
      <w:r w:rsidRPr="00DD1EEF">
        <w:rPr>
          <w:rFonts w:ascii="Segoe UI" w:eastAsia="Times New Roman" w:hAnsi="Segoe UI" w:cs="Segoe UI"/>
          <w:i/>
          <w:iCs/>
          <w:color w:val="000000"/>
          <w:sz w:val="18"/>
          <w:szCs w:val="18"/>
          <w:lang w:eastAsia="es-CO"/>
        </w:rPr>
        <w:t>“3. Por extinguir las obligaciones sujetas a obligatoria canalización por medios diferentes a los autorizados por el régimen cambiario, se impondrá una multa del ciento por ciento (100%) del monto extinguido.”</w:t>
      </w:r>
    </w:p>
    <w:p w14:paraId="5D21D965"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218D0849"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 </w:t>
      </w:r>
    </w:p>
    <w:p w14:paraId="3A8394B0"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Atentamente,</w:t>
      </w:r>
    </w:p>
    <w:p w14:paraId="64EBF84E"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b/>
          <w:bCs/>
          <w:color w:val="000000"/>
          <w:sz w:val="18"/>
          <w:szCs w:val="18"/>
          <w:lang w:eastAsia="es-CO"/>
        </w:rPr>
        <w:t> </w:t>
      </w:r>
    </w:p>
    <w:p w14:paraId="4BA1B668"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b/>
          <w:bCs/>
          <w:color w:val="000000"/>
          <w:sz w:val="18"/>
          <w:szCs w:val="18"/>
          <w:lang w:eastAsia="es-CO"/>
        </w:rPr>
        <w:t> </w:t>
      </w:r>
    </w:p>
    <w:p w14:paraId="15DF871B"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b/>
          <w:bCs/>
          <w:color w:val="000000"/>
          <w:sz w:val="18"/>
          <w:szCs w:val="18"/>
          <w:lang w:eastAsia="es-CO"/>
        </w:rPr>
        <w:t>PABLO EMILIO MENDOZA VELILLA</w:t>
      </w:r>
    </w:p>
    <w:p w14:paraId="3B4EC9AF"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Subdirector de Gestión Normativa y Doctrina</w:t>
      </w:r>
    </w:p>
    <w:p w14:paraId="589C253A"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Dirección de Gestión Jurídica</w:t>
      </w:r>
    </w:p>
    <w:p w14:paraId="794CF610" w14:textId="77777777" w:rsidR="00DD1EEF" w:rsidRPr="00DD1EEF" w:rsidRDefault="00DD1EEF" w:rsidP="00DD1EEF">
      <w:pPr>
        <w:spacing w:after="0" w:line="240" w:lineRule="auto"/>
        <w:jc w:val="both"/>
        <w:rPr>
          <w:rFonts w:ascii="Arial" w:eastAsia="Times New Roman" w:hAnsi="Arial" w:cs="Arial"/>
          <w:color w:val="000000"/>
          <w:sz w:val="18"/>
          <w:szCs w:val="18"/>
          <w:lang w:eastAsia="es-CO"/>
        </w:rPr>
      </w:pPr>
      <w:r w:rsidRPr="00DD1EEF">
        <w:rPr>
          <w:rFonts w:ascii="Segoe UI" w:eastAsia="Times New Roman" w:hAnsi="Segoe UI" w:cs="Segoe UI"/>
          <w:color w:val="000000"/>
          <w:sz w:val="18"/>
          <w:szCs w:val="18"/>
          <w:lang w:eastAsia="es-CO"/>
        </w:rPr>
        <w:t>UAE-DIAN</w:t>
      </w:r>
    </w:p>
    <w:p w14:paraId="5E9F460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EF"/>
    <w:rsid w:val="000F3837"/>
    <w:rsid w:val="001E311E"/>
    <w:rsid w:val="00434AE6"/>
    <w:rsid w:val="007F5CC8"/>
    <w:rsid w:val="008779BE"/>
    <w:rsid w:val="00DD1EE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9230"/>
  <w15:chartTrackingRefBased/>
  <w15:docId w15:val="{10F247BE-F98A-408B-8ECD-BBA56A8A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601" TargetMode="External"/><Relationship Id="rId4" Type="http://schemas.openxmlformats.org/officeDocument/2006/relationships/hyperlink" Target="https://www.ceta.org.co/html/vista_de_un_articulo.asp?Norma=5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5201</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2021-05-27T01:28:00Z</dcterms:created>
  <dcterms:modified xsi:type="dcterms:W3CDTF">2021-05-27T01:29:00Z</dcterms:modified>
</cp:coreProperties>
</file>