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DEA4" w14:textId="77777777" w:rsidR="004A65BC" w:rsidRPr="004A65BC" w:rsidRDefault="004A65BC" w:rsidP="00D42491">
      <w:pPr>
        <w:shd w:val="clear" w:color="auto" w:fill="FFFFFF"/>
        <w:spacing w:after="150" w:line="360" w:lineRule="auto"/>
        <w:jc w:val="center"/>
        <w:rPr>
          <w:rFonts w:eastAsia="Times New Roman" w:cs="Times New Roman"/>
          <w:color w:val="555555"/>
          <w:szCs w:val="24"/>
          <w:lang w:eastAsia="es-CO"/>
        </w:rPr>
      </w:pPr>
      <w:r w:rsidRPr="004A65BC">
        <w:rPr>
          <w:rFonts w:eastAsia="Times New Roman" w:cs="Times New Roman"/>
          <w:b/>
          <w:bCs/>
          <w:color w:val="0000FF"/>
          <w:szCs w:val="24"/>
          <w:lang w:eastAsia="es-CO"/>
        </w:rPr>
        <w:t xml:space="preserve">OFICIO </w:t>
      </w:r>
      <w:proofErr w:type="spellStart"/>
      <w:r w:rsidRPr="004A65BC">
        <w:rPr>
          <w:rFonts w:eastAsia="Times New Roman" w:cs="Times New Roman"/>
          <w:b/>
          <w:bCs/>
          <w:color w:val="0000FF"/>
          <w:szCs w:val="24"/>
          <w:lang w:eastAsia="es-CO"/>
        </w:rPr>
        <w:t>Nº</w:t>
      </w:r>
      <w:proofErr w:type="spellEnd"/>
      <w:r w:rsidRPr="004A65BC">
        <w:rPr>
          <w:rFonts w:eastAsia="Times New Roman" w:cs="Times New Roman"/>
          <w:b/>
          <w:bCs/>
          <w:color w:val="0000FF"/>
          <w:szCs w:val="24"/>
          <w:lang w:eastAsia="es-CO"/>
        </w:rPr>
        <w:t xml:space="preserve"> 026836</w:t>
      </w:r>
    </w:p>
    <w:p w14:paraId="343E179D" w14:textId="77777777" w:rsidR="004A65BC" w:rsidRPr="004A65BC" w:rsidRDefault="004A65BC" w:rsidP="00D42491">
      <w:pPr>
        <w:shd w:val="clear" w:color="auto" w:fill="FFFFFF"/>
        <w:spacing w:after="150" w:line="360" w:lineRule="auto"/>
        <w:jc w:val="center"/>
        <w:rPr>
          <w:rFonts w:eastAsia="Times New Roman" w:cs="Times New Roman"/>
          <w:color w:val="555555"/>
          <w:szCs w:val="24"/>
          <w:lang w:eastAsia="es-CO"/>
        </w:rPr>
      </w:pPr>
      <w:r w:rsidRPr="004A65BC">
        <w:rPr>
          <w:rFonts w:eastAsia="Times New Roman" w:cs="Times New Roman"/>
          <w:b/>
          <w:bCs/>
          <w:color w:val="0000FF"/>
          <w:szCs w:val="24"/>
          <w:lang w:eastAsia="es-CO"/>
        </w:rPr>
        <w:t>26-10-2019</w:t>
      </w:r>
    </w:p>
    <w:p w14:paraId="4D1CBA4D" w14:textId="77777777" w:rsidR="004A65BC" w:rsidRPr="004A65BC" w:rsidRDefault="004A65BC" w:rsidP="00D42491">
      <w:pPr>
        <w:shd w:val="clear" w:color="auto" w:fill="FFFFFF"/>
        <w:spacing w:after="150" w:line="360" w:lineRule="auto"/>
        <w:jc w:val="center"/>
        <w:rPr>
          <w:rFonts w:eastAsia="Times New Roman" w:cs="Times New Roman"/>
          <w:color w:val="555555"/>
          <w:szCs w:val="24"/>
          <w:lang w:eastAsia="es-CO"/>
        </w:rPr>
      </w:pPr>
      <w:r w:rsidRPr="004A65BC">
        <w:rPr>
          <w:rFonts w:eastAsia="Times New Roman" w:cs="Times New Roman"/>
          <w:b/>
          <w:bCs/>
          <w:color w:val="0000FF"/>
          <w:szCs w:val="24"/>
          <w:lang w:eastAsia="es-CO"/>
        </w:rPr>
        <w:t>DIAN</w:t>
      </w:r>
    </w:p>
    <w:p w14:paraId="6223F4C3"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1871C00C"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Subdirección de Gestión Normativa y Doctrina</w:t>
      </w:r>
    </w:p>
    <w:p w14:paraId="5EE152B7"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100208221– 002536</w:t>
      </w:r>
    </w:p>
    <w:p w14:paraId="052F25D4"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Bogotá, D.C.</w:t>
      </w:r>
    </w:p>
    <w:p w14:paraId="7CCAE657"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0EF39DE1"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proofErr w:type="spellStart"/>
      <w:r w:rsidRPr="004A65BC">
        <w:rPr>
          <w:rFonts w:eastAsia="Times New Roman" w:cs="Times New Roman"/>
          <w:b/>
          <w:bCs/>
          <w:color w:val="000000"/>
          <w:szCs w:val="24"/>
          <w:lang w:eastAsia="es-CO"/>
        </w:rPr>
        <w:t>Ref</w:t>
      </w:r>
      <w:proofErr w:type="spellEnd"/>
      <w:r w:rsidRPr="004A65BC">
        <w:rPr>
          <w:rFonts w:eastAsia="Times New Roman" w:cs="Times New Roman"/>
          <w:b/>
          <w:bCs/>
          <w:color w:val="000000"/>
          <w:szCs w:val="24"/>
          <w:lang w:eastAsia="es-CO"/>
        </w:rPr>
        <w:t>:</w:t>
      </w:r>
      <w:r w:rsidRPr="004A65BC">
        <w:rPr>
          <w:rFonts w:eastAsia="Times New Roman" w:cs="Times New Roman"/>
          <w:color w:val="000000"/>
          <w:szCs w:val="24"/>
          <w:lang w:eastAsia="es-CO"/>
        </w:rPr>
        <w:t> Radicado 100073933 del 09/09/2019 y 100073715 del 09/09/2019</w:t>
      </w:r>
    </w:p>
    <w:p w14:paraId="32FC8766"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5"/>
        <w:gridCol w:w="276"/>
        <w:gridCol w:w="276"/>
        <w:gridCol w:w="6839"/>
      </w:tblGrid>
      <w:tr w:rsidR="004A65BC" w:rsidRPr="004A65BC" w14:paraId="5110D7F9" w14:textId="77777777" w:rsidTr="004A65BC">
        <w:tc>
          <w:tcPr>
            <w:tcW w:w="0" w:type="auto"/>
            <w:shd w:val="clear" w:color="auto" w:fill="FFFFFF"/>
            <w:tcMar>
              <w:top w:w="0" w:type="dxa"/>
              <w:left w:w="108" w:type="dxa"/>
              <w:bottom w:w="0" w:type="dxa"/>
              <w:right w:w="108" w:type="dxa"/>
            </w:tcMar>
            <w:hideMark/>
          </w:tcPr>
          <w:p w14:paraId="1CE3128C"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b/>
                <w:bCs/>
                <w:color w:val="555555"/>
                <w:szCs w:val="24"/>
                <w:lang w:eastAsia="es-CO"/>
              </w:rPr>
              <w:t>Tema</w:t>
            </w:r>
          </w:p>
        </w:tc>
        <w:tc>
          <w:tcPr>
            <w:tcW w:w="0" w:type="auto"/>
            <w:shd w:val="clear" w:color="auto" w:fill="FFFFFF"/>
            <w:tcMar>
              <w:top w:w="0" w:type="dxa"/>
              <w:left w:w="108" w:type="dxa"/>
              <w:bottom w:w="0" w:type="dxa"/>
              <w:right w:w="108" w:type="dxa"/>
            </w:tcMar>
            <w:hideMark/>
          </w:tcPr>
          <w:p w14:paraId="4E4B4B11"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98BAC95"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E68AF10"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Impuesto sobre la Renta y Complementarios</w:t>
            </w:r>
          </w:p>
        </w:tc>
      </w:tr>
      <w:tr w:rsidR="004A65BC" w:rsidRPr="004A65BC" w14:paraId="58CD433E" w14:textId="77777777" w:rsidTr="004A65BC">
        <w:tc>
          <w:tcPr>
            <w:tcW w:w="0" w:type="auto"/>
            <w:shd w:val="clear" w:color="auto" w:fill="FFFFFF"/>
            <w:tcMar>
              <w:top w:w="0" w:type="dxa"/>
              <w:left w:w="108" w:type="dxa"/>
              <w:bottom w:w="0" w:type="dxa"/>
              <w:right w:w="108" w:type="dxa"/>
            </w:tcMar>
            <w:hideMark/>
          </w:tcPr>
          <w:p w14:paraId="0E3A3929"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b/>
                <w:bCs/>
                <w:color w:val="555555"/>
                <w:szCs w:val="24"/>
                <w:lang w:eastAsia="es-CO"/>
              </w:rPr>
              <w:t>Descriptores</w:t>
            </w:r>
          </w:p>
        </w:tc>
        <w:tc>
          <w:tcPr>
            <w:tcW w:w="0" w:type="auto"/>
            <w:shd w:val="clear" w:color="auto" w:fill="FFFFFF"/>
            <w:tcMar>
              <w:top w:w="0" w:type="dxa"/>
              <w:left w:w="108" w:type="dxa"/>
              <w:bottom w:w="0" w:type="dxa"/>
              <w:right w:w="108" w:type="dxa"/>
            </w:tcMar>
            <w:hideMark/>
          </w:tcPr>
          <w:p w14:paraId="6AAF9B3B"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6DE30F41"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ACD353D"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Cesión de Activos, Pasivos y Contratos</w:t>
            </w:r>
          </w:p>
          <w:p w14:paraId="6D802C1D"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Condonación de Deudas</w:t>
            </w:r>
          </w:p>
          <w:p w14:paraId="69295543"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Contrato de Mandato</w:t>
            </w:r>
          </w:p>
          <w:p w14:paraId="71B8C793"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Ganancia Ocasional</w:t>
            </w:r>
          </w:p>
        </w:tc>
      </w:tr>
      <w:tr w:rsidR="004A65BC" w:rsidRPr="004A65BC" w14:paraId="0E1C40CD" w14:textId="77777777" w:rsidTr="004A65BC">
        <w:tc>
          <w:tcPr>
            <w:tcW w:w="0" w:type="auto"/>
            <w:shd w:val="clear" w:color="auto" w:fill="FFFFFF"/>
            <w:tcMar>
              <w:top w:w="0" w:type="dxa"/>
              <w:left w:w="108" w:type="dxa"/>
              <w:bottom w:w="0" w:type="dxa"/>
              <w:right w:w="108" w:type="dxa"/>
            </w:tcMar>
            <w:hideMark/>
          </w:tcPr>
          <w:p w14:paraId="559990A4"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b/>
                <w:bCs/>
                <w:color w:val="555555"/>
                <w:szCs w:val="24"/>
                <w:lang w:eastAsia="es-CO"/>
              </w:rPr>
              <w:t>Fuentes formales</w:t>
            </w:r>
          </w:p>
        </w:tc>
        <w:tc>
          <w:tcPr>
            <w:tcW w:w="0" w:type="auto"/>
            <w:shd w:val="clear" w:color="auto" w:fill="FFFFFF"/>
            <w:tcMar>
              <w:top w:w="0" w:type="dxa"/>
              <w:left w:w="108" w:type="dxa"/>
              <w:bottom w:w="0" w:type="dxa"/>
              <w:right w:w="108" w:type="dxa"/>
            </w:tcMar>
            <w:hideMark/>
          </w:tcPr>
          <w:p w14:paraId="7F4ECBBA"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0CEA8AD8"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1CDD4614"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0089E1"/>
                <w:szCs w:val="24"/>
                <w:lang w:eastAsia="es-CO"/>
              </w:rPr>
              <w:t>Artículo 26</w:t>
            </w:r>
            <w:r w:rsidRPr="004A65BC">
              <w:rPr>
                <w:rFonts w:eastAsia="Times New Roman" w:cs="Times New Roman"/>
                <w:color w:val="555555"/>
                <w:szCs w:val="24"/>
                <w:lang w:eastAsia="es-CO"/>
              </w:rPr>
              <w:t> del Estatuto Tributario</w:t>
            </w:r>
          </w:p>
          <w:p w14:paraId="6FD63D49"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0089E1"/>
                <w:szCs w:val="24"/>
                <w:lang w:eastAsia="es-CO"/>
              </w:rPr>
              <w:t>Artículo 272</w:t>
            </w:r>
            <w:r w:rsidRPr="004A65BC">
              <w:rPr>
                <w:rFonts w:eastAsia="Times New Roman" w:cs="Times New Roman"/>
                <w:color w:val="555555"/>
                <w:szCs w:val="24"/>
                <w:lang w:eastAsia="es-CO"/>
              </w:rPr>
              <w:t> del Estatuto Tributario</w:t>
            </w:r>
          </w:p>
          <w:p w14:paraId="08FA196D"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0089E1"/>
                <w:szCs w:val="24"/>
                <w:lang w:eastAsia="es-CO"/>
              </w:rPr>
              <w:t>Artículo 302</w:t>
            </w:r>
            <w:r w:rsidRPr="004A65BC">
              <w:rPr>
                <w:rFonts w:eastAsia="Times New Roman" w:cs="Times New Roman"/>
                <w:color w:val="555555"/>
                <w:szCs w:val="24"/>
                <w:lang w:eastAsia="es-CO"/>
              </w:rPr>
              <w:t> del Estatuto Tributario</w:t>
            </w:r>
          </w:p>
          <w:p w14:paraId="7DAE2078"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0089E1"/>
                <w:szCs w:val="24"/>
                <w:lang w:eastAsia="es-CO"/>
              </w:rPr>
              <w:t>Artículo 303</w:t>
            </w:r>
            <w:r w:rsidRPr="004A65BC">
              <w:rPr>
                <w:rFonts w:eastAsia="Times New Roman" w:cs="Times New Roman"/>
                <w:color w:val="555555"/>
                <w:szCs w:val="24"/>
                <w:lang w:eastAsia="es-CO"/>
              </w:rPr>
              <w:t> del Estatuto Tributario</w:t>
            </w:r>
          </w:p>
          <w:p w14:paraId="1C208C70"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0089E1"/>
                <w:szCs w:val="24"/>
                <w:lang w:eastAsia="es-CO"/>
              </w:rPr>
              <w:t>Artículo 313</w:t>
            </w:r>
            <w:r w:rsidRPr="004A65BC">
              <w:rPr>
                <w:rFonts w:eastAsia="Times New Roman" w:cs="Times New Roman"/>
                <w:color w:val="555555"/>
                <w:szCs w:val="24"/>
                <w:lang w:eastAsia="es-CO"/>
              </w:rPr>
              <w:t> del Estatuto Tributario</w:t>
            </w:r>
          </w:p>
          <w:p w14:paraId="27B86D72" w14:textId="77777777" w:rsidR="004A65BC" w:rsidRPr="004A65BC" w:rsidRDefault="004A65BC" w:rsidP="004A65BC">
            <w:pPr>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Artículos 1.2.4.11., 1.6.1.4.3. y 1.6.1.4.1.11 de Decreto 1625 de 2016</w:t>
            </w:r>
          </w:p>
          <w:p w14:paraId="694B7033" w14:textId="77777777" w:rsidR="004A65BC" w:rsidRPr="004A65BC" w:rsidRDefault="004A65BC" w:rsidP="004A65BC">
            <w:pPr>
              <w:spacing w:after="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Concepto No. 001669 del 25 de septiembre de 2018</w:t>
            </w:r>
          </w:p>
        </w:tc>
      </w:tr>
    </w:tbl>
    <w:p w14:paraId="6CEEBE01"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6BC2A564" w14:textId="44603423"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r w:rsidRPr="004A65BC">
        <w:rPr>
          <w:rFonts w:eastAsia="Times New Roman" w:cs="Times New Roman"/>
          <w:color w:val="000000"/>
          <w:szCs w:val="24"/>
          <w:lang w:eastAsia="es-CO"/>
        </w:rPr>
        <w:t>Estimado señor Espitia:</w:t>
      </w:r>
    </w:p>
    <w:p w14:paraId="01EE9F0F" w14:textId="6E8A22A6"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r w:rsidRPr="004A65BC">
        <w:rPr>
          <w:rFonts w:eastAsia="Times New Roman" w:cs="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cambiarías, en el marco de la competencia asignada a la Dirección de Impuestos y Aduanas Nacionales.</w:t>
      </w:r>
    </w:p>
    <w:p w14:paraId="75CCD35A" w14:textId="24370DFB"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4DD50A1F"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lastRenderedPageBreak/>
        <w:t> </w:t>
      </w:r>
    </w:p>
    <w:p w14:paraId="00F22CCB"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3DAF433C" w14:textId="3EDF7EDF"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Mediante escritos radicados No.100073933 y 100073715 de los días 9 y 10 de septiembre de dos mil diecinueve (2019) está Subdirección recibió una consulta por medio de la cual se solicita resolver las siguientes preguntas:</w:t>
      </w:r>
    </w:p>
    <w:p w14:paraId="7D4DD4B3" w14:textId="1F130F0D"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r w:rsidRPr="004A65BC">
        <w:rPr>
          <w:rFonts w:eastAsia="Times New Roman" w:cs="Times New Roman"/>
          <w:i/>
          <w:iCs/>
          <w:color w:val="000000"/>
          <w:szCs w:val="24"/>
          <w:lang w:eastAsia="es-CO"/>
        </w:rPr>
        <w:t>"1. Se me cite la norma y el trámite a seguir con el fin de la cesión a título gratuito de las acciones sea demostrado como una dación en pago.</w:t>
      </w:r>
    </w:p>
    <w:p w14:paraId="10B4E1DF" w14:textId="44D82DEA"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555555"/>
          <w:szCs w:val="24"/>
          <w:lang w:eastAsia="es-CO"/>
        </w:rPr>
        <w:t> </w:t>
      </w:r>
      <w:r w:rsidRPr="004A65BC">
        <w:rPr>
          <w:rFonts w:eastAsia="Times New Roman" w:cs="Times New Roman"/>
          <w:i/>
          <w:iCs/>
          <w:color w:val="000000"/>
          <w:szCs w:val="24"/>
          <w:lang w:eastAsia="es-CO"/>
        </w:rPr>
        <w:t>2. Cuál es la excepción que puede aplicar con el fin de demostrar que no fue una actividad para enriquecer el patrimonio de los socios restantes sino por el contrario para tratar de asumir el pago de deudas.</w:t>
      </w:r>
      <w:r w:rsidRPr="004A65BC">
        <w:rPr>
          <w:rFonts w:eastAsia="Times New Roman" w:cs="Times New Roman"/>
          <w:i/>
          <w:iCs/>
          <w:color w:val="555555"/>
          <w:szCs w:val="24"/>
          <w:lang w:eastAsia="es-CO"/>
        </w:rPr>
        <w:t> </w:t>
      </w:r>
    </w:p>
    <w:p w14:paraId="0649F4D1"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lang w:eastAsia="es-CO"/>
        </w:rPr>
        <w:t xml:space="preserve">3. Cuál es </w:t>
      </w:r>
      <w:proofErr w:type="gramStart"/>
      <w:r w:rsidRPr="004A65BC">
        <w:rPr>
          <w:rFonts w:eastAsia="Times New Roman" w:cs="Times New Roman"/>
          <w:i/>
          <w:iCs/>
          <w:color w:val="000000"/>
          <w:szCs w:val="24"/>
          <w:lang w:eastAsia="es-CO"/>
        </w:rPr>
        <w:t>el trámite a seguir</w:t>
      </w:r>
      <w:proofErr w:type="gramEnd"/>
      <w:r w:rsidRPr="004A65BC">
        <w:rPr>
          <w:rFonts w:eastAsia="Times New Roman" w:cs="Times New Roman"/>
          <w:i/>
          <w:iCs/>
          <w:color w:val="000000"/>
          <w:szCs w:val="24"/>
          <w:lang w:eastAsia="es-CO"/>
        </w:rPr>
        <w:t xml:space="preserve"> para demostrar que hay ganancia ocasional en la mencionada cesión y que documentos se requieren aportar para tal fin.</w:t>
      </w:r>
    </w:p>
    <w:p w14:paraId="1917FA11" w14:textId="34664D3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555555"/>
          <w:szCs w:val="24"/>
          <w:lang w:eastAsia="es-CO"/>
        </w:rPr>
        <w:t> </w:t>
      </w:r>
      <w:r w:rsidRPr="004A65BC">
        <w:rPr>
          <w:rFonts w:eastAsia="Times New Roman" w:cs="Times New Roman"/>
          <w:i/>
          <w:iCs/>
          <w:color w:val="000000"/>
          <w:szCs w:val="24"/>
          <w:lang w:eastAsia="es-CO"/>
        </w:rPr>
        <w:t xml:space="preserve">4. Cuál es </w:t>
      </w:r>
      <w:proofErr w:type="gramStart"/>
      <w:r w:rsidRPr="004A65BC">
        <w:rPr>
          <w:rFonts w:eastAsia="Times New Roman" w:cs="Times New Roman"/>
          <w:i/>
          <w:iCs/>
          <w:color w:val="000000"/>
          <w:szCs w:val="24"/>
          <w:lang w:eastAsia="es-CO"/>
        </w:rPr>
        <w:t>el proceso a seguir</w:t>
      </w:r>
      <w:proofErr w:type="gramEnd"/>
      <w:r w:rsidRPr="004A65BC">
        <w:rPr>
          <w:rFonts w:eastAsia="Times New Roman" w:cs="Times New Roman"/>
          <w:i/>
          <w:iCs/>
          <w:color w:val="000000"/>
          <w:szCs w:val="24"/>
          <w:lang w:eastAsia="es-CO"/>
        </w:rPr>
        <w:t xml:space="preserve"> para demostrar que dicha cesión a título gratuito lo que originó una pérdida ocasional a la empresa y a los demás socios que las recibieron".</w:t>
      </w:r>
    </w:p>
    <w:p w14:paraId="206C2579" w14:textId="53ACFD56"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r w:rsidRPr="004A65BC">
        <w:rPr>
          <w:rFonts w:eastAsia="Times New Roman" w:cs="Times New Roman"/>
          <w:color w:val="000000"/>
          <w:szCs w:val="24"/>
          <w:lang w:eastAsia="es-CO"/>
        </w:rPr>
        <w:t>En atención a la consulta, se procede a analizar las siguientes consideraciones:</w:t>
      </w:r>
    </w:p>
    <w:p w14:paraId="6FE64A1A"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70B5BBA8"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1. Los pronunciamientos emitidos por este despacho son una adecuación en abstracto de las normas vigentes a situaciones concretas, </w:t>
      </w:r>
      <w:r w:rsidRPr="004A65BC">
        <w:rPr>
          <w:rFonts w:eastAsia="Times New Roman" w:cs="Times New Roman"/>
          <w:color w:val="000000"/>
          <w:szCs w:val="24"/>
          <w:u w:val="single"/>
          <w:lang w:eastAsia="es-CO"/>
        </w:rPr>
        <w:t>las cuales no tienen como fin solucionar problemáticas</w:t>
      </w:r>
      <w:r w:rsidRPr="004A65BC">
        <w:rPr>
          <w:rFonts w:eastAsia="Times New Roman" w:cs="Times New Roman"/>
          <w:color w:val="000000"/>
          <w:szCs w:val="24"/>
          <w:lang w:eastAsia="es-CO"/>
        </w:rPr>
        <w:t> </w:t>
      </w:r>
      <w:r w:rsidRPr="004A65BC">
        <w:rPr>
          <w:rFonts w:eastAsia="Times New Roman" w:cs="Times New Roman"/>
          <w:color w:val="000000"/>
          <w:szCs w:val="24"/>
          <w:u w:val="single"/>
          <w:lang w:eastAsia="es-CO"/>
        </w:rPr>
        <w:t>individuales,</w:t>
      </w:r>
      <w:r w:rsidRPr="004A65BC">
        <w:rPr>
          <w:rFonts w:eastAsia="Times New Roman" w:cs="Times New Roman"/>
          <w:color w:val="000000"/>
          <w:szCs w:val="24"/>
          <w:lang w:eastAsia="es-CO"/>
        </w:rPr>
        <w:t> ni juzgar, valorar o asesorar a otras dependencias, entidades públicas y/o privadas en el desarrollo de sus actividades, funciones y competencias.</w:t>
      </w:r>
    </w:p>
    <w:p w14:paraId="4FCE8DA6" w14:textId="754C402E"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2. Por lo anterior, este despacho no se encuentra facultado para resolver las inquietudes elevadas por el consultante de forma particular.</w:t>
      </w:r>
    </w:p>
    <w:p w14:paraId="6CDC3646" w14:textId="0A48CC35"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3. Así mismo, es necesario precisar que las consultas elevadas por el contribuyente no son del todo claras y no permiten identificar la inquietud relacionada con la interpretación o aplicación de las normas tributarias aplicables al caso.</w:t>
      </w:r>
    </w:p>
    <w:p w14:paraId="43176905" w14:textId="096B2499"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4. Sin perjuicio a lo anterior, consideramos necesario tener en cuenta las siguientes consideraciones para efectos fiscales:</w:t>
      </w:r>
    </w:p>
    <w:p w14:paraId="3F9C3140" w14:textId="6E67BC9F"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r w:rsidRPr="004A65BC">
        <w:rPr>
          <w:rFonts w:eastAsia="Times New Roman" w:cs="Times New Roman"/>
          <w:color w:val="000000"/>
          <w:szCs w:val="24"/>
          <w:lang w:eastAsia="es-CO"/>
        </w:rPr>
        <w:t>4.1. Cesión a título gratuito de las acciones:</w:t>
      </w:r>
    </w:p>
    <w:p w14:paraId="661A2775"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1468B116"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lastRenderedPageBreak/>
        <w:t>a) La cesión a título gratuito de las acciones realizada entre los accionistas extranjeros y los nacionales deberá tener en cuenta lo señalado en el </w:t>
      </w:r>
      <w:r w:rsidRPr="004A65BC">
        <w:rPr>
          <w:rFonts w:eastAsia="Times New Roman" w:cs="Times New Roman"/>
          <w:color w:val="0089E1"/>
          <w:szCs w:val="24"/>
          <w:lang w:eastAsia="es-CO"/>
        </w:rPr>
        <w:t>artículo 302</w:t>
      </w:r>
      <w:r w:rsidRPr="004A65BC">
        <w:rPr>
          <w:rFonts w:eastAsia="Times New Roman" w:cs="Times New Roman"/>
          <w:color w:val="000000"/>
          <w:szCs w:val="24"/>
          <w:lang w:eastAsia="es-CO"/>
        </w:rPr>
        <w:t> del Estatuto Tributario (en adelante "E.T.").</w:t>
      </w:r>
    </w:p>
    <w:p w14:paraId="3220CCD1" w14:textId="78E68FAE"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b) Dicha norma reconoce que el beneficiario de la cesión de las acciones, es decir los accionistas nacionales deberán reconocer una ganancia ocasional por el costo fiscal de las respectivas acciones tal como lo señala el numeral 4 del </w:t>
      </w:r>
      <w:r w:rsidRPr="004A65BC">
        <w:rPr>
          <w:rFonts w:eastAsia="Times New Roman" w:cs="Times New Roman"/>
          <w:color w:val="0089E1"/>
          <w:szCs w:val="24"/>
          <w:lang w:eastAsia="es-CO"/>
        </w:rPr>
        <w:t>artículo 303</w:t>
      </w:r>
      <w:r w:rsidRPr="004A65BC">
        <w:rPr>
          <w:rFonts w:eastAsia="Times New Roman" w:cs="Times New Roman"/>
          <w:color w:val="000000"/>
          <w:szCs w:val="24"/>
          <w:lang w:eastAsia="es-CO"/>
        </w:rPr>
        <w:t> del E.T. y el </w:t>
      </w:r>
      <w:r w:rsidRPr="004A65BC">
        <w:rPr>
          <w:rFonts w:eastAsia="Times New Roman" w:cs="Times New Roman"/>
          <w:color w:val="0089E1"/>
          <w:szCs w:val="24"/>
          <w:lang w:eastAsia="es-CO"/>
        </w:rPr>
        <w:t>artículo 272 </w:t>
      </w:r>
      <w:r w:rsidRPr="004A65BC">
        <w:rPr>
          <w:rFonts w:eastAsia="Times New Roman" w:cs="Times New Roman"/>
          <w:color w:val="000000"/>
          <w:szCs w:val="24"/>
          <w:lang w:eastAsia="es-CO"/>
        </w:rPr>
        <w:t>del E.T. La ganancia ocasional estará gravada con una tarifa del 10% según el </w:t>
      </w:r>
      <w:r w:rsidRPr="004A65BC">
        <w:rPr>
          <w:rFonts w:eastAsia="Times New Roman" w:cs="Times New Roman"/>
          <w:color w:val="0089E1"/>
          <w:szCs w:val="24"/>
          <w:lang w:eastAsia="es-CO"/>
        </w:rPr>
        <w:t>artículo 313</w:t>
      </w:r>
      <w:r w:rsidRPr="004A65BC">
        <w:rPr>
          <w:rFonts w:eastAsia="Times New Roman" w:cs="Times New Roman"/>
          <w:color w:val="000000"/>
          <w:szCs w:val="24"/>
          <w:lang w:eastAsia="es-CO"/>
        </w:rPr>
        <w:t> del E.T.</w:t>
      </w:r>
    </w:p>
    <w:p w14:paraId="4B3F668D" w14:textId="19F38B41"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 xml:space="preserve">c) Ahora bien, es importante resaltar que la cesión de las acciones estará condicionada a que se realice una dación en pago con las mismas a los acreedores de la sociedad (en adelante "SAS"), con el objetivo de eliminar los pasivos en cabeza de esta última. Dicho condicionamiento de la cesión a título gratuito de las </w:t>
      </w:r>
      <w:proofErr w:type="gramStart"/>
      <w:r w:rsidRPr="004A65BC">
        <w:rPr>
          <w:rFonts w:eastAsia="Times New Roman" w:cs="Times New Roman"/>
          <w:color w:val="000000"/>
          <w:szCs w:val="24"/>
          <w:lang w:eastAsia="es-CO"/>
        </w:rPr>
        <w:t>acciones,</w:t>
      </w:r>
      <w:proofErr w:type="gramEnd"/>
      <w:r w:rsidRPr="004A65BC">
        <w:rPr>
          <w:rFonts w:eastAsia="Times New Roman" w:cs="Times New Roman"/>
          <w:color w:val="000000"/>
          <w:szCs w:val="24"/>
          <w:lang w:eastAsia="es-CO"/>
        </w:rPr>
        <w:t xml:space="preserve"> no genera efectos en materia tributaria.</w:t>
      </w:r>
    </w:p>
    <w:p w14:paraId="01425F85" w14:textId="2E386176"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4.2. Dación en pago de las acciones a nombre de la SAS en beneficio de los acreedores:</w:t>
      </w:r>
    </w:p>
    <w:p w14:paraId="2BBE1656" w14:textId="463C6355"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a) Ahora bien, los accionistas nacionales propietarios de las acciones, en cumplimiento de lo estipulado en la cláusula de la cesión (condición) pueden realizar un pago en especie a nombre de un tercero, es decir de la SAS, a favor de los acreedores de la SAS.</w:t>
      </w:r>
    </w:p>
    <w:p w14:paraId="745C56AD" w14:textId="0191153B"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b) De lo anterior, es preciso revisar el tratamiento tributario aplicable en:</w:t>
      </w:r>
    </w:p>
    <w:p w14:paraId="15761985" w14:textId="77777777" w:rsidR="004A65BC" w:rsidRPr="004A65BC" w:rsidRDefault="004A65BC" w:rsidP="004A65BC">
      <w:pPr>
        <w:shd w:val="clear" w:color="auto" w:fill="FFFFFF"/>
        <w:spacing w:after="150" w:line="360" w:lineRule="auto"/>
        <w:ind w:hanging="720"/>
        <w:jc w:val="both"/>
        <w:rPr>
          <w:rFonts w:eastAsia="Times New Roman" w:cs="Times New Roman"/>
          <w:color w:val="555555"/>
          <w:szCs w:val="24"/>
          <w:lang w:eastAsia="es-CO"/>
        </w:rPr>
      </w:pPr>
      <w:r w:rsidRPr="004A65BC">
        <w:rPr>
          <w:rFonts w:eastAsia="Times New Roman" w:cs="Times New Roman"/>
          <w:color w:val="000000"/>
          <w:szCs w:val="24"/>
          <w:lang w:eastAsia="es-CO"/>
        </w:rPr>
        <w:t>i.</w:t>
      </w:r>
      <w:r w:rsidRPr="004A65BC">
        <w:rPr>
          <w:rFonts w:eastAsia="Times New Roman" w:cs="Times New Roman"/>
          <w:color w:val="555555"/>
          <w:szCs w:val="24"/>
          <w:lang w:eastAsia="es-CO"/>
        </w:rPr>
        <w:t>              </w:t>
      </w:r>
      <w:r w:rsidRPr="004A65BC">
        <w:rPr>
          <w:rFonts w:eastAsia="Times New Roman" w:cs="Times New Roman"/>
          <w:color w:val="000000"/>
          <w:szCs w:val="24"/>
          <w:u w:val="single"/>
          <w:lang w:eastAsia="es-CO"/>
        </w:rPr>
        <w:t>El pago en especie</w:t>
      </w:r>
      <w:r w:rsidRPr="004A65BC">
        <w:rPr>
          <w:rFonts w:eastAsia="Times New Roman" w:cs="Times New Roman"/>
          <w:color w:val="000000"/>
          <w:szCs w:val="24"/>
          <w:lang w:eastAsia="es-CO"/>
        </w:rPr>
        <w:t>:</w:t>
      </w:r>
    </w:p>
    <w:p w14:paraId="6EBDC1BB"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00BE088A"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w:t>
      </w:r>
      <w:r w:rsidRPr="004A65BC">
        <w:rPr>
          <w:rFonts w:eastAsia="Times New Roman" w:cs="Times New Roman"/>
          <w:color w:val="555555"/>
          <w:szCs w:val="24"/>
          <w:lang w:eastAsia="es-CO"/>
        </w:rPr>
        <w:t>           </w:t>
      </w:r>
      <w:r w:rsidRPr="004A65BC">
        <w:rPr>
          <w:rFonts w:eastAsia="Times New Roman" w:cs="Times New Roman"/>
          <w:color w:val="000000"/>
          <w:szCs w:val="24"/>
          <w:lang w:eastAsia="es-CO"/>
        </w:rPr>
        <w:t xml:space="preserve">El beneficiario del pago en especie de las acciones de las SAS, es decir los acreedores de </w:t>
      </w:r>
      <w:proofErr w:type="gramStart"/>
      <w:r w:rsidRPr="004A65BC">
        <w:rPr>
          <w:rFonts w:eastAsia="Times New Roman" w:cs="Times New Roman"/>
          <w:color w:val="000000"/>
          <w:szCs w:val="24"/>
          <w:lang w:eastAsia="es-CO"/>
        </w:rPr>
        <w:t>la misma</w:t>
      </w:r>
      <w:proofErr w:type="gramEnd"/>
      <w:r w:rsidRPr="004A65BC">
        <w:rPr>
          <w:rFonts w:eastAsia="Times New Roman" w:cs="Times New Roman"/>
          <w:color w:val="000000"/>
          <w:szCs w:val="24"/>
          <w:lang w:eastAsia="es-CO"/>
        </w:rPr>
        <w:t>, deberán registrar un ingreso susceptible de incrementar su patrimonio en los términos del </w:t>
      </w:r>
      <w:r w:rsidRPr="004A65BC">
        <w:rPr>
          <w:rFonts w:eastAsia="Times New Roman" w:cs="Times New Roman"/>
          <w:color w:val="0089E1"/>
          <w:szCs w:val="24"/>
          <w:lang w:eastAsia="es-CO"/>
        </w:rPr>
        <w:t>artículo 26</w:t>
      </w:r>
      <w:r w:rsidRPr="004A65BC">
        <w:rPr>
          <w:rFonts w:eastAsia="Times New Roman" w:cs="Times New Roman"/>
          <w:color w:val="000000"/>
          <w:szCs w:val="24"/>
          <w:lang w:eastAsia="es-CO"/>
        </w:rPr>
        <w:t> del E.T. por el costo fiscal de las acciones.</w:t>
      </w:r>
    </w:p>
    <w:p w14:paraId="155A554D"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4587232C"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w:t>
      </w:r>
      <w:r w:rsidRPr="004A65BC">
        <w:rPr>
          <w:rFonts w:eastAsia="Times New Roman" w:cs="Times New Roman"/>
          <w:color w:val="555555"/>
          <w:szCs w:val="24"/>
          <w:lang w:eastAsia="es-CO"/>
        </w:rPr>
        <w:t>           </w:t>
      </w:r>
      <w:r w:rsidRPr="004A65BC">
        <w:rPr>
          <w:rFonts w:eastAsia="Times New Roman" w:cs="Times New Roman"/>
          <w:color w:val="000000"/>
          <w:szCs w:val="24"/>
          <w:lang w:eastAsia="es-CO"/>
        </w:rPr>
        <w:t>Dicho ingreso estará gravado a la tarifa general del impuesto sobre la renta en los    términos señalados en el E.T.</w:t>
      </w:r>
    </w:p>
    <w:p w14:paraId="6C5D16CD"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4A40A777" w14:textId="77777777" w:rsidR="004A65BC" w:rsidRPr="004A65BC" w:rsidRDefault="004A65BC" w:rsidP="004A65BC">
      <w:pPr>
        <w:shd w:val="clear" w:color="auto" w:fill="FFFFFF"/>
        <w:spacing w:after="150" w:line="360" w:lineRule="auto"/>
        <w:ind w:hanging="720"/>
        <w:jc w:val="both"/>
        <w:rPr>
          <w:rFonts w:eastAsia="Times New Roman" w:cs="Times New Roman"/>
          <w:color w:val="555555"/>
          <w:szCs w:val="24"/>
          <w:lang w:eastAsia="es-CO"/>
        </w:rPr>
      </w:pPr>
      <w:proofErr w:type="spellStart"/>
      <w:r w:rsidRPr="004A65BC">
        <w:rPr>
          <w:rFonts w:eastAsia="Times New Roman" w:cs="Times New Roman"/>
          <w:color w:val="000000"/>
          <w:szCs w:val="24"/>
          <w:lang w:eastAsia="es-CO"/>
        </w:rPr>
        <w:t>ii</w:t>
      </w:r>
      <w:proofErr w:type="spellEnd"/>
      <w:r w:rsidRPr="004A65BC">
        <w:rPr>
          <w:rFonts w:eastAsia="Times New Roman" w:cs="Times New Roman"/>
          <w:color w:val="000000"/>
          <w:szCs w:val="24"/>
          <w:lang w:eastAsia="es-CO"/>
        </w:rPr>
        <w:t>.</w:t>
      </w:r>
      <w:r w:rsidRPr="004A65BC">
        <w:rPr>
          <w:rFonts w:eastAsia="Times New Roman" w:cs="Times New Roman"/>
          <w:color w:val="555555"/>
          <w:szCs w:val="24"/>
          <w:lang w:eastAsia="es-CO"/>
        </w:rPr>
        <w:t>             </w:t>
      </w:r>
      <w:r w:rsidRPr="004A65BC">
        <w:rPr>
          <w:rFonts w:eastAsia="Times New Roman" w:cs="Times New Roman"/>
          <w:color w:val="000000"/>
          <w:szCs w:val="24"/>
          <w:u w:val="single"/>
          <w:lang w:eastAsia="es-CO"/>
        </w:rPr>
        <w:t>El pago a nombre de terceros</w:t>
      </w:r>
      <w:r w:rsidRPr="004A65BC">
        <w:rPr>
          <w:rFonts w:eastAsia="Times New Roman" w:cs="Times New Roman"/>
          <w:color w:val="000000"/>
          <w:szCs w:val="24"/>
          <w:lang w:eastAsia="es-CO"/>
        </w:rPr>
        <w:t>:</w:t>
      </w:r>
    </w:p>
    <w:p w14:paraId="2D6556C6"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23BEBBE7"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w:t>
      </w:r>
      <w:r w:rsidRPr="004A65BC">
        <w:rPr>
          <w:rFonts w:eastAsia="Times New Roman" w:cs="Times New Roman"/>
          <w:color w:val="555555"/>
          <w:szCs w:val="24"/>
          <w:lang w:eastAsia="es-CO"/>
        </w:rPr>
        <w:t>           </w:t>
      </w:r>
      <w:r w:rsidRPr="004A65BC">
        <w:rPr>
          <w:rFonts w:eastAsia="Times New Roman" w:cs="Times New Roman"/>
          <w:color w:val="000000"/>
          <w:szCs w:val="24"/>
          <w:lang w:eastAsia="es-CO"/>
        </w:rPr>
        <w:t>Los accionistas, podrán realizar el pago a nombre de los acreedores de las SAS con las respectivas acciones, con el fin de que estos últimos eliminen sus cuentas por cobrar con la SAS.</w:t>
      </w:r>
    </w:p>
    <w:p w14:paraId="673B5BD1"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6B3E4507"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w:t>
      </w:r>
      <w:r w:rsidRPr="004A65BC">
        <w:rPr>
          <w:rFonts w:eastAsia="Times New Roman" w:cs="Times New Roman"/>
          <w:color w:val="555555"/>
          <w:szCs w:val="24"/>
          <w:lang w:eastAsia="es-CO"/>
        </w:rPr>
        <w:t>           </w:t>
      </w:r>
      <w:r w:rsidRPr="004A65BC">
        <w:rPr>
          <w:rFonts w:eastAsia="Times New Roman" w:cs="Times New Roman"/>
          <w:color w:val="000000"/>
          <w:szCs w:val="24"/>
          <w:lang w:eastAsia="es-CO"/>
        </w:rPr>
        <w:t>Lo anterior deberá reconocerse para efectos tributarios como un mandato. En esta medida, deberán aplicarse las normas tributarias correspondientes al mandato, entre las cuales están los artículos 1.2.4.11., 1.6.1.4.3. y 1.6.1.4.1.11 de Decreto 1625 de 2016, Único en Materia Tributaria (en adelante "DUR").</w:t>
      </w:r>
    </w:p>
    <w:p w14:paraId="4EEB1128"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lastRenderedPageBreak/>
        <w:t> </w:t>
      </w:r>
    </w:p>
    <w:p w14:paraId="2AFE0FDD"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c) Teniendo en cuenta lo anterior, es preciso señalar que el pago en especie a realizado en nombre de un tercero tiene como consecuencia el nacimiento de una nueva obligación entre quien realizó el pago, es decir el accionista, y el tercero, es decir SAS.</w:t>
      </w:r>
    </w:p>
    <w:p w14:paraId="6FB34D13"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4CA0D028"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d) Considerando que los accionistas realizan el pago de las acciones a nombre de las SAS en cumplimiento de la cláusula incluida en el contrato de cesión, dichos accionistas podrán condonar la deuda con la SAS.</w:t>
      </w:r>
    </w:p>
    <w:p w14:paraId="505E6AEB"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023DB2C0" w14:textId="7CA1249F"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e) En el caso de realizarse la condonación de la deuda, será necesario tener en cuenta lo señalado por este despacho en el concepto No. 001669 del 25 de septiembre de 2018, donde se estableció que:</w:t>
      </w:r>
      <w:r w:rsidRPr="004A65BC">
        <w:rPr>
          <w:rFonts w:eastAsia="Times New Roman" w:cs="Times New Roman"/>
          <w:color w:val="555555"/>
          <w:szCs w:val="24"/>
          <w:lang w:eastAsia="es-CO"/>
        </w:rPr>
        <w:t> </w:t>
      </w:r>
    </w:p>
    <w:p w14:paraId="13FF245A"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lang w:eastAsia="es-CO"/>
        </w:rPr>
        <w:t>"(...) Sobre la figura de la condonación este despacho (oficios 015166 del 25 de mayo de 2015 y 901161 del 17 de marzo de 2017) con base en lo señalado en los artículos </w:t>
      </w:r>
      <w:r w:rsidRPr="004A65BC">
        <w:rPr>
          <w:rFonts w:eastAsia="Times New Roman" w:cs="Times New Roman"/>
          <w:i/>
          <w:iCs/>
          <w:color w:val="0089E1"/>
          <w:szCs w:val="24"/>
          <w:lang w:eastAsia="es-CO"/>
        </w:rPr>
        <w:t>26</w:t>
      </w:r>
      <w:r w:rsidRPr="004A65BC">
        <w:rPr>
          <w:rFonts w:eastAsia="Times New Roman" w:cs="Times New Roman"/>
          <w:i/>
          <w:iCs/>
          <w:color w:val="000000"/>
          <w:szCs w:val="24"/>
          <w:lang w:eastAsia="es-CO"/>
        </w:rPr>
        <w:t>, </w:t>
      </w:r>
      <w:r w:rsidRPr="004A65BC">
        <w:rPr>
          <w:rFonts w:eastAsia="Times New Roman" w:cs="Times New Roman"/>
          <w:i/>
          <w:iCs/>
          <w:color w:val="0089E1"/>
          <w:szCs w:val="24"/>
          <w:lang w:eastAsia="es-CO"/>
        </w:rPr>
        <w:t>261</w:t>
      </w:r>
      <w:r w:rsidRPr="004A65BC">
        <w:rPr>
          <w:rFonts w:eastAsia="Times New Roman" w:cs="Times New Roman"/>
          <w:i/>
          <w:iCs/>
          <w:color w:val="000000"/>
          <w:szCs w:val="24"/>
          <w:lang w:eastAsia="es-CO"/>
        </w:rPr>
        <w:t>, </w:t>
      </w:r>
      <w:r w:rsidRPr="004A65BC">
        <w:rPr>
          <w:rFonts w:eastAsia="Times New Roman" w:cs="Times New Roman"/>
          <w:i/>
          <w:iCs/>
          <w:color w:val="0089E1"/>
          <w:szCs w:val="24"/>
          <w:lang w:eastAsia="es-CO"/>
        </w:rPr>
        <w:t>282</w:t>
      </w:r>
      <w:r w:rsidRPr="004A65BC">
        <w:rPr>
          <w:rFonts w:eastAsia="Times New Roman" w:cs="Times New Roman"/>
          <w:i/>
          <w:iCs/>
          <w:color w:val="000000"/>
          <w:szCs w:val="24"/>
          <w:lang w:eastAsia="es-CO"/>
        </w:rPr>
        <w:t> del Estatuto Tributario ha interpretado que, </w:t>
      </w:r>
      <w:r w:rsidRPr="004A65BC">
        <w:rPr>
          <w:rFonts w:eastAsia="Times New Roman" w:cs="Times New Roman"/>
          <w:i/>
          <w:iCs/>
          <w:color w:val="000000"/>
          <w:szCs w:val="24"/>
          <w:u w:val="single"/>
          <w:lang w:eastAsia="es-CO"/>
        </w:rPr>
        <w:t>según la legislación colombiana, esta se erige como una de las formas de extinguir las obligaciones de forma unilateral, en la que el acreedor libera al deudor del cumplimiento de la prestación a la que se encontraba obligado y que en materia fiscal implica que ocurren dos situaciones frente al acreedor y el condonado.</w:t>
      </w:r>
    </w:p>
    <w:p w14:paraId="468F52C7" w14:textId="2C0BF134"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u w:val="single"/>
          <w:lang w:eastAsia="es-CO"/>
        </w:rPr>
        <w:t>Frente al acreedor que condona la deuda, se genera una aminoración en su patrimonio como consecuencia de dicho acto</w:t>
      </w:r>
      <w:r w:rsidRPr="004A65BC">
        <w:rPr>
          <w:rFonts w:eastAsia="Times New Roman" w:cs="Times New Roman"/>
          <w:i/>
          <w:iCs/>
          <w:color w:val="000000"/>
          <w:szCs w:val="24"/>
          <w:lang w:eastAsia="es-CO"/>
        </w:rPr>
        <w:t>.</w:t>
      </w:r>
    </w:p>
    <w:p w14:paraId="30EA0205" w14:textId="6CD12110"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u w:val="single"/>
          <w:lang w:eastAsia="es-CO"/>
        </w:rPr>
        <w:t>En cabeza del condonado se genera un correlativo ingreso, en virtud de un acto espontáneo, que debe ser gravado para efectos del impuesto sobre la renta y complementario, toda vez que dicha condonación genera un incremento dentro de su patrimonio.</w:t>
      </w:r>
    </w:p>
    <w:p w14:paraId="1A982183" w14:textId="352E5D0D"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lang w:eastAsia="es-CO"/>
        </w:rPr>
        <w:t>Así las cosas, </w:t>
      </w:r>
      <w:r w:rsidRPr="004A65BC">
        <w:rPr>
          <w:rFonts w:eastAsia="Times New Roman" w:cs="Times New Roman"/>
          <w:i/>
          <w:iCs/>
          <w:color w:val="000000"/>
          <w:szCs w:val="24"/>
          <w:u w:val="single"/>
          <w:lang w:eastAsia="es-CO"/>
        </w:rPr>
        <w:t>este ingreso deberá incluirse por el condonado en su declaración de renta como un ingreso ordinario o extraordinario (ganancia ocasional), análisis que corresponderá en efecto al contribuyente, según su situación particular.</w:t>
      </w:r>
    </w:p>
    <w:p w14:paraId="594A5549"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i/>
          <w:iCs/>
          <w:color w:val="000000"/>
          <w:szCs w:val="24"/>
          <w:lang w:eastAsia="es-CO"/>
        </w:rPr>
        <w:t>(…).”</w:t>
      </w:r>
    </w:p>
    <w:p w14:paraId="65485285" w14:textId="260085CB"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 xml:space="preserve">f) Por lo anterior, </w:t>
      </w:r>
      <w:proofErr w:type="gramStart"/>
      <w:r w:rsidRPr="004A65BC">
        <w:rPr>
          <w:rFonts w:eastAsia="Times New Roman" w:cs="Times New Roman"/>
          <w:color w:val="000000"/>
          <w:szCs w:val="24"/>
          <w:lang w:eastAsia="es-CO"/>
        </w:rPr>
        <w:t>en caso que</w:t>
      </w:r>
      <w:proofErr w:type="gramEnd"/>
      <w:r w:rsidRPr="004A65BC">
        <w:rPr>
          <w:rFonts w:eastAsia="Times New Roman" w:cs="Times New Roman"/>
          <w:color w:val="000000"/>
          <w:szCs w:val="24"/>
          <w:lang w:eastAsia="es-CO"/>
        </w:rPr>
        <w:t xml:space="preserve"> los accionistas condonen la deuda a la sociedad, tanto los accionistas como la SAS deberán aplicar lo señalado en el concepto citado.</w:t>
      </w:r>
    </w:p>
    <w:p w14:paraId="229296A7"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221422A0" w14:textId="7CC715ED"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Atentamente,</w:t>
      </w:r>
    </w:p>
    <w:p w14:paraId="4DD527B2" w14:textId="572A7B50"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b/>
          <w:bCs/>
          <w:color w:val="000000"/>
          <w:szCs w:val="24"/>
          <w:lang w:eastAsia="es-CO"/>
        </w:rPr>
        <w:t>LORENZO CASTILLO BARVO</w:t>
      </w:r>
    </w:p>
    <w:p w14:paraId="0560C151"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Subdirector de Gestión Normativa y Doctrina (E)</w:t>
      </w:r>
    </w:p>
    <w:p w14:paraId="6BE4F83F" w14:textId="77777777" w:rsidR="004A65BC" w:rsidRPr="004A65BC" w:rsidRDefault="004A65BC" w:rsidP="004A65BC">
      <w:pPr>
        <w:shd w:val="clear" w:color="auto" w:fill="FFFFFF"/>
        <w:spacing w:after="150" w:line="360" w:lineRule="auto"/>
        <w:jc w:val="both"/>
        <w:rPr>
          <w:rFonts w:eastAsia="Times New Roman" w:cs="Times New Roman"/>
          <w:color w:val="555555"/>
          <w:szCs w:val="24"/>
          <w:lang w:eastAsia="es-CO"/>
        </w:rPr>
      </w:pPr>
      <w:r w:rsidRPr="004A65BC">
        <w:rPr>
          <w:rFonts w:eastAsia="Times New Roman" w:cs="Times New Roman"/>
          <w:color w:val="000000"/>
          <w:szCs w:val="24"/>
          <w:lang w:eastAsia="es-CO"/>
        </w:rPr>
        <w:t>Dirección de Gestión Jurídica</w:t>
      </w:r>
    </w:p>
    <w:p w14:paraId="1123C42D" w14:textId="77777777" w:rsidR="004A65BC" w:rsidRDefault="004A65BC" w:rsidP="004A65BC">
      <w:pPr>
        <w:shd w:val="clear" w:color="auto" w:fill="FFFFFF"/>
        <w:spacing w:after="150" w:line="360" w:lineRule="auto"/>
        <w:jc w:val="both"/>
        <w:rPr>
          <w:rFonts w:eastAsia="Times New Roman" w:cs="Times New Roman"/>
          <w:color w:val="000000"/>
          <w:szCs w:val="24"/>
          <w:lang w:eastAsia="es-CO"/>
        </w:rPr>
      </w:pPr>
      <w:r w:rsidRPr="004A65BC">
        <w:rPr>
          <w:rFonts w:eastAsia="Times New Roman" w:cs="Times New Roman"/>
          <w:color w:val="000000"/>
          <w:szCs w:val="24"/>
          <w:lang w:eastAsia="es-CO"/>
        </w:rPr>
        <w:lastRenderedPageBreak/>
        <w:t>UAE- Dirección de Impuestos y Aduanas Nacionales</w:t>
      </w:r>
    </w:p>
    <w:p w14:paraId="1A8D9A24" w14:textId="0F1E1BF8" w:rsidR="004A65BC" w:rsidRPr="004A65BC" w:rsidRDefault="004A65BC" w:rsidP="004A65BC">
      <w:pPr>
        <w:shd w:val="clear" w:color="auto" w:fill="FFFFFF"/>
        <w:spacing w:after="15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0CF695E8" w14:textId="77777777" w:rsidR="004A65BC" w:rsidRPr="004A65BC" w:rsidRDefault="004A65BC" w:rsidP="004A65BC">
      <w:pPr>
        <w:shd w:val="clear" w:color="auto" w:fill="FFFFFF"/>
        <w:spacing w:after="165" w:line="360" w:lineRule="auto"/>
        <w:jc w:val="both"/>
        <w:rPr>
          <w:rFonts w:eastAsia="Times New Roman" w:cs="Times New Roman"/>
          <w:color w:val="555555"/>
          <w:szCs w:val="24"/>
          <w:lang w:eastAsia="es-CO"/>
        </w:rPr>
      </w:pPr>
      <w:r w:rsidRPr="004A65BC">
        <w:rPr>
          <w:rFonts w:eastAsia="Times New Roman" w:cs="Times New Roman"/>
          <w:color w:val="555555"/>
          <w:szCs w:val="24"/>
          <w:lang w:eastAsia="es-CO"/>
        </w:rPr>
        <w:t> </w:t>
      </w:r>
    </w:p>
    <w:p w14:paraId="06B0E288" w14:textId="77777777" w:rsidR="007F5CC8" w:rsidRPr="004A65BC" w:rsidRDefault="007F5CC8" w:rsidP="004A65BC">
      <w:pPr>
        <w:spacing w:line="360" w:lineRule="auto"/>
        <w:jc w:val="both"/>
        <w:rPr>
          <w:rFonts w:cs="Times New Roman"/>
          <w:szCs w:val="24"/>
        </w:rPr>
      </w:pPr>
    </w:p>
    <w:sectPr w:rsidR="007F5CC8" w:rsidRPr="004A65B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BC"/>
    <w:rsid w:val="000F3837"/>
    <w:rsid w:val="001E311E"/>
    <w:rsid w:val="00434AE6"/>
    <w:rsid w:val="004A65BC"/>
    <w:rsid w:val="007F5CC8"/>
    <w:rsid w:val="008779BE"/>
    <w:rsid w:val="00D4249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DBF2"/>
  <w15:chartTrackingRefBased/>
  <w15:docId w15:val="{0AEA9FA6-E4A0-41BD-9391-66E363E2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5</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2021-06-30T15:14:00Z</dcterms:created>
  <dcterms:modified xsi:type="dcterms:W3CDTF">2021-07-01T02:44:00Z</dcterms:modified>
</cp:coreProperties>
</file>