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833B" w14:textId="77777777" w:rsidR="0054597A" w:rsidRPr="00F7063F" w:rsidRDefault="0054597A" w:rsidP="00F7063F">
      <w:pPr>
        <w:pStyle w:val="NormalWeb"/>
        <w:shd w:val="clear" w:color="auto" w:fill="FFFFFF"/>
        <w:spacing w:before="0" w:beforeAutospacing="0" w:after="160" w:afterAutospacing="0" w:line="360" w:lineRule="auto"/>
        <w:jc w:val="center"/>
        <w:rPr>
          <w:rFonts w:ascii="Century Gothic" w:hAnsi="Century Gothic" w:cs="Helvetica"/>
          <w:color w:val="555555"/>
        </w:rPr>
      </w:pPr>
      <w:r w:rsidRPr="00F7063F">
        <w:rPr>
          <w:rFonts w:ascii="Century Gothic" w:hAnsi="Century Gothic" w:cs="Segoe UI"/>
          <w:b/>
          <w:bCs/>
          <w:color w:val="0000FF"/>
        </w:rPr>
        <w:t xml:space="preserve">OFICIO </w:t>
      </w:r>
      <w:proofErr w:type="spellStart"/>
      <w:r w:rsidRPr="00F7063F">
        <w:rPr>
          <w:rFonts w:ascii="Century Gothic" w:hAnsi="Century Gothic" w:cs="Segoe UI"/>
          <w:b/>
          <w:bCs/>
          <w:color w:val="0000FF"/>
        </w:rPr>
        <w:t>Nº</w:t>
      </w:r>
      <w:proofErr w:type="spellEnd"/>
      <w:r w:rsidRPr="00F7063F">
        <w:rPr>
          <w:rFonts w:ascii="Century Gothic" w:hAnsi="Century Gothic" w:cs="Segoe UI"/>
          <w:b/>
          <w:bCs/>
          <w:color w:val="0000FF"/>
        </w:rPr>
        <w:t xml:space="preserve"> 020074</w:t>
      </w:r>
    </w:p>
    <w:p w14:paraId="57D62521" w14:textId="77777777" w:rsidR="0054597A" w:rsidRPr="00F7063F" w:rsidRDefault="0054597A" w:rsidP="00F7063F">
      <w:pPr>
        <w:pStyle w:val="NormalWeb"/>
        <w:shd w:val="clear" w:color="auto" w:fill="FFFFFF"/>
        <w:spacing w:before="0" w:beforeAutospacing="0" w:after="160" w:afterAutospacing="0" w:line="360" w:lineRule="auto"/>
        <w:jc w:val="center"/>
        <w:rPr>
          <w:rFonts w:ascii="Century Gothic" w:hAnsi="Century Gothic" w:cs="Helvetica"/>
          <w:color w:val="555555"/>
        </w:rPr>
      </w:pPr>
      <w:r w:rsidRPr="00F7063F">
        <w:rPr>
          <w:rFonts w:ascii="Century Gothic" w:hAnsi="Century Gothic" w:cs="Segoe UI"/>
          <w:b/>
          <w:bCs/>
          <w:color w:val="0000FF"/>
        </w:rPr>
        <w:t>13-08-2019</w:t>
      </w:r>
    </w:p>
    <w:p w14:paraId="4D5B53C1" w14:textId="77777777" w:rsidR="0054597A" w:rsidRPr="00F7063F" w:rsidRDefault="0054597A" w:rsidP="00F7063F">
      <w:pPr>
        <w:pStyle w:val="NormalWeb"/>
        <w:shd w:val="clear" w:color="auto" w:fill="FFFFFF"/>
        <w:spacing w:before="0" w:beforeAutospacing="0" w:after="160" w:afterAutospacing="0" w:line="360" w:lineRule="auto"/>
        <w:jc w:val="center"/>
        <w:rPr>
          <w:rFonts w:ascii="Century Gothic" w:hAnsi="Century Gothic" w:cs="Helvetica"/>
          <w:color w:val="555555"/>
        </w:rPr>
      </w:pPr>
      <w:r w:rsidRPr="00F7063F">
        <w:rPr>
          <w:rFonts w:ascii="Century Gothic" w:hAnsi="Century Gothic" w:cs="Segoe UI"/>
          <w:b/>
          <w:bCs/>
          <w:color w:val="0000FF"/>
        </w:rPr>
        <w:t>DIAN</w:t>
      </w:r>
    </w:p>
    <w:p w14:paraId="43A8FB1D"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Calibri"/>
          <w:b/>
          <w:bCs/>
          <w:color w:val="555555"/>
        </w:rPr>
        <w:t> </w:t>
      </w:r>
    </w:p>
    <w:p w14:paraId="44B665DF"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Subdirección de Gestión Normativa y Doctrina</w:t>
      </w:r>
    </w:p>
    <w:p w14:paraId="4E0BB2B0" w14:textId="5B305385"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Bogotá, D.C.</w:t>
      </w:r>
      <w:r w:rsidR="00F7063F">
        <w:rPr>
          <w:rFonts w:ascii="Century Gothic" w:hAnsi="Century Gothic" w:cs="Helvetica"/>
          <w:color w:val="555555"/>
        </w:rPr>
        <w:t xml:space="preserve">- </w:t>
      </w:r>
      <w:r w:rsidRPr="00F7063F">
        <w:rPr>
          <w:rFonts w:ascii="Century Gothic" w:hAnsi="Century Gothic" w:cs="Segoe UI"/>
          <w:color w:val="000000"/>
        </w:rPr>
        <w:t>100208221 001985</w:t>
      </w:r>
    </w:p>
    <w:p w14:paraId="0419E837" w14:textId="069606B3"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proofErr w:type="spellStart"/>
      <w:r w:rsidRPr="00F7063F">
        <w:rPr>
          <w:rFonts w:ascii="Century Gothic" w:hAnsi="Century Gothic" w:cs="Segoe UI"/>
          <w:b/>
          <w:bCs/>
          <w:color w:val="000000"/>
        </w:rPr>
        <w:t>Ref</w:t>
      </w:r>
      <w:proofErr w:type="spellEnd"/>
      <w:r w:rsidRPr="00F7063F">
        <w:rPr>
          <w:rFonts w:ascii="Century Gothic" w:hAnsi="Century Gothic" w:cs="Segoe UI"/>
          <w:b/>
          <w:bCs/>
          <w:color w:val="000000"/>
        </w:rPr>
        <w:t>:</w:t>
      </w:r>
      <w:r w:rsidRPr="00F7063F">
        <w:rPr>
          <w:rFonts w:ascii="Century Gothic" w:hAnsi="Century Gothic" w:cs="Segoe UI"/>
          <w:color w:val="000000"/>
        </w:rPr>
        <w:t> Radicado 000063 del 23/01/2019</w:t>
      </w:r>
    </w:p>
    <w:p w14:paraId="6841AE8F" w14:textId="77777777" w:rsidR="00F7063F" w:rsidRDefault="00F7063F" w:rsidP="00F7063F">
      <w:pPr>
        <w:pStyle w:val="NormalWeb"/>
        <w:shd w:val="clear" w:color="auto" w:fill="FFFFFF"/>
        <w:spacing w:before="0" w:beforeAutospacing="0" w:after="160" w:afterAutospacing="0" w:line="360" w:lineRule="auto"/>
        <w:jc w:val="both"/>
        <w:rPr>
          <w:rFonts w:ascii="Century Gothic" w:hAnsi="Century Gothic" w:cs="Calibri"/>
          <w:color w:val="555555"/>
        </w:rPr>
      </w:pPr>
    </w:p>
    <w:p w14:paraId="007D93E4" w14:textId="6F59EF63"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b/>
          <w:bCs/>
          <w:color w:val="000000"/>
        </w:rPr>
        <w:t>Tema</w:t>
      </w:r>
      <w:r w:rsidRPr="00F7063F">
        <w:rPr>
          <w:rFonts w:ascii="Century Gothic" w:hAnsi="Century Gothic" w:cs="Segoe UI"/>
          <w:color w:val="000000"/>
        </w:rPr>
        <w:t> Retención en la fuente</w:t>
      </w:r>
    </w:p>
    <w:p w14:paraId="6C9F51BD"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b/>
          <w:bCs/>
          <w:color w:val="000000"/>
        </w:rPr>
        <w:t>Descriptores</w:t>
      </w:r>
      <w:r w:rsidRPr="00F7063F">
        <w:rPr>
          <w:rFonts w:ascii="Century Gothic" w:hAnsi="Century Gothic" w:cs="Segoe UI"/>
          <w:color w:val="000000"/>
        </w:rPr>
        <w:t> Retención en la Fuente en Contratos de Leasing</w:t>
      </w:r>
    </w:p>
    <w:p w14:paraId="370FBD8B"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b/>
          <w:bCs/>
          <w:color w:val="000000"/>
        </w:rPr>
        <w:t>Fuentes formales</w:t>
      </w:r>
      <w:r w:rsidRPr="00F7063F">
        <w:rPr>
          <w:rFonts w:ascii="Century Gothic" w:hAnsi="Century Gothic" w:cs="Segoe UI"/>
          <w:color w:val="000000"/>
        </w:rPr>
        <w:t> Estatuto Tributario, </w:t>
      </w:r>
      <w:r w:rsidRPr="00F7063F">
        <w:rPr>
          <w:rFonts w:ascii="Century Gothic" w:hAnsi="Century Gothic" w:cs="Segoe UI"/>
          <w:color w:val="0089E1"/>
        </w:rPr>
        <w:t>artículo 127-1</w:t>
      </w:r>
      <w:r w:rsidRPr="00F7063F">
        <w:rPr>
          <w:rFonts w:ascii="Century Gothic" w:hAnsi="Century Gothic" w:cs="Segoe UI"/>
          <w:color w:val="000000"/>
        </w:rPr>
        <w:t>; Código de Comercio, artículo 887; Decreto Único Reglamentario 1625 de 2016, artículos: 1.2.4.9.1. y 1.2.4.9.2.</w:t>
      </w:r>
    </w:p>
    <w:p w14:paraId="4142CB79" w14:textId="77777777" w:rsidR="00F7063F" w:rsidRDefault="00F7063F" w:rsidP="00F7063F">
      <w:pPr>
        <w:pStyle w:val="NormalWeb"/>
        <w:shd w:val="clear" w:color="auto" w:fill="FFFFFF"/>
        <w:spacing w:before="0" w:beforeAutospacing="0" w:after="160" w:afterAutospacing="0" w:line="360" w:lineRule="auto"/>
        <w:jc w:val="both"/>
        <w:rPr>
          <w:rFonts w:ascii="Century Gothic" w:hAnsi="Century Gothic" w:cs="Calibri"/>
          <w:color w:val="555555"/>
        </w:rPr>
      </w:pPr>
    </w:p>
    <w:p w14:paraId="26A59FCB" w14:textId="63FECE72"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Cordial saludo, Sr. Ordoñez.</w:t>
      </w:r>
    </w:p>
    <w:p w14:paraId="256C5554" w14:textId="1035BED6"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0185C4B6" w14:textId="4BFA5364"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Plantea usted lo siguiente:</w:t>
      </w:r>
    </w:p>
    <w:p w14:paraId="143DB5B8" w14:textId="7A22282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Una empresa A en el año 2018 constituye un leasing financiero con una entidad bancaria sobre un lote de terreno. Esta empresa incumple el contrato, por lo cual decide ceder a la empresa B el derecho de opción de compra, la cual es aceptada por la entidad bancaria.</w:t>
      </w:r>
    </w:p>
    <w:p w14:paraId="71732590" w14:textId="0B6B4F24"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Calibri"/>
          <w:color w:val="555555"/>
        </w:rPr>
        <w:t> </w:t>
      </w:r>
      <w:r w:rsidRPr="00F7063F">
        <w:rPr>
          <w:rFonts w:ascii="Century Gothic" w:hAnsi="Century Gothic" w:cs="Segoe UI"/>
          <w:color w:val="000000"/>
        </w:rPr>
        <w:t>La empresa A en el contrato de cesión de opción de derechos autoriza a la empresa B a pagar a la entidad bancaria las cuotas vencidas, más el valor de la opción de compra. De igual manera autoriza pagar a su nombre los impuestos y gastos notariales. La cesión de opción de compra se pacta por 2000</w:t>
      </w:r>
    </w:p>
    <w:p w14:paraId="4595D669" w14:textId="41EA177B"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 xml:space="preserve">La empresa B a nombre de A cancela cuotas vencidas por 800. El banco mediante escritura pública transfiere el lote a la empresa B por 500 que es el valor </w:t>
      </w:r>
      <w:r w:rsidRPr="00F7063F">
        <w:rPr>
          <w:rFonts w:ascii="Century Gothic" w:hAnsi="Century Gothic" w:cs="Segoe UI"/>
          <w:color w:val="000000"/>
        </w:rPr>
        <w:lastRenderedPageBreak/>
        <w:t>de la opción de compra pactado. Además, la empresa B paga por A impuestos por 100 y le cancela 600 para completar 2000 que es el valor pactado.</w:t>
      </w:r>
    </w:p>
    <w:p w14:paraId="2115FC89" w14:textId="4C93B0B6"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b/>
          <w:bCs/>
          <w:color w:val="555555"/>
        </w:rPr>
      </w:pPr>
      <w:r w:rsidRPr="00F7063F">
        <w:rPr>
          <w:rFonts w:ascii="Century Gothic" w:hAnsi="Century Gothic" w:cs="Calibri"/>
          <w:color w:val="555555"/>
        </w:rPr>
        <w:t> </w:t>
      </w:r>
      <w:r w:rsidRPr="00F7063F">
        <w:rPr>
          <w:rFonts w:ascii="Century Gothic" w:hAnsi="Century Gothic" w:cs="Segoe UI"/>
          <w:b/>
          <w:bCs/>
          <w:color w:val="000000"/>
          <w:highlight w:val="yellow"/>
        </w:rPr>
        <w:t>¿Pregunta cuál es la retención en la fuente que debe practicar la empresa B a la empresa A por 1500 que no quedaron en la escritura?</w:t>
      </w:r>
    </w:p>
    <w:p w14:paraId="615060D6" w14:textId="64DCABD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Calibri"/>
          <w:color w:val="555555"/>
        </w:rPr>
        <w:t> </w:t>
      </w:r>
      <w:r w:rsidRPr="00F7063F">
        <w:rPr>
          <w:rFonts w:ascii="Century Gothic" w:hAnsi="Century Gothic" w:cs="Segoe UI"/>
          <w:color w:val="000000"/>
        </w:rPr>
        <w:t>Al respecto se observa lo siguiente:</w:t>
      </w:r>
      <w:r w:rsidRPr="00F7063F">
        <w:rPr>
          <w:rFonts w:ascii="Century Gothic" w:hAnsi="Century Gothic" w:cs="Calibri"/>
          <w:color w:val="555555"/>
        </w:rPr>
        <w:t> </w:t>
      </w:r>
    </w:p>
    <w:p w14:paraId="0496E1B3" w14:textId="00B940E9"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1. </w:t>
      </w:r>
      <w:r w:rsidRPr="00F7063F">
        <w:rPr>
          <w:rFonts w:ascii="Century Gothic" w:hAnsi="Century Gothic" w:cs="Segoe UI"/>
          <w:color w:val="000000"/>
          <w:u w:val="single"/>
        </w:rPr>
        <w:t>Cesión de la opción de compra en el contrato de leasing financiero.</w:t>
      </w:r>
      <w:r w:rsidRPr="00F7063F">
        <w:rPr>
          <w:rFonts w:ascii="Century Gothic" w:hAnsi="Century Gothic" w:cs="Calibri"/>
          <w:color w:val="555555"/>
        </w:rPr>
        <w:t> </w:t>
      </w:r>
    </w:p>
    <w:p w14:paraId="2B5D533D"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El </w:t>
      </w:r>
      <w:r w:rsidRPr="00F7063F">
        <w:rPr>
          <w:rFonts w:ascii="Century Gothic" w:hAnsi="Century Gothic" w:cs="Segoe UI"/>
          <w:color w:val="0089E1"/>
        </w:rPr>
        <w:t>artículo 127-1</w:t>
      </w:r>
      <w:r w:rsidRPr="00F7063F">
        <w:rPr>
          <w:rFonts w:ascii="Century Gothic" w:hAnsi="Century Gothic" w:cs="Segoe UI"/>
          <w:color w:val="000000"/>
        </w:rPr>
        <w:t> del Estatuto Tributario señala que:</w:t>
      </w:r>
    </w:p>
    <w:p w14:paraId="14E6A734" w14:textId="5DFBCA0A"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Calibri"/>
          <w:i/>
          <w:iCs/>
          <w:color w:val="555555"/>
        </w:rPr>
        <w:t> </w:t>
      </w:r>
      <w:r w:rsidRPr="00F7063F">
        <w:rPr>
          <w:rFonts w:ascii="Century Gothic" w:hAnsi="Century Gothic" w:cs="Segoe UI"/>
          <w:i/>
          <w:iCs/>
          <w:color w:val="000000"/>
        </w:rPr>
        <w:t>“Son contratos de arrendamiento el arrendamiento operativo y el arrendamiento financiero o leasing.</w:t>
      </w:r>
    </w:p>
    <w:p w14:paraId="06D711DD" w14:textId="0701A015"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Calibri"/>
          <w:i/>
          <w:iCs/>
          <w:color w:val="555555"/>
        </w:rPr>
        <w:t> </w:t>
      </w:r>
      <w:r w:rsidRPr="00F7063F">
        <w:rPr>
          <w:rFonts w:ascii="Century Gothic" w:hAnsi="Century Gothic" w:cs="Segoe UI"/>
          <w:i/>
          <w:iCs/>
          <w:color w:val="000000"/>
        </w:rPr>
        <w:t>Los contratos de arrendamiento que se celebren a partir del 1 de enero de 2017, se someten a las siguientes reglas para efectos del impuesto sobre la renta y complementarios:</w:t>
      </w:r>
      <w:r w:rsidRPr="00F7063F">
        <w:rPr>
          <w:rFonts w:ascii="Century Gothic" w:hAnsi="Century Gothic" w:cs="Calibri"/>
          <w:i/>
          <w:iCs/>
          <w:color w:val="555555"/>
        </w:rPr>
        <w:t> </w:t>
      </w:r>
    </w:p>
    <w:p w14:paraId="1B0DC9BC" w14:textId="75FD06FA"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b/>
          <w:bCs/>
          <w:i/>
          <w:iCs/>
          <w:color w:val="000000"/>
        </w:rPr>
        <w:t>1. Definiciones:</w:t>
      </w:r>
      <w:r w:rsidRPr="00F7063F">
        <w:rPr>
          <w:rFonts w:ascii="Century Gothic" w:hAnsi="Century Gothic" w:cs="Calibri"/>
          <w:b/>
          <w:bCs/>
          <w:i/>
          <w:iCs/>
          <w:color w:val="555555"/>
        </w:rPr>
        <w:t> </w:t>
      </w:r>
    </w:p>
    <w:p w14:paraId="6BF675DE" w14:textId="6466F176"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b/>
          <w:bCs/>
          <w:i/>
          <w:iCs/>
          <w:color w:val="000000"/>
        </w:rPr>
        <w:t>a. Arrendamiento financiero o leasing financiero:</w:t>
      </w:r>
      <w:r w:rsidRPr="00F7063F">
        <w:rPr>
          <w:rFonts w:ascii="Century Gothic" w:hAnsi="Century Gothic" w:cs="Segoe UI"/>
          <w:i/>
          <w:iCs/>
          <w:color w:val="000000"/>
        </w:rPr>
        <w:t> Es aquel contrato, que tiene por objeto la adquisición financiada de un activo y puede reunir una o varias de las siguientes características:</w:t>
      </w:r>
      <w:r w:rsidRPr="00F7063F">
        <w:rPr>
          <w:rFonts w:ascii="Century Gothic" w:hAnsi="Century Gothic" w:cs="Calibri"/>
          <w:i/>
          <w:iCs/>
          <w:color w:val="555555"/>
        </w:rPr>
        <w:t> </w:t>
      </w:r>
    </w:p>
    <w:p w14:paraId="6914B404"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i/>
          <w:iCs/>
          <w:color w:val="000000"/>
          <w:u w:val="single"/>
        </w:rPr>
        <w:t>i. Al final del contrato se trasfiere la propiedad del activo al arrendatario o locatario.</w:t>
      </w:r>
    </w:p>
    <w:p w14:paraId="5A4AECB8"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proofErr w:type="spellStart"/>
      <w:r w:rsidRPr="00F7063F">
        <w:rPr>
          <w:rFonts w:ascii="Century Gothic" w:hAnsi="Century Gothic" w:cs="Segoe UI"/>
          <w:i/>
          <w:iCs/>
          <w:color w:val="000000"/>
          <w:u w:val="single"/>
        </w:rPr>
        <w:t>ii</w:t>
      </w:r>
      <w:proofErr w:type="spellEnd"/>
      <w:r w:rsidRPr="00F7063F">
        <w:rPr>
          <w:rFonts w:ascii="Century Gothic" w:hAnsi="Century Gothic" w:cs="Segoe UI"/>
          <w:i/>
          <w:iCs/>
          <w:color w:val="000000"/>
          <w:u w:val="single"/>
        </w:rPr>
        <w:t>. El arrendatario o locatario tiene la opción de comprar el activo a un precio que sea suficientemente inferior a su valor comercial en el momento en que la opción de compra sea ejercida, de modo que al inicio del arrendamiento se prevea con razonable certeza que tal opción podrá ser ejercida.</w:t>
      </w:r>
    </w:p>
    <w:p w14:paraId="4629427D" w14:textId="5C4A1FAC"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proofErr w:type="spellStart"/>
      <w:r w:rsidRPr="00F7063F">
        <w:rPr>
          <w:rFonts w:ascii="Century Gothic" w:hAnsi="Century Gothic" w:cs="Segoe UI"/>
          <w:i/>
          <w:iCs/>
          <w:color w:val="000000"/>
        </w:rPr>
        <w:t>iii</w:t>
      </w:r>
      <w:proofErr w:type="spellEnd"/>
      <w:r w:rsidRPr="00F7063F">
        <w:rPr>
          <w:rFonts w:ascii="Century Gothic" w:hAnsi="Century Gothic" w:cs="Segoe UI"/>
          <w:i/>
          <w:iCs/>
          <w:color w:val="000000"/>
        </w:rPr>
        <w:t>. El plazo del arrendamiento cubre la mayor parte de la vida económica del activo incluso si la propiedad no se trasfiere al final de la operación.</w:t>
      </w:r>
      <w:r w:rsidRPr="00F7063F">
        <w:rPr>
          <w:rFonts w:ascii="Century Gothic" w:hAnsi="Century Gothic" w:cs="Calibri"/>
          <w:color w:val="555555"/>
        </w:rPr>
        <w:t> </w:t>
      </w:r>
    </w:p>
    <w:p w14:paraId="729DDB75" w14:textId="22ADE13A"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w:t>
      </w:r>
      <w:r w:rsidRPr="00F7063F">
        <w:rPr>
          <w:rFonts w:ascii="Century Gothic" w:hAnsi="Century Gothic" w:cs="Calibri"/>
          <w:i/>
          <w:iCs/>
          <w:color w:val="555555"/>
        </w:rPr>
        <w:t> </w:t>
      </w:r>
    </w:p>
    <w:p w14:paraId="6B34AABE" w14:textId="03A63C73"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i/>
          <w:iCs/>
          <w:color w:val="000000"/>
        </w:rPr>
        <w:t>2. Tratamiento del arrendamiento financiero o leasing:</w:t>
      </w:r>
      <w:r w:rsidRPr="00F7063F">
        <w:rPr>
          <w:rFonts w:ascii="Century Gothic" w:hAnsi="Century Gothic" w:cs="Calibri"/>
          <w:i/>
          <w:iCs/>
          <w:color w:val="555555"/>
        </w:rPr>
        <w:t> </w:t>
      </w:r>
    </w:p>
    <w:p w14:paraId="5E872B90"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i/>
          <w:iCs/>
          <w:color w:val="000000"/>
        </w:rPr>
        <w:t>a. Para el arrendador financiero: /.../.</w:t>
      </w:r>
    </w:p>
    <w:p w14:paraId="2F8B2C02" w14:textId="423BBE8B"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i/>
          <w:iCs/>
          <w:color w:val="000000"/>
        </w:rPr>
        <w:t>b. Para el arrendatario:</w:t>
      </w:r>
    </w:p>
    <w:p w14:paraId="09240D24"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i/>
          <w:iCs/>
          <w:color w:val="000000"/>
        </w:rPr>
        <w:t>i</w:t>
      </w:r>
      <w:r w:rsidRPr="00F7063F">
        <w:rPr>
          <w:rFonts w:ascii="Century Gothic" w:hAnsi="Century Gothic" w:cs="Segoe UI"/>
          <w:color w:val="000000"/>
        </w:rPr>
        <w:t>. </w:t>
      </w:r>
      <w:r w:rsidRPr="00F7063F">
        <w:rPr>
          <w:rFonts w:ascii="Century Gothic" w:hAnsi="Century Gothic" w:cs="Segoe UI"/>
          <w:i/>
          <w:iCs/>
          <w:color w:val="000000"/>
          <w:u w:val="single"/>
        </w:rPr>
        <w:t xml:space="preserve">Al inicio del contrato, el arrendatario deberá reconocer un activo y un pasivo por arrendamiento, que corresponde al valor presente de los cánones de arrendamientos, la opción de compra y el valor residual de garantía en caso de </w:t>
      </w:r>
      <w:r w:rsidRPr="00F7063F">
        <w:rPr>
          <w:rFonts w:ascii="Century Gothic" w:hAnsi="Century Gothic" w:cs="Segoe UI"/>
          <w:i/>
          <w:iCs/>
          <w:color w:val="000000"/>
          <w:u w:val="single"/>
        </w:rPr>
        <w:lastRenderedPageBreak/>
        <w:t>ser aplicable,</w:t>
      </w:r>
      <w:r w:rsidRPr="00F7063F">
        <w:rPr>
          <w:rFonts w:ascii="Century Gothic" w:hAnsi="Century Gothic" w:cs="Segoe UI"/>
          <w:i/>
          <w:iCs/>
          <w:color w:val="000000"/>
        </w:rPr>
        <w:t> calculado a la fecha de iniciación del contrato, y a la tasa pactada en el contrato. La suma registrada como pasivo por el arrendatario, debe coincidir con la registrada por el arrendador como activo por arrendamiento.</w:t>
      </w:r>
    </w:p>
    <w:p w14:paraId="20AFE94B" w14:textId="55830B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i/>
          <w:iCs/>
          <w:color w:val="000000"/>
        </w:rPr>
        <w:t>Adicionalmente y de manera discriminada, se podrán adicionar los costos en los que se incurra para poner en marcha o utilización el activo siempre que los mismos no hayan sido financiados.</w:t>
      </w:r>
    </w:p>
    <w:p w14:paraId="603070CB" w14:textId="1F5BA70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Calibri"/>
          <w:i/>
          <w:iCs/>
          <w:color w:val="555555"/>
        </w:rPr>
        <w:t> </w:t>
      </w:r>
      <w:proofErr w:type="spellStart"/>
      <w:r w:rsidRPr="00F7063F">
        <w:rPr>
          <w:rFonts w:ascii="Century Gothic" w:hAnsi="Century Gothic" w:cs="Segoe UI"/>
          <w:i/>
          <w:iCs/>
          <w:color w:val="000000"/>
        </w:rPr>
        <w:t>ii</w:t>
      </w:r>
      <w:proofErr w:type="spellEnd"/>
      <w:r w:rsidRPr="00F7063F">
        <w:rPr>
          <w:rFonts w:ascii="Century Gothic" w:hAnsi="Century Gothic" w:cs="Segoe UI"/>
          <w:i/>
          <w:iCs/>
          <w:color w:val="000000"/>
        </w:rPr>
        <w:t>. </w:t>
      </w:r>
      <w:r w:rsidRPr="00F7063F">
        <w:rPr>
          <w:rFonts w:ascii="Century Gothic" w:hAnsi="Century Gothic" w:cs="Segoe UI"/>
          <w:i/>
          <w:iCs/>
          <w:color w:val="000000"/>
          <w:u w:val="single"/>
        </w:rPr>
        <w:t>El valor registrado en el activo por el arrendatario</w:t>
      </w:r>
      <w:r w:rsidRPr="00F7063F">
        <w:rPr>
          <w:rFonts w:ascii="Century Gothic" w:hAnsi="Century Gothic" w:cs="Segoe UI"/>
          <w:i/>
          <w:iCs/>
          <w:color w:val="000000"/>
        </w:rPr>
        <w:t>, salvo la parte que corresponda al impuesto a las ventas que vaya a ser descontado o deducido, </w:t>
      </w:r>
      <w:r w:rsidRPr="00F7063F">
        <w:rPr>
          <w:rFonts w:ascii="Century Gothic" w:hAnsi="Century Gothic" w:cs="Segoe UI"/>
          <w:i/>
          <w:iCs/>
          <w:color w:val="000000"/>
          <w:u w:val="single"/>
        </w:rPr>
        <w:t>tendrá la naturaleza de activo el cual podrá ser amortizado o depreciado en los términos previstos en este estatuto como si el bien arrendado fuera de su propiedad.</w:t>
      </w:r>
    </w:p>
    <w:p w14:paraId="3D63F848"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proofErr w:type="spellStart"/>
      <w:r w:rsidRPr="00F7063F">
        <w:rPr>
          <w:rFonts w:ascii="Century Gothic" w:hAnsi="Century Gothic" w:cs="Segoe UI"/>
          <w:i/>
          <w:iCs/>
          <w:color w:val="000000"/>
        </w:rPr>
        <w:t>iii</w:t>
      </w:r>
      <w:proofErr w:type="spellEnd"/>
      <w:r w:rsidRPr="00F7063F">
        <w:rPr>
          <w:rFonts w:ascii="Century Gothic" w:hAnsi="Century Gothic" w:cs="Segoe UI"/>
          <w:i/>
          <w:iCs/>
          <w:color w:val="000000"/>
        </w:rPr>
        <w:t>. El IVA pagado en la operación solo será descontable o deducible según el tipo de bien objeto del contrato por parte del arrendatario, según las reglas previstas en este estatuto.</w:t>
      </w:r>
    </w:p>
    <w:p w14:paraId="3F38C882"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proofErr w:type="spellStart"/>
      <w:r w:rsidRPr="00F7063F">
        <w:rPr>
          <w:rFonts w:ascii="Century Gothic" w:hAnsi="Century Gothic" w:cs="Segoe UI"/>
          <w:i/>
          <w:iCs/>
          <w:color w:val="000000"/>
        </w:rPr>
        <w:t>iv</w:t>
      </w:r>
      <w:proofErr w:type="spellEnd"/>
      <w:r w:rsidRPr="00F7063F">
        <w:rPr>
          <w:rFonts w:ascii="Century Gothic" w:hAnsi="Century Gothic" w:cs="Segoe UI"/>
          <w:i/>
          <w:iCs/>
          <w:color w:val="000000"/>
        </w:rPr>
        <w:t>. Cuando el arrendamiento financiero comprenda bienes inmuebles, la parte correspondiente a terrenos no será depreciable ni amortizable.</w:t>
      </w:r>
    </w:p>
    <w:p w14:paraId="007101B7"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i/>
          <w:iCs/>
          <w:color w:val="000000"/>
        </w:rPr>
        <w:t>v. </w:t>
      </w:r>
      <w:r w:rsidRPr="00F7063F">
        <w:rPr>
          <w:rFonts w:ascii="Century Gothic" w:hAnsi="Century Gothic" w:cs="Segoe UI"/>
          <w:i/>
          <w:iCs/>
          <w:color w:val="000000"/>
          <w:u w:val="single"/>
        </w:rPr>
        <w:t>Los cánones de arrendamiento causados a cargo del arrendatario, deberán descomponerse en la parte que corresponda a abono a capital y la parte que corresponda a intereses o costo financiero. La parte correspondiente a abonos de capital se cargará directamente contra el pasivo registrado por el arrendatario,</w:t>
      </w:r>
      <w:r w:rsidRPr="00F7063F">
        <w:rPr>
          <w:rFonts w:ascii="Century Gothic" w:hAnsi="Century Gothic" w:cs="Segoe UI"/>
          <w:i/>
          <w:iCs/>
          <w:color w:val="000000"/>
        </w:rPr>
        <w:t> </w:t>
      </w:r>
      <w:r w:rsidRPr="00F7063F">
        <w:rPr>
          <w:rFonts w:ascii="Century Gothic" w:hAnsi="Century Gothic" w:cs="Segoe UI"/>
          <w:b/>
          <w:bCs/>
          <w:i/>
          <w:iCs/>
          <w:color w:val="000000"/>
        </w:rPr>
        <w:t>como un menor valor de este</w:t>
      </w:r>
      <w:r w:rsidRPr="00F7063F">
        <w:rPr>
          <w:rFonts w:ascii="Century Gothic" w:hAnsi="Century Gothic" w:cs="Segoe UI"/>
          <w:i/>
          <w:iCs/>
          <w:color w:val="000000"/>
        </w:rPr>
        <w:t>. La parte de cada canon correspondiente a intereses o costo financiero, será un gasto deducible para el arrendatario sometido a las limitaciones para la deducción de intereses.</w:t>
      </w:r>
    </w:p>
    <w:p w14:paraId="0A5B7ED5"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i/>
          <w:iCs/>
          <w:color w:val="000000"/>
        </w:rPr>
        <w:t>vi. </w:t>
      </w:r>
      <w:r w:rsidRPr="00F7063F">
        <w:rPr>
          <w:rFonts w:ascii="Century Gothic" w:hAnsi="Century Gothic" w:cs="Segoe UI"/>
          <w:i/>
          <w:iCs/>
          <w:color w:val="000000"/>
          <w:u w:val="single"/>
        </w:rPr>
        <w:t>Al momento de ejercer la opción de compra, el valor pactado para tal fin se cargará contra el pasivo del arrendatario</w:t>
      </w:r>
      <w:r w:rsidRPr="00F7063F">
        <w:rPr>
          <w:rFonts w:ascii="Century Gothic" w:hAnsi="Century Gothic" w:cs="Segoe UI"/>
          <w:i/>
          <w:iCs/>
          <w:color w:val="000000"/>
        </w:rPr>
        <w:t>, debiendo quedar este en ceros. Cualquier diferencia se ajustará como ingreso o gasto.</w:t>
      </w:r>
    </w:p>
    <w:p w14:paraId="731D7171"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proofErr w:type="spellStart"/>
      <w:r w:rsidRPr="00F7063F">
        <w:rPr>
          <w:rFonts w:ascii="Century Gothic" w:hAnsi="Century Gothic" w:cs="Segoe UI"/>
          <w:i/>
          <w:iCs/>
          <w:color w:val="000000"/>
        </w:rPr>
        <w:t>vii</w:t>
      </w:r>
      <w:proofErr w:type="spellEnd"/>
      <w:r w:rsidRPr="00F7063F">
        <w:rPr>
          <w:rFonts w:ascii="Century Gothic" w:hAnsi="Century Gothic" w:cs="Segoe UI"/>
          <w:i/>
          <w:iCs/>
          <w:color w:val="000000"/>
        </w:rPr>
        <w:t>. En el evento en que el arrendatario no ejerza la opción de compra, se efectuarán los ajustes fiscales en el activo y en el pasivo, y cualquier diferencia que surja no tendrá efecto en el impuesto sobre la renta, siempre y cuando no haya generado un costo o gasto...” (Subrayado fuera de texto)</w:t>
      </w:r>
    </w:p>
    <w:p w14:paraId="4B95ED01"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Calibri"/>
          <w:color w:val="555555"/>
        </w:rPr>
        <w:t> </w:t>
      </w:r>
    </w:p>
    <w:p w14:paraId="51B225A4"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Por su parte, el Código de Comercio en el artículo 887, prevé que:</w:t>
      </w:r>
    </w:p>
    <w:p w14:paraId="3A5ADC18"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Calibri"/>
          <w:i/>
          <w:iCs/>
          <w:color w:val="555555"/>
        </w:rPr>
        <w:lastRenderedPageBreak/>
        <w:t> </w:t>
      </w:r>
    </w:p>
    <w:p w14:paraId="4ABA648D"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i/>
          <w:iCs/>
          <w:color w:val="000000"/>
        </w:rPr>
        <w:t>“En los contratos mercantiles </w:t>
      </w:r>
      <w:r w:rsidRPr="00F7063F">
        <w:rPr>
          <w:rFonts w:ascii="Century Gothic" w:hAnsi="Century Gothic" w:cs="Segoe UI"/>
          <w:b/>
          <w:bCs/>
          <w:i/>
          <w:iCs/>
          <w:color w:val="000000"/>
        </w:rPr>
        <w:t>de ejecución periódica o sucesiva</w:t>
      </w:r>
      <w:r w:rsidRPr="00F7063F">
        <w:rPr>
          <w:rFonts w:ascii="Century Gothic" w:hAnsi="Century Gothic" w:cs="Segoe UI"/>
          <w:i/>
          <w:iCs/>
          <w:color w:val="000000"/>
        </w:rPr>
        <w:t> </w:t>
      </w:r>
      <w:r w:rsidRPr="00F7063F">
        <w:rPr>
          <w:rFonts w:ascii="Century Gothic" w:hAnsi="Century Gothic" w:cs="Segoe UI"/>
          <w:i/>
          <w:iCs/>
          <w:color w:val="000000"/>
          <w:u w:val="single"/>
        </w:rPr>
        <w:t>cada una de las partes </w:t>
      </w:r>
      <w:r w:rsidRPr="00F7063F">
        <w:rPr>
          <w:rFonts w:ascii="Century Gothic" w:hAnsi="Century Gothic" w:cs="Segoe UI"/>
          <w:b/>
          <w:bCs/>
          <w:i/>
          <w:iCs/>
          <w:color w:val="000000"/>
          <w:u w:val="single"/>
        </w:rPr>
        <w:t>podrá</w:t>
      </w:r>
      <w:r w:rsidRPr="00F7063F">
        <w:rPr>
          <w:rFonts w:ascii="Century Gothic" w:hAnsi="Century Gothic" w:cs="Segoe UI"/>
          <w:i/>
          <w:iCs/>
          <w:color w:val="000000"/>
          <w:u w:val="single"/>
        </w:rPr>
        <w:t> hacerse sustituir, por un tercero, </w:t>
      </w:r>
      <w:r w:rsidRPr="00F7063F">
        <w:rPr>
          <w:rFonts w:ascii="Century Gothic" w:hAnsi="Century Gothic" w:cs="Segoe UI"/>
          <w:b/>
          <w:bCs/>
          <w:i/>
          <w:iCs/>
          <w:color w:val="000000"/>
          <w:u w:val="single"/>
        </w:rPr>
        <w:t>en la totalidad o en parte de las relaciones derivadas del contrato</w:t>
      </w:r>
      <w:r w:rsidRPr="00F7063F">
        <w:rPr>
          <w:rFonts w:ascii="Century Gothic" w:hAnsi="Century Gothic" w:cs="Segoe UI"/>
          <w:i/>
          <w:iCs/>
          <w:color w:val="000000"/>
        </w:rPr>
        <w:t>, sin necesidad de aceptación expresa del contratante cedido, si por ley o por estipulación de las mismas partes no se ha prohibido o limitado sustitución.” (Subrayado y resaltado fuera de texto)</w:t>
      </w:r>
    </w:p>
    <w:p w14:paraId="67AA7567" w14:textId="5FE6A148"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En este contexto, es una facultad legal para los contratantes llevar a cabo la cesión de los contratos en los términos señalados en la ley mercantil. Sin embargo, en el contrato de leasing usualmente la facultad de ceder el contrato se establece a favor de la compañía de leasing, sin que se requiera la aceptación del locatario. Cuando tiene lugar la cesión del contrato por parte del locatario, la práctica es que se requiere la aceptación de la compañía arrendadora. Hecho que pone de manifiesto el consultante.</w:t>
      </w:r>
    </w:p>
    <w:p w14:paraId="322D37D6" w14:textId="296794B6"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Ahora bien, como lo señala la norma comercial, puede tener lugar la </w:t>
      </w:r>
      <w:r w:rsidRPr="00F7063F">
        <w:rPr>
          <w:rFonts w:ascii="Century Gothic" w:hAnsi="Century Gothic" w:cs="Segoe UI"/>
          <w:color w:val="000000"/>
          <w:u w:val="single"/>
        </w:rPr>
        <w:t>cesión del contrato</w:t>
      </w:r>
      <w:r w:rsidRPr="00F7063F">
        <w:rPr>
          <w:rFonts w:ascii="Century Gothic" w:hAnsi="Century Gothic" w:cs="Segoe UI"/>
          <w:color w:val="000000"/>
        </w:rPr>
        <w:t> caso en el cual el cesionario asumiría la totalidad de obligaciones y derechos que emanan del contrato de leasing financiero. O pudiera tener lugar la cesión de parte de las obligaciones derivadas del contrato, como ocurriría si el locatario de un contrato de leasing financiero cede a un tercero solamente su derecho a ejercer la opción de adquisición. En cualquiera de estos casos, tiene lugar entonces la cesión de la posición contractual donde el cesionario toma el lugar del cedente en las mismas condiciones inicialmente pactadas entre el locatario cedente y la entidad financiera.</w:t>
      </w:r>
    </w:p>
    <w:p w14:paraId="72EDD0C4" w14:textId="4EF1197C"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Si el cesionario entra en el contrato de leasing y ocupa el lugar del cedente en el punto para ejercer la opción de compra, supone como se acaba de indicar que, el cesionario tiene derecho a ejercer la opción de compra y, en tal caso, pagaría por el inmueble en las mismas condiciones acordadas entre la entidad financiera y el locatario cedente. En efecto, el valor de la opción de compra lo pagaría a la entidad financiera el </w:t>
      </w:r>
      <w:r w:rsidRPr="00F7063F">
        <w:rPr>
          <w:rFonts w:ascii="Century Gothic" w:hAnsi="Century Gothic" w:cs="Segoe UI"/>
          <w:b/>
          <w:bCs/>
          <w:color w:val="000000"/>
        </w:rPr>
        <w:t>cesionario directamente a título personal</w:t>
      </w:r>
      <w:r w:rsidRPr="00F7063F">
        <w:rPr>
          <w:rFonts w:ascii="Century Gothic" w:hAnsi="Century Gothic" w:cs="Segoe UI"/>
          <w:color w:val="000000"/>
        </w:rPr>
        <w:t>, como quiera que adquirió ese derecho cuyo valor está acordado desde el inicio del contrato de leasing y, así lo prevé el </w:t>
      </w:r>
      <w:r w:rsidRPr="00F7063F">
        <w:rPr>
          <w:rFonts w:ascii="Century Gothic" w:hAnsi="Century Gothic" w:cs="Segoe UI"/>
          <w:color w:val="0089E1"/>
        </w:rPr>
        <w:t>artículo 127-1</w:t>
      </w:r>
      <w:r w:rsidRPr="00F7063F">
        <w:rPr>
          <w:rFonts w:ascii="Century Gothic" w:hAnsi="Century Gothic" w:cs="Segoe UI"/>
          <w:color w:val="000000"/>
        </w:rPr>
        <w:t> del E.T. en el punto vi del literal b) del numeral 2. Esta operación finalmente tiene lugar entre el cesionario y la entidad financiera, que recibe el valor así acordado. Tratándose de un leasing financiero sobre un bien inmueble deberá correrse la escritura pública y su registro.</w:t>
      </w:r>
    </w:p>
    <w:p w14:paraId="286EF15B"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Calibri"/>
          <w:color w:val="555555"/>
        </w:rPr>
        <w:t> </w:t>
      </w:r>
    </w:p>
    <w:p w14:paraId="432DF72A"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lastRenderedPageBreak/>
        <w:t>Respecto a la operación entre locatario cedente y cesionario debe tenerse presente que el contrato es fuente de obligaciones, en consecuencia, el mismo debe ser claro en primer lugar sobre </w:t>
      </w:r>
      <w:r w:rsidRPr="00F7063F">
        <w:rPr>
          <w:rFonts w:ascii="Century Gothic" w:hAnsi="Century Gothic" w:cs="Segoe UI"/>
          <w:b/>
          <w:bCs/>
          <w:color w:val="000000"/>
        </w:rPr>
        <w:t>el objeto del contrato:</w:t>
      </w:r>
      <w:r w:rsidRPr="00F7063F">
        <w:rPr>
          <w:rFonts w:ascii="Century Gothic" w:hAnsi="Century Gothic" w:cs="Segoe UI"/>
          <w:color w:val="000000"/>
        </w:rPr>
        <w:t> si este es la cesión del contrato de leasing y con ello de todos los derechos y obligaciones que emanan de él, o si el objeto es efectivamente la cesión de la opción de compra. Si fuera este el caso, igual del contrato como fuente de derechos y obligaciones debe ser claro sobre el precio pactado a título de cesión del derecho el cual será ingreso gravado para el locatario cedente en tanto sea susceptible de incrementar su patrimonio.</w:t>
      </w:r>
    </w:p>
    <w:p w14:paraId="421FB7CB" w14:textId="41B80CC0"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highlight w:val="yellow"/>
        </w:rPr>
        <w:t>Si se enajena un derecho, el de opción de compra que, para el cedente constituye un activo y a la vez un pasivo, en tanto se debe el valor residual del bien, al tomar el cesionario la posición contractual de aquel, en el contrato de leasing financiero, adquiere entonces ese derecho </w:t>
      </w:r>
      <w:r w:rsidRPr="00F7063F">
        <w:rPr>
          <w:rFonts w:ascii="Century Gothic" w:hAnsi="Century Gothic" w:cs="Segoe UI"/>
          <w:b/>
          <w:bCs/>
          <w:color w:val="000000"/>
          <w:highlight w:val="yellow"/>
        </w:rPr>
        <w:t>lo que le permite ejercerlo</w:t>
      </w:r>
      <w:r w:rsidRPr="00F7063F">
        <w:rPr>
          <w:rFonts w:ascii="Century Gothic" w:hAnsi="Century Gothic" w:cs="Segoe UI"/>
          <w:color w:val="000000"/>
          <w:highlight w:val="yellow"/>
        </w:rPr>
        <w:t> frente a la entidad financiera y, a la vez, el deber de cumplir con la obligación de pagarlo a la misma entidad, correspondiendo el valor al </w:t>
      </w:r>
      <w:r w:rsidRPr="00F7063F">
        <w:rPr>
          <w:rFonts w:ascii="Century Gothic" w:hAnsi="Century Gothic" w:cs="Segoe UI"/>
          <w:b/>
          <w:bCs/>
          <w:color w:val="000000"/>
          <w:highlight w:val="yellow"/>
        </w:rPr>
        <w:t>precio acordado como contraprestación desde el inicio del contrato (entre el locatario cedente y la entidad financiera).</w:t>
      </w:r>
      <w:r w:rsidRPr="00F7063F">
        <w:rPr>
          <w:rFonts w:ascii="Century Gothic" w:hAnsi="Century Gothic" w:cs="Segoe UI"/>
          <w:color w:val="000000"/>
          <w:highlight w:val="yellow"/>
        </w:rPr>
        <w:t> Ejercida la opción de compra se materializa la adquisición del bien para el cesionario.</w:t>
      </w:r>
    </w:p>
    <w:p w14:paraId="4AB6B053" w14:textId="003C8AE1"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De otro lado, si por su parte el cedente, con parte del valor de la operación, autoriza al cesionario para efectuar pagos en su nombre, tales como cánones atrasados que debe a la entidad financiera, serán pagos en los cuales el cesionario actúe como mandatario (no los paga directamente) sino a nombre del locatario cedente siendo beneficiaria la entidad financiera o quien sea el beneficiario, según el caso. El cesionario rendirá cuentas de esta gestión al cedente. En estos casos, operará la retención frente al beneficiario del pago, si procede, según los conceptos de pago de que se trate y según la calidad del mandante, esto es, si es agente retenedor. Como quiera que estos pagos responden a operaciones del locatario cedente, que realiza a través del cesionario, no afectan el ingreso recibido por el locatario cedente en virtud de la cesión del derecho ni la retención que proceda en este caso.</w:t>
      </w:r>
    </w:p>
    <w:p w14:paraId="5D973917"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b/>
          <w:bCs/>
          <w:color w:val="555555"/>
        </w:rPr>
      </w:pPr>
      <w:r w:rsidRPr="00F7063F">
        <w:rPr>
          <w:rFonts w:ascii="Century Gothic" w:hAnsi="Century Gothic" w:cs="Segoe UI"/>
          <w:b/>
          <w:bCs/>
          <w:color w:val="000000"/>
          <w:highlight w:val="yellow"/>
        </w:rPr>
        <w:t>2. </w:t>
      </w:r>
      <w:r w:rsidRPr="00F7063F">
        <w:rPr>
          <w:rFonts w:ascii="Century Gothic" w:hAnsi="Century Gothic" w:cs="Segoe UI"/>
          <w:b/>
          <w:bCs/>
          <w:color w:val="000000"/>
          <w:highlight w:val="yellow"/>
          <w:u w:val="single"/>
        </w:rPr>
        <w:t>Retención en la fuente</w:t>
      </w:r>
      <w:r w:rsidRPr="00F7063F">
        <w:rPr>
          <w:rFonts w:ascii="Century Gothic" w:hAnsi="Century Gothic" w:cs="Segoe UI"/>
          <w:b/>
          <w:bCs/>
          <w:color w:val="000000"/>
          <w:highlight w:val="yellow"/>
        </w:rPr>
        <w:t>.</w:t>
      </w:r>
    </w:p>
    <w:p w14:paraId="0696A49F" w14:textId="2DA899E1"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Calibri"/>
          <w:color w:val="555555"/>
        </w:rPr>
        <w:t> </w:t>
      </w:r>
      <w:r w:rsidRPr="00F7063F">
        <w:rPr>
          <w:rFonts w:ascii="Century Gothic" w:hAnsi="Century Gothic" w:cs="Segoe UI"/>
          <w:color w:val="000000"/>
        </w:rPr>
        <w:t>En efecto, el contrato es fuente de obligaciones, y el valor pactado como contraprestación entre locatario cedente y cesionario que este paga o abona a aquel por el derecho que adquiere, en tanto constituya ingreso susceptible de incrementar su patrimonio, será objeto de retención en la fuente.</w:t>
      </w:r>
    </w:p>
    <w:p w14:paraId="5C360B20"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Calibri"/>
          <w:color w:val="555555"/>
        </w:rPr>
        <w:lastRenderedPageBreak/>
        <w:t> </w:t>
      </w:r>
    </w:p>
    <w:p w14:paraId="2055C0A4"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Cabe mencionar, sin embargo, que se presenta una particularidad frente al derecho cedido, como quiera qué desde el punto de vista del contrato de leasing, para efectos tributarios la opción de compra supone para el locatario un derecho a ejercerla en las condiciones inicialmente pactadas con la entidad financiera y, a la vez, la obligación de pagar al final del contrato el precio igualmente convenido, que se debe y por tanto constituye para el cedente un pasivo. Lo que supondría al mismo tiempo, la cesión de un derecho y un crédito, lo que implica que el cesionario debe pagar el valor de la opción de compra a la entidad financiera. El locatario cedente por su parte recibe como ingreso el valor que acuerde con el cesionario como contraprestación por la cesión del derecho, según se establezca en el contrato.</w:t>
      </w:r>
    </w:p>
    <w:p w14:paraId="72B31032" w14:textId="5AF1FDF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Frente al ingreso que recibe el locatario cedente y la retención en la fuente que tiene lugar, su práctica corresponde a quien efectúa el pago, en este caso el cesionario, a menos que el locatario cedente sea agente autorretenedor.</w:t>
      </w:r>
    </w:p>
    <w:p w14:paraId="2A07C798" w14:textId="371E51F8"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En cuanto a la retención en la fuente que procede en la operación, se observa que el Decreto Único Reglamentario 1625 de 2016, establece:</w:t>
      </w:r>
    </w:p>
    <w:p w14:paraId="761E01F1" w14:textId="7EECE390"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b/>
          <w:bCs/>
          <w:i/>
          <w:iCs/>
          <w:color w:val="000000"/>
        </w:rPr>
        <w:t>“RETENCIÓN EN LA FUENTE A TÍTULO DE IMPUESTO SOBRE LA RENTA POR CONCEPTO DE OTROS INGRESOS.</w:t>
      </w:r>
    </w:p>
    <w:p w14:paraId="657C1F3F" w14:textId="0234CD95"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b/>
          <w:bCs/>
          <w:i/>
          <w:iCs/>
          <w:color w:val="000000"/>
        </w:rPr>
        <w:t>ARTÍCULO 1.2.4.9.1. RETENCIÓN EN LA FUENTE POR OTROS INGRESOS.</w:t>
      </w:r>
      <w:r w:rsidRPr="00F7063F">
        <w:rPr>
          <w:rFonts w:ascii="Century Gothic" w:hAnsi="Century Gothic" w:cs="Segoe UI"/>
          <w:i/>
          <w:iCs/>
          <w:color w:val="000000"/>
        </w:rPr>
        <w:t> A partir del 27 de junio de 1985 (Fecha de publicación del Decreto 1512 de 1985, D. O. 37030), </w:t>
      </w:r>
      <w:r w:rsidRPr="00F7063F">
        <w:rPr>
          <w:rFonts w:ascii="Century Gothic" w:hAnsi="Century Gothic" w:cs="Segoe UI"/>
          <w:i/>
          <w:iCs/>
          <w:color w:val="000000"/>
          <w:u w:val="single"/>
        </w:rPr>
        <w:t>todos los pagos o abonos en cuenta, susceptibles de constituir ingreso tributario para quien los recibe, que efectúen las personas jurídicas, sociedades de hecho, las demás entidades y personas naturales que tengan la calidad de agentes retenedores por conceptos que al 27 de junio de 1985 (D. O. 37030) no estuvieren sometidos a retención en la fuente</w:t>
      </w:r>
      <w:r w:rsidRPr="00F7063F">
        <w:rPr>
          <w:rFonts w:ascii="Century Gothic" w:hAnsi="Century Gothic" w:cs="Segoe UI"/>
          <w:i/>
          <w:iCs/>
          <w:color w:val="000000"/>
          <w:highlight w:val="yellow"/>
        </w:rPr>
        <w:t>, </w:t>
      </w:r>
      <w:r w:rsidRPr="00F7063F">
        <w:rPr>
          <w:rFonts w:ascii="Century Gothic" w:hAnsi="Century Gothic" w:cs="Segoe UI"/>
          <w:b/>
          <w:bCs/>
          <w:i/>
          <w:iCs/>
          <w:color w:val="000000"/>
          <w:highlight w:val="yellow"/>
        </w:rPr>
        <w:t>deberán someterse a una retención del dos punto cinco por ciento (2.5%) sobre el valor total del pago o abono en cuenta.</w:t>
      </w:r>
    </w:p>
    <w:p w14:paraId="65C79D9C"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i/>
          <w:iCs/>
          <w:color w:val="000000"/>
        </w:rPr>
        <w:t>/.../” (Subrayado y resaltado fuera de texto)</w:t>
      </w:r>
    </w:p>
    <w:p w14:paraId="453AD6BC" w14:textId="3EBF7DFC"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Calibri"/>
          <w:i/>
          <w:iCs/>
          <w:color w:val="555555"/>
        </w:rPr>
        <w:t> </w:t>
      </w:r>
      <w:r w:rsidRPr="00F7063F">
        <w:rPr>
          <w:rFonts w:ascii="Century Gothic" w:hAnsi="Century Gothic" w:cs="Segoe UI"/>
          <w:b/>
          <w:bCs/>
          <w:i/>
          <w:iCs/>
          <w:color w:val="000000"/>
        </w:rPr>
        <w:t>“ARTÍCULO 1.2.4.9.2. RETENCIÓN EN LA FUENTE SOBRE OTROS INGRESOS.</w:t>
      </w:r>
      <w:r w:rsidRPr="00F7063F">
        <w:rPr>
          <w:rFonts w:ascii="Century Gothic" w:hAnsi="Century Gothic" w:cs="Segoe UI"/>
          <w:i/>
          <w:iCs/>
          <w:color w:val="000000"/>
        </w:rPr>
        <w:t> La tarifa de retención en la fuente a título de impuesto sobre la renta por los pagos o abonos en cuenta que por los conceptos señalados en el inciso primero del artículo 1.2.4.9.1 de este decreto efectúen las personas jurídicas, las sociedades de hecho y las demás entidades y personas naturales que tengan la calidad de agentes retenedores, es los dos puntos cinco por ciento (2.5%).</w:t>
      </w:r>
    </w:p>
    <w:p w14:paraId="7D4CBB37"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Calibri"/>
          <w:i/>
          <w:iCs/>
          <w:color w:val="555555"/>
        </w:rPr>
        <w:lastRenderedPageBreak/>
        <w:t> </w:t>
      </w:r>
    </w:p>
    <w:p w14:paraId="03B733C8"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i/>
          <w:iCs/>
          <w:color w:val="000000"/>
        </w:rPr>
        <w:t>Los pagos o abonos en cuenta que correspondan a estos conceptos, para los cuales existan tarifas de retención en la fuente, señaladas en disposiciones especiales, seguirán rigiéndose por dichas tarifas.”</w:t>
      </w:r>
    </w:p>
    <w:p w14:paraId="064B0007" w14:textId="6327926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highlight w:val="yellow"/>
        </w:rPr>
        <w:t>Entonces, dado que, en el contrato de cesión de la opción de compra entre locatario cedente y cesionario, el valor pactado como contraprestación, en tanto constituya ingreso susceptible de incrementar el patrimonio para el locatario y que, de acuerdo con las normas de retención en la fuente, ese ingreso no tiene una tarifa especial y concreta, aplicaría la retención por “otros ingresos” equivalente actualmente al 2.5%.</w:t>
      </w:r>
    </w:p>
    <w:p w14:paraId="4C0473BE" w14:textId="002857D5"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Calibri"/>
          <w:color w:val="555555"/>
        </w:rPr>
        <w:t> </w:t>
      </w:r>
      <w:r w:rsidRPr="00F7063F">
        <w:rPr>
          <w:rFonts w:ascii="Century Gothic" w:hAnsi="Century Gothic" w:cs="Segoe UI"/>
          <w:color w:val="000000"/>
        </w:rPr>
        <w:t>En todo caso, corresponde a las partes, revisar el objeto del contrato y las obligaciones que derivan del mismo, así como el valor asignado como contraprestación por el derecho que se cede, que a su vez constituye ingreso para el cedente, independiente de la destinación que haga de esa cantidad.</w:t>
      </w:r>
    </w:p>
    <w:p w14:paraId="625FF255" w14:textId="69FAE106"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En los anteriores términos se atiende su solicitud.</w:t>
      </w:r>
    </w:p>
    <w:p w14:paraId="63B3821D" w14:textId="4A7B0E42"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Atentamente,</w:t>
      </w:r>
    </w:p>
    <w:p w14:paraId="66873538" w14:textId="18738061"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b/>
          <w:bCs/>
          <w:color w:val="000000"/>
        </w:rPr>
        <w:t>LORENZO CASTILLO BARVO</w:t>
      </w:r>
    </w:p>
    <w:p w14:paraId="6C118433"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Subdirector de Gestión Normativa y Doctrina (E)</w:t>
      </w:r>
    </w:p>
    <w:p w14:paraId="77099714" w14:textId="77777777" w:rsidR="0054597A" w:rsidRPr="00F7063F" w:rsidRDefault="0054597A"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sidRPr="00F7063F">
        <w:rPr>
          <w:rFonts w:ascii="Century Gothic" w:hAnsi="Century Gothic" w:cs="Segoe UI"/>
          <w:color w:val="000000"/>
        </w:rPr>
        <w:t>Dirección de Gestión Jurídica</w:t>
      </w:r>
    </w:p>
    <w:p w14:paraId="45F5D287" w14:textId="2210D657" w:rsidR="0054597A" w:rsidRDefault="0054597A" w:rsidP="00F7063F">
      <w:pPr>
        <w:pStyle w:val="NormalWeb"/>
        <w:shd w:val="clear" w:color="auto" w:fill="FFFFFF"/>
        <w:spacing w:before="0" w:beforeAutospacing="0" w:after="160" w:afterAutospacing="0" w:line="360" w:lineRule="auto"/>
        <w:jc w:val="both"/>
        <w:rPr>
          <w:rFonts w:ascii="Century Gothic" w:hAnsi="Century Gothic" w:cs="Segoe UI"/>
          <w:color w:val="000000"/>
        </w:rPr>
      </w:pPr>
      <w:r w:rsidRPr="00F7063F">
        <w:rPr>
          <w:rFonts w:ascii="Century Gothic" w:hAnsi="Century Gothic" w:cs="Segoe UI"/>
          <w:color w:val="000000"/>
        </w:rPr>
        <w:t>UAE-DIAN</w:t>
      </w:r>
    </w:p>
    <w:p w14:paraId="7AFB9DEB" w14:textId="4A41F747" w:rsidR="00F7063F" w:rsidRPr="00F7063F" w:rsidRDefault="00F7063F" w:rsidP="00F7063F">
      <w:pPr>
        <w:pStyle w:val="NormalWeb"/>
        <w:shd w:val="clear" w:color="auto" w:fill="FFFFFF"/>
        <w:spacing w:before="0" w:beforeAutospacing="0" w:after="160" w:afterAutospacing="0" w:line="360" w:lineRule="auto"/>
        <w:jc w:val="both"/>
        <w:rPr>
          <w:rFonts w:ascii="Century Gothic" w:hAnsi="Century Gothic" w:cs="Helvetica"/>
          <w:color w:val="555555"/>
        </w:rPr>
      </w:pPr>
      <w:r>
        <w:rPr>
          <w:rFonts w:ascii="Century Gothic" w:hAnsi="Century Gothic" w:cs="Segoe UI"/>
          <w:color w:val="000000"/>
        </w:rPr>
        <w:t>_____________________________________________________________________________</w:t>
      </w:r>
    </w:p>
    <w:p w14:paraId="029A4D0E" w14:textId="77777777" w:rsidR="0054597A" w:rsidRPr="00F7063F" w:rsidRDefault="0054597A" w:rsidP="00F7063F">
      <w:pPr>
        <w:pStyle w:val="NormalWeb"/>
        <w:shd w:val="clear" w:color="auto" w:fill="FFFFFF"/>
        <w:spacing w:before="0" w:beforeAutospacing="0" w:after="160" w:afterAutospacing="0" w:line="360" w:lineRule="auto"/>
        <w:rPr>
          <w:rFonts w:ascii="Century Gothic" w:hAnsi="Century Gothic" w:cs="Helvetica"/>
          <w:color w:val="555555"/>
        </w:rPr>
      </w:pPr>
      <w:r w:rsidRPr="00F7063F">
        <w:rPr>
          <w:rFonts w:ascii="Century Gothic" w:hAnsi="Century Gothic" w:cs="Helvetica"/>
          <w:color w:val="555555"/>
        </w:rPr>
        <w:t> </w:t>
      </w:r>
    </w:p>
    <w:p w14:paraId="6656AF36" w14:textId="77777777" w:rsidR="007F5CC8" w:rsidRPr="00F7063F" w:rsidRDefault="007F5CC8" w:rsidP="00F7063F">
      <w:pPr>
        <w:spacing w:line="360" w:lineRule="auto"/>
        <w:rPr>
          <w:rFonts w:ascii="Century Gothic" w:hAnsi="Century Gothic"/>
          <w:szCs w:val="24"/>
        </w:rPr>
      </w:pPr>
    </w:p>
    <w:sectPr w:rsidR="007F5CC8" w:rsidRPr="00F7063F"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7A"/>
    <w:rsid w:val="000F3837"/>
    <w:rsid w:val="001E311E"/>
    <w:rsid w:val="00434AE6"/>
    <w:rsid w:val="0054597A"/>
    <w:rsid w:val="007F5CC8"/>
    <w:rsid w:val="008779BE"/>
    <w:rsid w:val="00EB5ADB"/>
    <w:rsid w:val="00F7063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B5EA"/>
  <w15:chartTrackingRefBased/>
  <w15:docId w15:val="{FC8C6B40-E3C4-486D-A164-0375EAD8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4597A"/>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56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2171</Words>
  <Characters>11946</Characters>
  <Application>Microsoft Office Word</Application>
  <DocSecurity>0</DocSecurity>
  <Lines>99</Lines>
  <Paragraphs>28</Paragraphs>
  <ScaleCrop>false</ScaleCrop>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2021-11-26T01:17:00Z</dcterms:created>
  <dcterms:modified xsi:type="dcterms:W3CDTF">2021-11-26T21:49:00Z</dcterms:modified>
</cp:coreProperties>
</file>