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DFEFA" w14:textId="77777777" w:rsidR="006C2A3C" w:rsidRPr="006C2A3C" w:rsidRDefault="006C2A3C" w:rsidP="006C2A3C">
      <w:pPr>
        <w:shd w:val="clear" w:color="auto" w:fill="FFFFFF"/>
        <w:spacing w:after="0" w:line="360" w:lineRule="auto"/>
        <w:jc w:val="center"/>
        <w:textAlignment w:val="baseline"/>
        <w:rPr>
          <w:rFonts w:eastAsia="Times New Roman" w:cs="Times New Roman"/>
          <w:color w:val="2B2B2B"/>
          <w:szCs w:val="24"/>
          <w:lang w:eastAsia="es-CO"/>
        </w:rPr>
      </w:pPr>
      <w:r w:rsidRPr="006C2A3C">
        <w:rPr>
          <w:rFonts w:eastAsia="Times New Roman" w:cs="Times New Roman"/>
          <w:b/>
          <w:bCs/>
          <w:color w:val="2B2B2B"/>
          <w:szCs w:val="24"/>
          <w:bdr w:val="none" w:sz="0" w:space="0" w:color="auto" w:frame="1"/>
          <w:lang w:eastAsia="es-CO"/>
        </w:rPr>
        <w:t xml:space="preserve">OFICIO </w:t>
      </w:r>
      <w:proofErr w:type="spellStart"/>
      <w:r w:rsidRPr="006C2A3C">
        <w:rPr>
          <w:rFonts w:eastAsia="Times New Roman" w:cs="Times New Roman"/>
          <w:b/>
          <w:bCs/>
          <w:color w:val="2B2B2B"/>
          <w:szCs w:val="24"/>
          <w:bdr w:val="none" w:sz="0" w:space="0" w:color="auto" w:frame="1"/>
          <w:lang w:eastAsia="es-CO"/>
        </w:rPr>
        <w:t>Nº</w:t>
      </w:r>
      <w:proofErr w:type="spellEnd"/>
      <w:r w:rsidRPr="006C2A3C">
        <w:rPr>
          <w:rFonts w:eastAsia="Times New Roman" w:cs="Times New Roman"/>
          <w:b/>
          <w:bCs/>
          <w:color w:val="2B2B2B"/>
          <w:szCs w:val="24"/>
          <w:bdr w:val="none" w:sz="0" w:space="0" w:color="auto" w:frame="1"/>
          <w:lang w:eastAsia="es-CO"/>
        </w:rPr>
        <w:t xml:space="preserve"> 019362</w:t>
      </w:r>
    </w:p>
    <w:p w14:paraId="598B9070" w14:textId="77777777" w:rsidR="006C2A3C" w:rsidRPr="006C2A3C" w:rsidRDefault="006C2A3C" w:rsidP="006C2A3C">
      <w:pPr>
        <w:shd w:val="clear" w:color="auto" w:fill="FFFFFF"/>
        <w:spacing w:after="0" w:line="360" w:lineRule="auto"/>
        <w:jc w:val="center"/>
        <w:textAlignment w:val="baseline"/>
        <w:rPr>
          <w:rFonts w:eastAsia="Times New Roman" w:cs="Times New Roman"/>
          <w:color w:val="2B2B2B"/>
          <w:szCs w:val="24"/>
          <w:lang w:eastAsia="es-CO"/>
        </w:rPr>
      </w:pPr>
      <w:r w:rsidRPr="006C2A3C">
        <w:rPr>
          <w:rFonts w:eastAsia="Times New Roman" w:cs="Times New Roman"/>
          <w:b/>
          <w:bCs/>
          <w:color w:val="2B2B2B"/>
          <w:szCs w:val="24"/>
          <w:bdr w:val="none" w:sz="0" w:space="0" w:color="auto" w:frame="1"/>
          <w:lang w:eastAsia="es-CO"/>
        </w:rPr>
        <w:t>05-08-2019</w:t>
      </w:r>
    </w:p>
    <w:p w14:paraId="5A310DCD" w14:textId="77777777" w:rsidR="006C2A3C" w:rsidRPr="006C2A3C" w:rsidRDefault="006C2A3C" w:rsidP="006C2A3C">
      <w:pPr>
        <w:shd w:val="clear" w:color="auto" w:fill="FFFFFF"/>
        <w:spacing w:after="0" w:line="360" w:lineRule="auto"/>
        <w:jc w:val="center"/>
        <w:textAlignment w:val="baseline"/>
        <w:rPr>
          <w:rFonts w:eastAsia="Times New Roman" w:cs="Times New Roman"/>
          <w:color w:val="2B2B2B"/>
          <w:szCs w:val="24"/>
          <w:lang w:eastAsia="es-CO"/>
        </w:rPr>
      </w:pPr>
      <w:r w:rsidRPr="006C2A3C">
        <w:rPr>
          <w:rFonts w:eastAsia="Times New Roman" w:cs="Times New Roman"/>
          <w:b/>
          <w:bCs/>
          <w:color w:val="2B2B2B"/>
          <w:szCs w:val="24"/>
          <w:bdr w:val="none" w:sz="0" w:space="0" w:color="auto" w:frame="1"/>
          <w:lang w:eastAsia="es-CO"/>
        </w:rPr>
        <w:t>DIAN</w:t>
      </w:r>
    </w:p>
    <w:p w14:paraId="26EB47A4"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r w:rsidRPr="006C2A3C">
        <w:rPr>
          <w:rFonts w:eastAsia="Times New Roman" w:cs="Times New Roman"/>
          <w:b/>
          <w:bCs/>
          <w:color w:val="2B2B2B"/>
          <w:szCs w:val="24"/>
          <w:lang w:eastAsia="es-CO"/>
        </w:rPr>
        <w:t> </w:t>
      </w:r>
      <w:r w:rsidRPr="006C2A3C">
        <w:rPr>
          <w:rFonts w:eastAsia="Times New Roman" w:cs="Times New Roman"/>
          <w:color w:val="2B2B2B"/>
          <w:szCs w:val="24"/>
          <w:bdr w:val="none" w:sz="0" w:space="0" w:color="auto" w:frame="1"/>
          <w:lang w:eastAsia="es-CO"/>
        </w:rPr>
        <w:t>Subdirección de Gestión Normativa y Doctrina</w:t>
      </w:r>
    </w:p>
    <w:p w14:paraId="2B283413"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r w:rsidRPr="006C2A3C">
        <w:rPr>
          <w:rFonts w:eastAsia="Times New Roman" w:cs="Times New Roman"/>
          <w:color w:val="2B2B2B"/>
          <w:szCs w:val="24"/>
          <w:bdr w:val="none" w:sz="0" w:space="0" w:color="auto" w:frame="1"/>
          <w:lang w:eastAsia="es-CO"/>
        </w:rPr>
        <w:t>100208221 – 001920</w:t>
      </w:r>
    </w:p>
    <w:p w14:paraId="40627A0B"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r w:rsidRPr="006C2A3C">
        <w:rPr>
          <w:rFonts w:eastAsia="Times New Roman" w:cs="Times New Roman"/>
          <w:color w:val="2B2B2B"/>
          <w:szCs w:val="24"/>
          <w:bdr w:val="none" w:sz="0" w:space="0" w:color="auto" w:frame="1"/>
          <w:lang w:eastAsia="es-CO"/>
        </w:rPr>
        <w:t>Bogotá, D.C.</w:t>
      </w:r>
    </w:p>
    <w:p w14:paraId="1CF0DA3B" w14:textId="116DBD85" w:rsidR="006C2A3C" w:rsidRDefault="006C2A3C" w:rsidP="006C2A3C">
      <w:pPr>
        <w:shd w:val="clear" w:color="auto" w:fill="FFFFFF"/>
        <w:spacing w:after="0" w:line="360" w:lineRule="auto"/>
        <w:jc w:val="both"/>
        <w:textAlignment w:val="baseline"/>
        <w:rPr>
          <w:rFonts w:eastAsia="Times New Roman" w:cs="Times New Roman"/>
          <w:color w:val="2B2B2B"/>
          <w:szCs w:val="24"/>
          <w:bdr w:val="none" w:sz="0" w:space="0" w:color="auto" w:frame="1"/>
          <w:lang w:eastAsia="es-CO"/>
        </w:rPr>
      </w:pPr>
      <w:proofErr w:type="spellStart"/>
      <w:r w:rsidRPr="006C2A3C">
        <w:rPr>
          <w:rFonts w:eastAsia="Times New Roman" w:cs="Times New Roman"/>
          <w:b/>
          <w:bCs/>
          <w:color w:val="2B2B2B"/>
          <w:szCs w:val="24"/>
          <w:bdr w:val="none" w:sz="0" w:space="0" w:color="auto" w:frame="1"/>
          <w:lang w:eastAsia="es-CO"/>
        </w:rPr>
        <w:t>Ref</w:t>
      </w:r>
      <w:proofErr w:type="spellEnd"/>
      <w:r w:rsidRPr="006C2A3C">
        <w:rPr>
          <w:rFonts w:eastAsia="Times New Roman" w:cs="Times New Roman"/>
          <w:b/>
          <w:bCs/>
          <w:color w:val="2B2B2B"/>
          <w:szCs w:val="24"/>
          <w:bdr w:val="none" w:sz="0" w:space="0" w:color="auto" w:frame="1"/>
          <w:lang w:eastAsia="es-CO"/>
        </w:rPr>
        <w:t>:</w:t>
      </w:r>
      <w:r w:rsidRPr="006C2A3C">
        <w:rPr>
          <w:rFonts w:eastAsia="Times New Roman" w:cs="Times New Roman"/>
          <w:color w:val="2B2B2B"/>
          <w:szCs w:val="24"/>
          <w:bdr w:val="none" w:sz="0" w:space="0" w:color="auto" w:frame="1"/>
          <w:lang w:eastAsia="es-CO"/>
        </w:rPr>
        <w:t> Radicado 000334 del 03/07/2019</w:t>
      </w:r>
    </w:p>
    <w:p w14:paraId="3A0C421A"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tbl>
      <w:tblPr>
        <w:tblW w:w="9353"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1861"/>
        <w:gridCol w:w="296"/>
        <w:gridCol w:w="296"/>
        <w:gridCol w:w="6900"/>
      </w:tblGrid>
      <w:tr w:rsidR="006C2A3C" w:rsidRPr="006C2A3C" w14:paraId="2498A5B8" w14:textId="77777777" w:rsidTr="006C2A3C">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14:paraId="5EF0C1EE" w14:textId="77777777" w:rsidR="006C2A3C" w:rsidRPr="006C2A3C" w:rsidRDefault="006C2A3C" w:rsidP="006C2A3C">
            <w:pPr>
              <w:spacing w:after="0" w:line="360" w:lineRule="auto"/>
              <w:jc w:val="both"/>
              <w:rPr>
                <w:rFonts w:eastAsia="Times New Roman" w:cs="Times New Roman"/>
                <w:color w:val="2B2B2B"/>
                <w:szCs w:val="24"/>
                <w:lang w:eastAsia="es-CO"/>
              </w:rPr>
            </w:pPr>
            <w:r w:rsidRPr="006C2A3C">
              <w:rPr>
                <w:rFonts w:eastAsia="Times New Roman" w:cs="Times New Roman"/>
                <w:b/>
                <w:bCs/>
                <w:color w:val="2B2B2B"/>
                <w:szCs w:val="24"/>
                <w:bdr w:val="none" w:sz="0" w:space="0" w:color="auto" w:frame="1"/>
                <w:lang w:eastAsia="es-CO"/>
              </w:rPr>
              <w:t>Tema</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14:paraId="554C9FA7" w14:textId="77777777" w:rsidR="006C2A3C" w:rsidRPr="006C2A3C" w:rsidRDefault="006C2A3C" w:rsidP="006C2A3C">
            <w:pPr>
              <w:spacing w:after="0" w:line="360" w:lineRule="auto"/>
              <w:jc w:val="both"/>
              <w:rPr>
                <w:rFonts w:eastAsia="Times New Roman" w:cs="Times New Roman"/>
                <w:color w:val="2B2B2B"/>
                <w:szCs w:val="24"/>
                <w:lang w:eastAsia="es-CO"/>
              </w:rPr>
            </w:pP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14:paraId="77959B7D" w14:textId="77777777" w:rsidR="006C2A3C" w:rsidRPr="006C2A3C" w:rsidRDefault="006C2A3C" w:rsidP="006C2A3C">
            <w:pPr>
              <w:spacing w:after="0" w:line="360" w:lineRule="auto"/>
              <w:jc w:val="both"/>
              <w:rPr>
                <w:rFonts w:eastAsia="Times New Roman" w:cs="Times New Roman"/>
                <w:szCs w:val="24"/>
                <w:lang w:eastAsia="es-CO"/>
              </w:rPr>
            </w:pPr>
          </w:p>
        </w:tc>
        <w:tc>
          <w:tcPr>
            <w:tcW w:w="685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14:paraId="417AF1BD" w14:textId="77777777" w:rsidR="006C2A3C" w:rsidRPr="006C2A3C" w:rsidRDefault="006C2A3C" w:rsidP="006C2A3C">
            <w:pPr>
              <w:spacing w:after="0" w:line="360" w:lineRule="auto"/>
              <w:jc w:val="both"/>
              <w:rPr>
                <w:rFonts w:eastAsia="Times New Roman" w:cs="Times New Roman"/>
                <w:color w:val="2B2B2B"/>
                <w:szCs w:val="24"/>
                <w:lang w:eastAsia="es-CO"/>
              </w:rPr>
            </w:pPr>
            <w:r w:rsidRPr="006C2A3C">
              <w:rPr>
                <w:rFonts w:eastAsia="Times New Roman" w:cs="Times New Roman"/>
                <w:color w:val="2B2B2B"/>
                <w:szCs w:val="24"/>
                <w:bdr w:val="none" w:sz="0" w:space="0" w:color="auto" w:frame="1"/>
                <w:lang w:eastAsia="es-CO"/>
              </w:rPr>
              <w:t>Procedimiento Tributario</w:t>
            </w:r>
          </w:p>
        </w:tc>
      </w:tr>
      <w:tr w:rsidR="006C2A3C" w:rsidRPr="006C2A3C" w14:paraId="4946C92F" w14:textId="77777777" w:rsidTr="006C2A3C">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14:paraId="0F1A5751" w14:textId="77777777" w:rsidR="006C2A3C" w:rsidRPr="006C2A3C" w:rsidRDefault="006C2A3C" w:rsidP="006C2A3C">
            <w:pPr>
              <w:spacing w:after="0" w:line="360" w:lineRule="auto"/>
              <w:jc w:val="both"/>
              <w:rPr>
                <w:rFonts w:eastAsia="Times New Roman" w:cs="Times New Roman"/>
                <w:color w:val="2B2B2B"/>
                <w:szCs w:val="24"/>
                <w:lang w:eastAsia="es-CO"/>
              </w:rPr>
            </w:pPr>
            <w:r w:rsidRPr="006C2A3C">
              <w:rPr>
                <w:rFonts w:eastAsia="Times New Roman" w:cs="Times New Roman"/>
                <w:b/>
                <w:bCs/>
                <w:color w:val="2B2B2B"/>
                <w:szCs w:val="24"/>
                <w:bdr w:val="none" w:sz="0" w:space="0" w:color="auto" w:frame="1"/>
                <w:lang w:eastAsia="es-CO"/>
              </w:rPr>
              <w:t>Descriptores</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14:paraId="00947F3E" w14:textId="77777777" w:rsidR="006C2A3C" w:rsidRPr="006C2A3C" w:rsidRDefault="006C2A3C" w:rsidP="006C2A3C">
            <w:pPr>
              <w:spacing w:after="0" w:line="360" w:lineRule="auto"/>
              <w:jc w:val="both"/>
              <w:rPr>
                <w:rFonts w:eastAsia="Times New Roman" w:cs="Times New Roman"/>
                <w:color w:val="2B2B2B"/>
                <w:szCs w:val="24"/>
                <w:lang w:eastAsia="es-CO"/>
              </w:rPr>
            </w:pP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14:paraId="5BE22592" w14:textId="77777777" w:rsidR="006C2A3C" w:rsidRPr="006C2A3C" w:rsidRDefault="006C2A3C" w:rsidP="006C2A3C">
            <w:pPr>
              <w:spacing w:after="0" w:line="360" w:lineRule="auto"/>
              <w:jc w:val="both"/>
              <w:rPr>
                <w:rFonts w:eastAsia="Times New Roman" w:cs="Times New Roman"/>
                <w:szCs w:val="24"/>
                <w:lang w:eastAsia="es-CO"/>
              </w:rPr>
            </w:pPr>
          </w:p>
        </w:tc>
        <w:tc>
          <w:tcPr>
            <w:tcW w:w="685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14:paraId="0DC826CA" w14:textId="77777777" w:rsidR="006C2A3C" w:rsidRPr="006C2A3C" w:rsidRDefault="006C2A3C" w:rsidP="006C2A3C">
            <w:pPr>
              <w:spacing w:after="0" w:line="360" w:lineRule="auto"/>
              <w:jc w:val="both"/>
              <w:rPr>
                <w:rFonts w:eastAsia="Times New Roman" w:cs="Times New Roman"/>
                <w:color w:val="2B2B2B"/>
                <w:szCs w:val="24"/>
                <w:lang w:eastAsia="es-CO"/>
              </w:rPr>
            </w:pPr>
            <w:r w:rsidRPr="006C2A3C">
              <w:rPr>
                <w:rFonts w:eastAsia="Times New Roman" w:cs="Times New Roman"/>
                <w:color w:val="2B2B2B"/>
                <w:szCs w:val="24"/>
                <w:bdr w:val="none" w:sz="0" w:space="0" w:color="auto" w:frame="1"/>
                <w:lang w:eastAsia="es-CO"/>
              </w:rPr>
              <w:t>Factura en Contratos de Mandato</w:t>
            </w:r>
          </w:p>
          <w:p w14:paraId="5284BCAB" w14:textId="77777777" w:rsidR="006C2A3C" w:rsidRPr="006C2A3C" w:rsidRDefault="006C2A3C" w:rsidP="006C2A3C">
            <w:pPr>
              <w:spacing w:after="0" w:line="360" w:lineRule="auto"/>
              <w:jc w:val="both"/>
              <w:textAlignment w:val="baseline"/>
              <w:rPr>
                <w:rFonts w:eastAsia="Times New Roman" w:cs="Times New Roman"/>
                <w:color w:val="2B2B2B"/>
                <w:szCs w:val="24"/>
                <w:lang w:eastAsia="es-CO"/>
              </w:rPr>
            </w:pPr>
            <w:r w:rsidRPr="006C2A3C">
              <w:rPr>
                <w:rFonts w:eastAsia="Times New Roman" w:cs="Times New Roman"/>
                <w:color w:val="2B2B2B"/>
                <w:szCs w:val="24"/>
                <w:bdr w:val="none" w:sz="0" w:space="0" w:color="auto" w:frame="1"/>
                <w:lang w:eastAsia="es-CO"/>
              </w:rPr>
              <w:t>Certificado de Contador Público</w:t>
            </w:r>
          </w:p>
        </w:tc>
      </w:tr>
      <w:tr w:rsidR="006C2A3C" w:rsidRPr="006C2A3C" w14:paraId="59A31EB9" w14:textId="77777777" w:rsidTr="006C2A3C">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14:paraId="3BA0DA7B" w14:textId="77777777" w:rsidR="006C2A3C" w:rsidRPr="006C2A3C" w:rsidRDefault="006C2A3C" w:rsidP="006C2A3C">
            <w:pPr>
              <w:spacing w:after="0" w:line="360" w:lineRule="auto"/>
              <w:jc w:val="both"/>
              <w:rPr>
                <w:rFonts w:eastAsia="Times New Roman" w:cs="Times New Roman"/>
                <w:color w:val="2B2B2B"/>
                <w:szCs w:val="24"/>
                <w:lang w:eastAsia="es-CO"/>
              </w:rPr>
            </w:pPr>
            <w:r w:rsidRPr="006C2A3C">
              <w:rPr>
                <w:rFonts w:eastAsia="Times New Roman" w:cs="Times New Roman"/>
                <w:b/>
                <w:bCs/>
                <w:color w:val="2B2B2B"/>
                <w:szCs w:val="24"/>
                <w:bdr w:val="none" w:sz="0" w:space="0" w:color="auto" w:frame="1"/>
                <w:lang w:eastAsia="es-CO"/>
              </w:rPr>
              <w:t>Fuentes formales</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14:paraId="24EA6253" w14:textId="77777777" w:rsidR="006C2A3C" w:rsidRPr="006C2A3C" w:rsidRDefault="006C2A3C" w:rsidP="006C2A3C">
            <w:pPr>
              <w:spacing w:after="0" w:line="360" w:lineRule="auto"/>
              <w:jc w:val="both"/>
              <w:rPr>
                <w:rFonts w:eastAsia="Times New Roman" w:cs="Times New Roman"/>
                <w:color w:val="2B2B2B"/>
                <w:szCs w:val="24"/>
                <w:lang w:eastAsia="es-CO"/>
              </w:rPr>
            </w:pP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14:paraId="4ECAC220" w14:textId="77777777" w:rsidR="006C2A3C" w:rsidRPr="006C2A3C" w:rsidRDefault="006C2A3C" w:rsidP="006C2A3C">
            <w:pPr>
              <w:spacing w:after="0" w:line="360" w:lineRule="auto"/>
              <w:jc w:val="both"/>
              <w:rPr>
                <w:rFonts w:eastAsia="Times New Roman" w:cs="Times New Roman"/>
                <w:szCs w:val="24"/>
                <w:lang w:eastAsia="es-CO"/>
              </w:rPr>
            </w:pPr>
          </w:p>
        </w:tc>
        <w:tc>
          <w:tcPr>
            <w:tcW w:w="685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14:paraId="53861366" w14:textId="77777777" w:rsidR="006C2A3C" w:rsidRPr="006C2A3C" w:rsidRDefault="006C2A3C" w:rsidP="006C2A3C">
            <w:pPr>
              <w:spacing w:after="0" w:line="360" w:lineRule="auto"/>
              <w:jc w:val="both"/>
              <w:rPr>
                <w:rFonts w:eastAsia="Times New Roman" w:cs="Times New Roman"/>
                <w:color w:val="2B2B2B"/>
                <w:szCs w:val="24"/>
                <w:lang w:eastAsia="es-CO"/>
              </w:rPr>
            </w:pPr>
            <w:r w:rsidRPr="006C2A3C">
              <w:rPr>
                <w:rFonts w:eastAsia="Times New Roman" w:cs="Times New Roman"/>
                <w:color w:val="2B2B2B"/>
                <w:szCs w:val="24"/>
                <w:bdr w:val="none" w:sz="0" w:space="0" w:color="auto" w:frame="1"/>
                <w:lang w:eastAsia="es-CO"/>
              </w:rPr>
              <w:t>Artículos 615, 617, 631, 771-2, 772 y 777 del Estatuto Tributario. Artículos 1.6.1.4.1 y 1.6.1.4.3 DUR 1625 de 2016</w:t>
            </w:r>
          </w:p>
        </w:tc>
      </w:tr>
    </w:tbl>
    <w:p w14:paraId="494029F2" w14:textId="77777777" w:rsidR="006C2A3C" w:rsidRDefault="006C2A3C" w:rsidP="006C2A3C">
      <w:pPr>
        <w:shd w:val="clear" w:color="auto" w:fill="FFFFFF"/>
        <w:spacing w:after="0" w:line="360" w:lineRule="auto"/>
        <w:jc w:val="both"/>
        <w:textAlignment w:val="baseline"/>
        <w:rPr>
          <w:rFonts w:eastAsia="Times New Roman" w:cs="Times New Roman"/>
          <w:color w:val="2B2B2B"/>
          <w:szCs w:val="24"/>
          <w:bdr w:val="none" w:sz="0" w:space="0" w:color="auto" w:frame="1"/>
          <w:lang w:eastAsia="es-CO"/>
        </w:rPr>
      </w:pPr>
    </w:p>
    <w:p w14:paraId="61DE83E9" w14:textId="3D95F20C" w:rsidR="006C2A3C" w:rsidRDefault="006C2A3C" w:rsidP="006C2A3C">
      <w:pPr>
        <w:shd w:val="clear" w:color="auto" w:fill="FFFFFF"/>
        <w:spacing w:after="0" w:line="360" w:lineRule="auto"/>
        <w:jc w:val="both"/>
        <w:textAlignment w:val="baseline"/>
        <w:rPr>
          <w:rFonts w:eastAsia="Times New Roman" w:cs="Times New Roman"/>
          <w:color w:val="2B2B2B"/>
          <w:szCs w:val="24"/>
          <w:bdr w:val="none" w:sz="0" w:space="0" w:color="auto" w:frame="1"/>
          <w:lang w:eastAsia="es-CO"/>
        </w:rPr>
      </w:pPr>
      <w:r w:rsidRPr="006C2A3C">
        <w:rPr>
          <w:rFonts w:eastAsia="Times New Roman" w:cs="Times New Roman"/>
          <w:color w:val="2B2B2B"/>
          <w:szCs w:val="24"/>
          <w:bdr w:val="none" w:sz="0" w:space="0" w:color="auto" w:frame="1"/>
          <w:lang w:eastAsia="es-CO"/>
        </w:rPr>
        <w:t>Cordial saludo, señor Vargas</w:t>
      </w:r>
    </w:p>
    <w:p w14:paraId="3C738BA1"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30776048" w14:textId="37C06E17" w:rsidR="006C2A3C" w:rsidRDefault="006C2A3C" w:rsidP="006C2A3C">
      <w:pPr>
        <w:shd w:val="clear" w:color="auto" w:fill="FFFFFF"/>
        <w:spacing w:after="0" w:line="360" w:lineRule="auto"/>
        <w:jc w:val="both"/>
        <w:textAlignment w:val="baseline"/>
        <w:rPr>
          <w:rFonts w:eastAsia="Times New Roman" w:cs="Times New Roman"/>
          <w:color w:val="2B2B2B"/>
          <w:szCs w:val="24"/>
          <w:bdr w:val="none" w:sz="0" w:space="0" w:color="auto" w:frame="1"/>
          <w:lang w:eastAsia="es-CO"/>
        </w:rPr>
      </w:pPr>
      <w:r w:rsidRPr="006C2A3C">
        <w:rPr>
          <w:rFonts w:eastAsia="Times New Roman" w:cs="Times New Roman"/>
          <w:color w:val="2B2B2B"/>
          <w:szCs w:val="24"/>
          <w:bdr w:val="none" w:sz="0" w:space="0" w:color="auto" w:frame="1"/>
          <w:lang w:eastAsia="es-CO"/>
        </w:rPr>
        <w:t>De conformidad con el artículo 20 del Decreto 4048 de 2008, es función de la Subdirección de Gestión de Normativa y Doctrina absolver de modo general las consultas escritas que se formulen sobre interpretación y aplicación de las normas tributarias de carácter nacional, aduaneras y cambiarias en lo de competencia de esta entidad.</w:t>
      </w:r>
    </w:p>
    <w:p w14:paraId="6C4C3095"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6EB56D70" w14:textId="41F0C83A" w:rsidR="006C2A3C" w:rsidRDefault="006C2A3C" w:rsidP="006C2A3C">
      <w:pPr>
        <w:shd w:val="clear" w:color="auto" w:fill="FFFFFF"/>
        <w:spacing w:after="0" w:line="360" w:lineRule="auto"/>
        <w:jc w:val="both"/>
        <w:textAlignment w:val="baseline"/>
        <w:rPr>
          <w:rFonts w:eastAsia="Times New Roman" w:cs="Times New Roman"/>
          <w:color w:val="2B2B2B"/>
          <w:szCs w:val="24"/>
          <w:bdr w:val="none" w:sz="0" w:space="0" w:color="auto" w:frame="1"/>
          <w:lang w:eastAsia="es-CO"/>
        </w:rPr>
      </w:pPr>
      <w:r w:rsidRPr="006C2A3C">
        <w:rPr>
          <w:rFonts w:eastAsia="Times New Roman" w:cs="Times New Roman"/>
          <w:color w:val="2B2B2B"/>
          <w:szCs w:val="24"/>
          <w:bdr w:val="none" w:sz="0" w:space="0" w:color="auto" w:frame="1"/>
          <w:lang w:eastAsia="es-CO"/>
        </w:rPr>
        <w:t xml:space="preserve">Así mismo, el artículo 113 de la Ley 1943 de 2018 establece que los conceptos emitidos por la Dirección de Gestión Jurídica o la Subdirección de Gestión de Normativa y Doctrina de la Dirección de Impuestos y Aduanas </w:t>
      </w:r>
      <w:proofErr w:type="gramStart"/>
      <w:r w:rsidRPr="006C2A3C">
        <w:rPr>
          <w:rFonts w:eastAsia="Times New Roman" w:cs="Times New Roman"/>
          <w:color w:val="2B2B2B"/>
          <w:szCs w:val="24"/>
          <w:bdr w:val="none" w:sz="0" w:space="0" w:color="auto" w:frame="1"/>
          <w:lang w:eastAsia="es-CO"/>
        </w:rPr>
        <w:t>Nacionales,</w:t>
      </w:r>
      <w:proofErr w:type="gramEnd"/>
      <w:r w:rsidRPr="006C2A3C">
        <w:rPr>
          <w:rFonts w:eastAsia="Times New Roman" w:cs="Times New Roman"/>
          <w:color w:val="2B2B2B"/>
          <w:szCs w:val="24"/>
          <w:bdr w:val="none" w:sz="0" w:space="0" w:color="auto" w:frame="1"/>
          <w:lang w:eastAsia="es-CO"/>
        </w:rPr>
        <w:t xml:space="preserve"> constituyen interpretación oficial para los empleados públicos de la Dirección de Impuestos y Aduanas Nacionales; por lo tanto, tendrán carácter obligatorio para los mismos. Los contribuyentes solo podrán sustentar su actuación en la vía gubernativa y en la jurisdiccional con base en la Ley.</w:t>
      </w:r>
    </w:p>
    <w:p w14:paraId="4D3E3BE6"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4134663C" w14:textId="678CD6CC" w:rsidR="006C2A3C" w:rsidRDefault="006C2A3C" w:rsidP="006C2A3C">
      <w:pPr>
        <w:shd w:val="clear" w:color="auto" w:fill="FFFFFF"/>
        <w:spacing w:after="0" w:line="360" w:lineRule="auto"/>
        <w:jc w:val="both"/>
        <w:textAlignment w:val="baseline"/>
        <w:rPr>
          <w:rFonts w:eastAsia="Times New Roman" w:cs="Times New Roman"/>
          <w:b/>
          <w:bCs/>
          <w:color w:val="2B2B2B"/>
          <w:szCs w:val="24"/>
          <w:lang w:eastAsia="es-CO"/>
        </w:rPr>
      </w:pPr>
      <w:r w:rsidRPr="006C2A3C">
        <w:rPr>
          <w:rFonts w:eastAsia="Times New Roman" w:cs="Times New Roman"/>
          <w:color w:val="2B2B2B"/>
          <w:szCs w:val="24"/>
          <w:bdr w:val="none" w:sz="0" w:space="0" w:color="auto" w:frame="1"/>
          <w:lang w:eastAsia="es-CO"/>
        </w:rPr>
        <w:t>En consecuencia, no corresponde a esta Subdirección conceptuar sobre normas que corresponden a la competencia de otros entes del Estado, ni resolver problemas específicos de asuntos particulares.</w:t>
      </w:r>
      <w:r w:rsidRPr="006C2A3C">
        <w:rPr>
          <w:rFonts w:eastAsia="Times New Roman" w:cs="Times New Roman"/>
          <w:b/>
          <w:bCs/>
          <w:color w:val="2B2B2B"/>
          <w:szCs w:val="24"/>
          <w:lang w:eastAsia="es-CO"/>
        </w:rPr>
        <w:t> </w:t>
      </w:r>
    </w:p>
    <w:p w14:paraId="21192DB2"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1242F214" w14:textId="5DFADA7B" w:rsidR="006C2A3C" w:rsidRDefault="006C2A3C" w:rsidP="006C2A3C">
      <w:pPr>
        <w:shd w:val="clear" w:color="auto" w:fill="FFFFFF"/>
        <w:spacing w:after="0" w:line="360" w:lineRule="auto"/>
        <w:jc w:val="both"/>
        <w:textAlignment w:val="baseline"/>
        <w:rPr>
          <w:rFonts w:eastAsia="Times New Roman" w:cs="Times New Roman"/>
          <w:b/>
          <w:bCs/>
          <w:color w:val="2B2B2B"/>
          <w:szCs w:val="24"/>
          <w:bdr w:val="none" w:sz="0" w:space="0" w:color="auto" w:frame="1"/>
          <w:lang w:eastAsia="es-CO"/>
        </w:rPr>
      </w:pPr>
      <w:r w:rsidRPr="006C2A3C">
        <w:rPr>
          <w:rFonts w:eastAsia="Times New Roman" w:cs="Times New Roman"/>
          <w:b/>
          <w:bCs/>
          <w:color w:val="2B2B2B"/>
          <w:szCs w:val="24"/>
          <w:bdr w:val="none" w:sz="0" w:space="0" w:color="auto" w:frame="1"/>
          <w:lang w:eastAsia="es-CO"/>
        </w:rPr>
        <w:t>Consulta:</w:t>
      </w:r>
    </w:p>
    <w:p w14:paraId="7B9C9232"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2D4D9A6C"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r w:rsidRPr="006C2A3C">
        <w:rPr>
          <w:rFonts w:eastAsia="Times New Roman" w:cs="Times New Roman"/>
          <w:i/>
          <w:iCs/>
          <w:color w:val="2B2B2B"/>
          <w:szCs w:val="24"/>
          <w:lang w:eastAsia="es-CO"/>
        </w:rPr>
        <w:t> </w:t>
      </w:r>
      <w:r w:rsidRPr="006C2A3C">
        <w:rPr>
          <w:rFonts w:eastAsia="Times New Roman" w:cs="Times New Roman"/>
          <w:i/>
          <w:iCs/>
          <w:color w:val="2B2B2B"/>
          <w:szCs w:val="24"/>
          <w:bdr w:val="none" w:sz="0" w:space="0" w:color="auto" w:frame="1"/>
          <w:lang w:eastAsia="es-CO"/>
        </w:rPr>
        <w:t>¿Debe emitirse una certificación por cada operación que da lugar a costos, deducciones o impuestos descontables, o devoluciones?</w:t>
      </w:r>
      <w:r w:rsidRPr="006C2A3C">
        <w:rPr>
          <w:rFonts w:eastAsia="Times New Roman" w:cs="Times New Roman"/>
          <w:i/>
          <w:iCs/>
          <w:color w:val="2B2B2B"/>
          <w:szCs w:val="24"/>
          <w:lang w:eastAsia="es-CO"/>
        </w:rPr>
        <w:t> </w:t>
      </w:r>
    </w:p>
    <w:p w14:paraId="1529DAB5" w14:textId="40A18F7C" w:rsidR="006C2A3C" w:rsidRDefault="006C2A3C" w:rsidP="006C2A3C">
      <w:pPr>
        <w:shd w:val="clear" w:color="auto" w:fill="FFFFFF"/>
        <w:spacing w:after="0" w:line="360" w:lineRule="auto"/>
        <w:jc w:val="both"/>
        <w:textAlignment w:val="baseline"/>
        <w:rPr>
          <w:rFonts w:eastAsia="Times New Roman" w:cs="Times New Roman"/>
          <w:i/>
          <w:iCs/>
          <w:color w:val="2B2B2B"/>
          <w:szCs w:val="24"/>
          <w:lang w:eastAsia="es-CO"/>
        </w:rPr>
      </w:pPr>
      <w:r w:rsidRPr="006C2A3C">
        <w:rPr>
          <w:rFonts w:eastAsia="Times New Roman" w:cs="Times New Roman"/>
          <w:i/>
          <w:iCs/>
          <w:color w:val="2B2B2B"/>
          <w:szCs w:val="24"/>
          <w:bdr w:val="none" w:sz="0" w:space="0" w:color="auto" w:frame="1"/>
          <w:lang w:eastAsia="es-CO"/>
        </w:rPr>
        <w:lastRenderedPageBreak/>
        <w:t>¿Puede coexistir, dentro del documento por medio del cual se hace exigible el reembolso de compras hechas por cuenta del mandante, el cobro por los servicios y/o honorarios prestados por el mandatario?</w:t>
      </w:r>
      <w:r w:rsidRPr="006C2A3C">
        <w:rPr>
          <w:rFonts w:eastAsia="Times New Roman" w:cs="Times New Roman"/>
          <w:i/>
          <w:iCs/>
          <w:color w:val="2B2B2B"/>
          <w:szCs w:val="24"/>
          <w:lang w:eastAsia="es-CO"/>
        </w:rPr>
        <w:t> </w:t>
      </w:r>
    </w:p>
    <w:p w14:paraId="110A63B0"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01B81172" w14:textId="569F1008" w:rsidR="006C2A3C" w:rsidRDefault="006C2A3C" w:rsidP="006C2A3C">
      <w:pPr>
        <w:shd w:val="clear" w:color="auto" w:fill="FFFFFF"/>
        <w:spacing w:after="0" w:line="360" w:lineRule="auto"/>
        <w:jc w:val="both"/>
        <w:textAlignment w:val="baseline"/>
        <w:rPr>
          <w:rFonts w:eastAsia="Times New Roman" w:cs="Times New Roman"/>
          <w:i/>
          <w:iCs/>
          <w:color w:val="2B2B2B"/>
          <w:szCs w:val="24"/>
          <w:lang w:eastAsia="es-CO"/>
        </w:rPr>
      </w:pPr>
      <w:r w:rsidRPr="006C2A3C">
        <w:rPr>
          <w:rFonts w:eastAsia="Times New Roman" w:cs="Times New Roman"/>
          <w:i/>
          <w:iCs/>
          <w:color w:val="2B2B2B"/>
          <w:szCs w:val="24"/>
          <w:bdr w:val="none" w:sz="0" w:space="0" w:color="auto" w:frame="1"/>
          <w:lang w:eastAsia="es-CO"/>
        </w:rPr>
        <w:t xml:space="preserve">¿Cuáles deben ser los </w:t>
      </w:r>
      <w:proofErr w:type="gramStart"/>
      <w:r w:rsidRPr="006C2A3C">
        <w:rPr>
          <w:rFonts w:eastAsia="Times New Roman" w:cs="Times New Roman"/>
          <w:i/>
          <w:iCs/>
          <w:color w:val="2B2B2B"/>
          <w:szCs w:val="24"/>
          <w:bdr w:val="none" w:sz="0" w:space="0" w:color="auto" w:frame="1"/>
          <w:lang w:eastAsia="es-CO"/>
        </w:rPr>
        <w:t>documentos soportes</w:t>
      </w:r>
      <w:proofErr w:type="gramEnd"/>
      <w:r w:rsidRPr="006C2A3C">
        <w:rPr>
          <w:rFonts w:eastAsia="Times New Roman" w:cs="Times New Roman"/>
          <w:i/>
          <w:iCs/>
          <w:color w:val="2B2B2B"/>
          <w:szCs w:val="24"/>
          <w:bdr w:val="none" w:sz="0" w:space="0" w:color="auto" w:frame="1"/>
          <w:lang w:eastAsia="es-CO"/>
        </w:rPr>
        <w:t xml:space="preserve"> que debe mantener y exigir el mandante un mandatario, cuando en desarrollo de un contrato de mandato, el mandatario adquiere bienes y servicios por cuenta del mandante?</w:t>
      </w:r>
      <w:r w:rsidRPr="006C2A3C">
        <w:rPr>
          <w:rFonts w:eastAsia="Times New Roman" w:cs="Times New Roman"/>
          <w:i/>
          <w:iCs/>
          <w:color w:val="2B2B2B"/>
          <w:szCs w:val="24"/>
          <w:lang w:eastAsia="es-CO"/>
        </w:rPr>
        <w:t> </w:t>
      </w:r>
    </w:p>
    <w:p w14:paraId="2F36EC7B"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0D820507" w14:textId="691B01E6" w:rsidR="006C2A3C" w:rsidRDefault="006C2A3C" w:rsidP="006C2A3C">
      <w:pPr>
        <w:shd w:val="clear" w:color="auto" w:fill="FFFFFF"/>
        <w:spacing w:after="0" w:line="360" w:lineRule="auto"/>
        <w:jc w:val="both"/>
        <w:textAlignment w:val="baseline"/>
        <w:rPr>
          <w:rFonts w:eastAsia="Times New Roman" w:cs="Times New Roman"/>
          <w:i/>
          <w:iCs/>
          <w:color w:val="2B2B2B"/>
          <w:szCs w:val="24"/>
          <w:lang w:eastAsia="es-CO"/>
        </w:rPr>
      </w:pPr>
      <w:proofErr w:type="gramStart"/>
      <w:r w:rsidRPr="006C2A3C">
        <w:rPr>
          <w:rFonts w:eastAsia="Times New Roman" w:cs="Times New Roman"/>
          <w:i/>
          <w:iCs/>
          <w:color w:val="2B2B2B"/>
          <w:szCs w:val="24"/>
          <w:bdr w:val="none" w:sz="0" w:space="0" w:color="auto" w:frame="1"/>
          <w:lang w:eastAsia="es-CO"/>
        </w:rPr>
        <w:t>¿La certificación de que trata el artículo 1.</w:t>
      </w:r>
      <w:proofErr w:type="gramEnd"/>
      <w:r w:rsidRPr="006C2A3C">
        <w:rPr>
          <w:rFonts w:eastAsia="Times New Roman" w:cs="Times New Roman"/>
          <w:i/>
          <w:iCs/>
          <w:color w:val="2B2B2B"/>
          <w:szCs w:val="24"/>
          <w:bdr w:val="none" w:sz="0" w:space="0" w:color="auto" w:frame="1"/>
          <w:lang w:eastAsia="es-CO"/>
        </w:rPr>
        <w:t>6.1.4.3 del DUR 1625 de 2016, puede ser emitida por el contador de la empresa?</w:t>
      </w:r>
      <w:r w:rsidRPr="006C2A3C">
        <w:rPr>
          <w:rFonts w:eastAsia="Times New Roman" w:cs="Times New Roman"/>
          <w:i/>
          <w:iCs/>
          <w:color w:val="2B2B2B"/>
          <w:szCs w:val="24"/>
          <w:lang w:eastAsia="es-CO"/>
        </w:rPr>
        <w:t> </w:t>
      </w:r>
    </w:p>
    <w:p w14:paraId="4C24BEE1"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5007A361" w14:textId="38BB8DEA" w:rsidR="006C2A3C" w:rsidRDefault="006C2A3C" w:rsidP="006C2A3C">
      <w:pPr>
        <w:shd w:val="clear" w:color="auto" w:fill="FFFFFF"/>
        <w:spacing w:after="0" w:line="360" w:lineRule="auto"/>
        <w:jc w:val="both"/>
        <w:textAlignment w:val="baseline"/>
        <w:rPr>
          <w:rFonts w:eastAsia="Times New Roman" w:cs="Times New Roman"/>
          <w:i/>
          <w:iCs/>
          <w:color w:val="2B2B2B"/>
          <w:szCs w:val="24"/>
          <w:bdr w:val="none" w:sz="0" w:space="0" w:color="auto" w:frame="1"/>
          <w:lang w:eastAsia="es-CO"/>
        </w:rPr>
      </w:pPr>
      <w:r w:rsidRPr="006C2A3C">
        <w:rPr>
          <w:rFonts w:eastAsia="Times New Roman" w:cs="Times New Roman"/>
          <w:i/>
          <w:iCs/>
          <w:color w:val="2B2B2B"/>
          <w:szCs w:val="24"/>
          <w:bdr w:val="none" w:sz="0" w:space="0" w:color="auto" w:frame="1"/>
          <w:lang w:eastAsia="es-CO"/>
        </w:rPr>
        <w:t>¿Debe emitirse una certificación por cada operación que da lugar a costos, deducciones o impuestos descontables, o devoluciones?</w:t>
      </w:r>
    </w:p>
    <w:p w14:paraId="0E400B20"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501395CE" w14:textId="49F7782E" w:rsidR="006C2A3C" w:rsidRDefault="006C2A3C" w:rsidP="006C2A3C">
      <w:pPr>
        <w:shd w:val="clear" w:color="auto" w:fill="FFFFFF"/>
        <w:spacing w:after="0" w:line="360" w:lineRule="auto"/>
        <w:jc w:val="both"/>
        <w:textAlignment w:val="baseline"/>
        <w:rPr>
          <w:rFonts w:eastAsia="Times New Roman" w:cs="Times New Roman"/>
          <w:i/>
          <w:iCs/>
          <w:color w:val="2B2B2B"/>
          <w:szCs w:val="24"/>
          <w:lang w:eastAsia="es-CO"/>
        </w:rPr>
      </w:pPr>
      <w:r w:rsidRPr="006C2A3C">
        <w:rPr>
          <w:rFonts w:eastAsia="Times New Roman" w:cs="Times New Roman"/>
          <w:i/>
          <w:iCs/>
          <w:color w:val="2B2B2B"/>
          <w:szCs w:val="24"/>
          <w:bdr w:val="none" w:sz="0" w:space="0" w:color="auto" w:frame="1"/>
          <w:lang w:eastAsia="es-CO"/>
        </w:rPr>
        <w:t>¿Debe emitir factura comercial al mandante, además de la certificación de contador por revisor fiscal?</w:t>
      </w:r>
      <w:r w:rsidRPr="006C2A3C">
        <w:rPr>
          <w:rFonts w:eastAsia="Times New Roman" w:cs="Times New Roman"/>
          <w:i/>
          <w:iCs/>
          <w:color w:val="2B2B2B"/>
          <w:szCs w:val="24"/>
          <w:lang w:eastAsia="es-CO"/>
        </w:rPr>
        <w:t> </w:t>
      </w:r>
    </w:p>
    <w:p w14:paraId="35CA6756"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1A66EA50" w14:textId="30EB13ED" w:rsidR="006C2A3C" w:rsidRDefault="006C2A3C" w:rsidP="006C2A3C">
      <w:pPr>
        <w:shd w:val="clear" w:color="auto" w:fill="FFFFFF"/>
        <w:spacing w:after="0" w:line="360" w:lineRule="auto"/>
        <w:jc w:val="both"/>
        <w:textAlignment w:val="baseline"/>
        <w:rPr>
          <w:rFonts w:eastAsia="Times New Roman" w:cs="Times New Roman"/>
          <w:b/>
          <w:bCs/>
          <w:color w:val="2B2B2B"/>
          <w:szCs w:val="24"/>
          <w:lang w:eastAsia="es-CO"/>
        </w:rPr>
      </w:pPr>
      <w:r w:rsidRPr="006C2A3C">
        <w:rPr>
          <w:rFonts w:eastAsia="Times New Roman" w:cs="Times New Roman"/>
          <w:i/>
          <w:iCs/>
          <w:color w:val="2B2B2B"/>
          <w:szCs w:val="24"/>
          <w:bdr w:val="none" w:sz="0" w:space="0" w:color="auto" w:frame="1"/>
          <w:lang w:eastAsia="es-CO"/>
        </w:rPr>
        <w:t>¿Qué incidencia tiene este tipo de operación (mandato) en los reportes de información exógena a la DIAN?</w:t>
      </w:r>
      <w:r w:rsidRPr="006C2A3C">
        <w:rPr>
          <w:rFonts w:eastAsia="Times New Roman" w:cs="Times New Roman"/>
          <w:b/>
          <w:bCs/>
          <w:color w:val="2B2B2B"/>
          <w:szCs w:val="24"/>
          <w:lang w:eastAsia="es-CO"/>
        </w:rPr>
        <w:t> </w:t>
      </w:r>
    </w:p>
    <w:p w14:paraId="45684217"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7937B6CE" w14:textId="4BBC41C6" w:rsidR="006C2A3C" w:rsidRDefault="006C2A3C" w:rsidP="006C2A3C">
      <w:pPr>
        <w:shd w:val="clear" w:color="auto" w:fill="FFFFFF"/>
        <w:spacing w:after="0" w:line="360" w:lineRule="auto"/>
        <w:jc w:val="both"/>
        <w:textAlignment w:val="baseline"/>
        <w:rPr>
          <w:rFonts w:eastAsia="Times New Roman" w:cs="Times New Roman"/>
          <w:b/>
          <w:bCs/>
          <w:color w:val="2B2B2B"/>
          <w:szCs w:val="24"/>
          <w:bdr w:val="none" w:sz="0" w:space="0" w:color="auto" w:frame="1"/>
          <w:lang w:eastAsia="es-CO"/>
        </w:rPr>
      </w:pPr>
      <w:r w:rsidRPr="006C2A3C">
        <w:rPr>
          <w:rFonts w:eastAsia="Times New Roman" w:cs="Times New Roman"/>
          <w:b/>
          <w:bCs/>
          <w:color w:val="2B2B2B"/>
          <w:szCs w:val="24"/>
          <w:bdr w:val="none" w:sz="0" w:space="0" w:color="auto" w:frame="1"/>
          <w:lang w:eastAsia="es-CO"/>
        </w:rPr>
        <w:t>Respuesta:</w:t>
      </w:r>
    </w:p>
    <w:p w14:paraId="10342578"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696D026E" w14:textId="3B8E2C95" w:rsidR="006C2A3C" w:rsidRDefault="006C2A3C" w:rsidP="006C2A3C">
      <w:pPr>
        <w:shd w:val="clear" w:color="auto" w:fill="FFFFFF"/>
        <w:spacing w:after="0" w:line="360" w:lineRule="auto"/>
        <w:jc w:val="both"/>
        <w:textAlignment w:val="baseline"/>
        <w:rPr>
          <w:rFonts w:eastAsia="Times New Roman" w:cs="Times New Roman"/>
          <w:color w:val="2B2B2B"/>
          <w:szCs w:val="24"/>
          <w:bdr w:val="none" w:sz="0" w:space="0" w:color="auto" w:frame="1"/>
          <w:lang w:eastAsia="es-CO"/>
        </w:rPr>
      </w:pPr>
      <w:r w:rsidRPr="006C2A3C">
        <w:rPr>
          <w:rFonts w:eastAsia="Times New Roman" w:cs="Times New Roman"/>
          <w:color w:val="2B2B2B"/>
          <w:szCs w:val="24"/>
          <w:bdr w:val="none" w:sz="0" w:space="0" w:color="auto" w:frame="1"/>
          <w:lang w:eastAsia="es-CO"/>
        </w:rPr>
        <w:t>Para contestar las preguntas formuladas, a continuación, se expondrá el marco normativo que establece para el contrato de mandato la obligación de facturar, la cual debe ser tenida en cuenta por los contribuyentes al momento proceder con esta obligación.</w:t>
      </w:r>
    </w:p>
    <w:p w14:paraId="58512E9D"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16033112" w14:textId="3D7618BF" w:rsidR="006C2A3C" w:rsidRDefault="006C2A3C" w:rsidP="006C2A3C">
      <w:pPr>
        <w:shd w:val="clear" w:color="auto" w:fill="FFFFFF"/>
        <w:spacing w:after="0" w:line="360" w:lineRule="auto"/>
        <w:jc w:val="both"/>
        <w:textAlignment w:val="baseline"/>
        <w:rPr>
          <w:rFonts w:eastAsia="Times New Roman" w:cs="Times New Roman"/>
          <w:color w:val="2B2B2B"/>
          <w:szCs w:val="24"/>
          <w:bdr w:val="none" w:sz="0" w:space="0" w:color="auto" w:frame="1"/>
          <w:lang w:eastAsia="es-CO"/>
        </w:rPr>
      </w:pPr>
      <w:r w:rsidRPr="006C2A3C">
        <w:rPr>
          <w:rFonts w:eastAsia="Times New Roman" w:cs="Times New Roman"/>
          <w:color w:val="2B2B2B"/>
          <w:szCs w:val="24"/>
          <w:bdr w:val="none" w:sz="0" w:space="0" w:color="auto" w:frame="1"/>
          <w:lang w:eastAsia="es-CO"/>
        </w:rPr>
        <w:t>El contrato de mandato es un contrato nominado que se encuentra regulado tanto en el Código Civil en sus artículos 2142 y siguientes, así como en el Código de Comercio en los artículos 1262 y subsiguientes.</w:t>
      </w:r>
    </w:p>
    <w:p w14:paraId="76A03DD0"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137E43BA" w14:textId="7C703A03" w:rsidR="006C2A3C" w:rsidRDefault="006C2A3C" w:rsidP="006C2A3C">
      <w:pPr>
        <w:shd w:val="clear" w:color="auto" w:fill="FFFFFF"/>
        <w:spacing w:after="0" w:line="360" w:lineRule="auto"/>
        <w:jc w:val="both"/>
        <w:textAlignment w:val="baseline"/>
        <w:rPr>
          <w:rFonts w:eastAsia="Times New Roman" w:cs="Times New Roman"/>
          <w:i/>
          <w:iCs/>
          <w:color w:val="2B2B2B"/>
          <w:szCs w:val="24"/>
          <w:lang w:eastAsia="es-CO"/>
        </w:rPr>
      </w:pPr>
      <w:r w:rsidRPr="006C2A3C">
        <w:rPr>
          <w:rFonts w:eastAsia="Times New Roman" w:cs="Times New Roman"/>
          <w:b/>
          <w:bCs/>
          <w:i/>
          <w:iCs/>
          <w:color w:val="2B2B2B"/>
          <w:szCs w:val="24"/>
          <w:bdr w:val="none" w:sz="0" w:space="0" w:color="auto" w:frame="1"/>
          <w:lang w:eastAsia="es-CO"/>
        </w:rPr>
        <w:t>“ARTÍCULO 2142. &lt;DEFINICIÓN DE MANDATO&gt;.</w:t>
      </w:r>
      <w:r w:rsidRPr="006C2A3C">
        <w:rPr>
          <w:rFonts w:eastAsia="Times New Roman" w:cs="Times New Roman"/>
          <w:i/>
          <w:iCs/>
          <w:color w:val="2B2B2B"/>
          <w:szCs w:val="24"/>
          <w:bdr w:val="none" w:sz="0" w:space="0" w:color="auto" w:frame="1"/>
          <w:lang w:eastAsia="es-CO"/>
        </w:rPr>
        <w:t> El mandato es un contrato en que una persona confía la gestión de uno o más negocios a otra, que se hace cargo de ellos por cuenta y riesgo de la primera.</w:t>
      </w:r>
      <w:r w:rsidRPr="006C2A3C">
        <w:rPr>
          <w:rFonts w:eastAsia="Times New Roman" w:cs="Times New Roman"/>
          <w:i/>
          <w:iCs/>
          <w:color w:val="2B2B2B"/>
          <w:szCs w:val="24"/>
          <w:lang w:eastAsia="es-CO"/>
        </w:rPr>
        <w:t> </w:t>
      </w:r>
    </w:p>
    <w:p w14:paraId="786E8331"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6DF8F548" w14:textId="42ABE39D" w:rsidR="006C2A3C" w:rsidRDefault="006C2A3C" w:rsidP="006C2A3C">
      <w:pPr>
        <w:shd w:val="clear" w:color="auto" w:fill="FFFFFF"/>
        <w:spacing w:after="0" w:line="360" w:lineRule="auto"/>
        <w:jc w:val="both"/>
        <w:textAlignment w:val="baseline"/>
        <w:rPr>
          <w:rFonts w:eastAsia="Times New Roman" w:cs="Times New Roman"/>
          <w:i/>
          <w:iCs/>
          <w:color w:val="2B2B2B"/>
          <w:szCs w:val="24"/>
          <w:bdr w:val="none" w:sz="0" w:space="0" w:color="auto" w:frame="1"/>
          <w:lang w:eastAsia="es-CO"/>
        </w:rPr>
      </w:pPr>
      <w:r w:rsidRPr="006C2A3C">
        <w:rPr>
          <w:rFonts w:eastAsia="Times New Roman" w:cs="Times New Roman"/>
          <w:i/>
          <w:iCs/>
          <w:color w:val="2B2B2B"/>
          <w:szCs w:val="24"/>
          <w:bdr w:val="none" w:sz="0" w:space="0" w:color="auto" w:frame="1"/>
          <w:lang w:eastAsia="es-CO"/>
        </w:rPr>
        <w:t>La persona que concede el encargo se llama comitente o mandante, y la que lo acepta apoderado, procurador, y en general mandatario”.</w:t>
      </w:r>
    </w:p>
    <w:p w14:paraId="5747DEC4"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02E6CCA3" w14:textId="7B39F225" w:rsidR="006C2A3C" w:rsidRDefault="006C2A3C" w:rsidP="006C2A3C">
      <w:pPr>
        <w:shd w:val="clear" w:color="auto" w:fill="FFFFFF"/>
        <w:spacing w:after="0" w:line="360" w:lineRule="auto"/>
        <w:jc w:val="both"/>
        <w:textAlignment w:val="baseline"/>
        <w:rPr>
          <w:rFonts w:eastAsia="Times New Roman" w:cs="Times New Roman"/>
          <w:color w:val="2B2B2B"/>
          <w:szCs w:val="24"/>
          <w:bdr w:val="none" w:sz="0" w:space="0" w:color="auto" w:frame="1"/>
          <w:lang w:eastAsia="es-CO"/>
        </w:rPr>
      </w:pPr>
      <w:r w:rsidRPr="006C2A3C">
        <w:rPr>
          <w:rFonts w:eastAsia="Times New Roman" w:cs="Times New Roman"/>
          <w:color w:val="2B2B2B"/>
          <w:szCs w:val="24"/>
          <w:bdr w:val="none" w:sz="0" w:space="0" w:color="auto" w:frame="1"/>
          <w:lang w:eastAsia="es-CO"/>
        </w:rPr>
        <w:t>(Art. 2142. Código Civil).</w:t>
      </w:r>
    </w:p>
    <w:p w14:paraId="790B79B0"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6B4537E5" w14:textId="484845B4" w:rsidR="006C2A3C" w:rsidRDefault="006C2A3C" w:rsidP="006C2A3C">
      <w:pPr>
        <w:shd w:val="clear" w:color="auto" w:fill="FFFFFF"/>
        <w:spacing w:after="0" w:line="360" w:lineRule="auto"/>
        <w:jc w:val="both"/>
        <w:textAlignment w:val="baseline"/>
        <w:rPr>
          <w:rFonts w:eastAsia="Times New Roman" w:cs="Times New Roman"/>
          <w:color w:val="2B2B2B"/>
          <w:szCs w:val="24"/>
          <w:bdr w:val="none" w:sz="0" w:space="0" w:color="auto" w:frame="1"/>
          <w:lang w:eastAsia="es-CO"/>
        </w:rPr>
      </w:pPr>
      <w:r w:rsidRPr="006C2A3C">
        <w:rPr>
          <w:rFonts w:eastAsia="Times New Roman" w:cs="Times New Roman"/>
          <w:color w:val="2B2B2B"/>
          <w:szCs w:val="24"/>
          <w:bdr w:val="none" w:sz="0" w:space="0" w:color="auto" w:frame="1"/>
          <w:lang w:eastAsia="es-CO"/>
        </w:rPr>
        <w:lastRenderedPageBreak/>
        <w:t xml:space="preserve">En materia tributaria, la factura es una de las obligaciones formales que deben cumplir los sujetos obligados, la cual consiste en expedir la factura o documento equivalente por cada una de las transacciones que realicen ya sea por venta o prestación de servicios, que se concreta con la entrega de original de </w:t>
      </w:r>
      <w:proofErr w:type="gramStart"/>
      <w:r w:rsidRPr="006C2A3C">
        <w:rPr>
          <w:rFonts w:eastAsia="Times New Roman" w:cs="Times New Roman"/>
          <w:color w:val="2B2B2B"/>
          <w:szCs w:val="24"/>
          <w:bdr w:val="none" w:sz="0" w:space="0" w:color="auto" w:frame="1"/>
          <w:lang w:eastAsia="es-CO"/>
        </w:rPr>
        <w:t>la misma</w:t>
      </w:r>
      <w:proofErr w:type="gramEnd"/>
      <w:r w:rsidRPr="006C2A3C">
        <w:rPr>
          <w:rFonts w:eastAsia="Times New Roman" w:cs="Times New Roman"/>
          <w:color w:val="2B2B2B"/>
          <w:szCs w:val="24"/>
          <w:bdr w:val="none" w:sz="0" w:space="0" w:color="auto" w:frame="1"/>
          <w:lang w:eastAsia="es-CO"/>
        </w:rPr>
        <w:t>, con el lleno de los requisitos legales, a quien se venda o preste el servicio, y conservar la copia (Art. 615 del Estatuto Tributario)</w:t>
      </w:r>
    </w:p>
    <w:p w14:paraId="17A6F278"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597E2C40" w14:textId="7AB0A488" w:rsidR="006C2A3C" w:rsidRDefault="006C2A3C" w:rsidP="006C2A3C">
      <w:pPr>
        <w:shd w:val="clear" w:color="auto" w:fill="FFFFFF"/>
        <w:spacing w:after="0" w:line="360" w:lineRule="auto"/>
        <w:jc w:val="both"/>
        <w:textAlignment w:val="baseline"/>
        <w:rPr>
          <w:rFonts w:eastAsia="Times New Roman" w:cs="Times New Roman"/>
          <w:color w:val="2B2B2B"/>
          <w:szCs w:val="24"/>
          <w:bdr w:val="none" w:sz="0" w:space="0" w:color="auto" w:frame="1"/>
          <w:lang w:eastAsia="es-CO"/>
        </w:rPr>
      </w:pPr>
      <w:r w:rsidRPr="006C2A3C">
        <w:rPr>
          <w:rFonts w:eastAsia="Times New Roman" w:cs="Times New Roman"/>
          <w:color w:val="2B2B2B"/>
          <w:szCs w:val="24"/>
          <w:bdr w:val="none" w:sz="0" w:space="0" w:color="auto" w:frame="1"/>
          <w:lang w:eastAsia="es-CO"/>
        </w:rPr>
        <w:t>Para la procedencia de costos y deducciones en el impuesto sobre la renta, así como de los impuestos descontables en el impuesto sobre las ventas, se requerirá de facturas con el cumplimiento de los requisitos establecidos en los literales b), c), d), e), f) y g) de los artículos 617 y 618 del Estatuto Tributario. (Artículo 771-2 del E.T.).</w:t>
      </w:r>
    </w:p>
    <w:p w14:paraId="65A4E56C"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58747EEC" w14:textId="02024F5B" w:rsidR="006C2A3C" w:rsidRDefault="006C2A3C" w:rsidP="006C2A3C">
      <w:pPr>
        <w:shd w:val="clear" w:color="auto" w:fill="FFFFFF"/>
        <w:spacing w:after="0" w:line="360" w:lineRule="auto"/>
        <w:jc w:val="both"/>
        <w:textAlignment w:val="baseline"/>
        <w:rPr>
          <w:rFonts w:eastAsia="Times New Roman" w:cs="Times New Roman"/>
          <w:color w:val="2B2B2B"/>
          <w:szCs w:val="24"/>
          <w:bdr w:val="none" w:sz="0" w:space="0" w:color="auto" w:frame="1"/>
          <w:lang w:eastAsia="es-CO"/>
        </w:rPr>
      </w:pPr>
      <w:r w:rsidRPr="006C2A3C">
        <w:rPr>
          <w:rFonts w:eastAsia="Times New Roman" w:cs="Times New Roman"/>
          <w:color w:val="2B2B2B"/>
          <w:szCs w:val="24"/>
          <w:bdr w:val="none" w:sz="0" w:space="0" w:color="auto" w:frame="1"/>
          <w:lang w:eastAsia="es-CO"/>
        </w:rPr>
        <w:t>Por la misma razón, están obligados a expedir factura o documento equivalente todas las personas o entidades que tengan la calidad de comerciantes, ejerzan profesiones liberales o presten servicios inherentes a estas, o enajenen bienes producto de la actividad agrícola o ganadera, independientemente de su calidad de contribuyentes o no contribuyentes de los impuestos administrados por la Unidad Administrativa Especial Dirección de Impuestos y Aduanas Nacionales (DIAN), </w:t>
      </w:r>
      <w:r w:rsidRPr="006C2A3C">
        <w:rPr>
          <w:rFonts w:eastAsia="Times New Roman" w:cs="Times New Roman"/>
          <w:i/>
          <w:iCs/>
          <w:color w:val="2B2B2B"/>
          <w:szCs w:val="24"/>
          <w:bdr w:val="none" w:sz="0" w:space="0" w:color="auto" w:frame="1"/>
          <w:lang w:eastAsia="es-CO"/>
        </w:rPr>
        <w:t>“por cada una de las operaciones que realicen”. </w:t>
      </w:r>
      <w:r w:rsidRPr="006C2A3C">
        <w:rPr>
          <w:rFonts w:eastAsia="Times New Roman" w:cs="Times New Roman"/>
          <w:color w:val="2B2B2B"/>
          <w:szCs w:val="24"/>
          <w:bdr w:val="none" w:sz="0" w:space="0" w:color="auto" w:frame="1"/>
          <w:lang w:eastAsia="es-CO"/>
        </w:rPr>
        <w:t>(Artículo 1.6.1.4.1 del DUR 1625 de 2016).</w:t>
      </w:r>
    </w:p>
    <w:p w14:paraId="2DAB17D9"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0835FE40" w14:textId="17BEA5BF" w:rsidR="006C2A3C" w:rsidRDefault="006C2A3C" w:rsidP="006C2A3C">
      <w:pPr>
        <w:shd w:val="clear" w:color="auto" w:fill="FFFFFF"/>
        <w:spacing w:after="0" w:line="360" w:lineRule="auto"/>
        <w:jc w:val="both"/>
        <w:textAlignment w:val="baseline"/>
        <w:rPr>
          <w:rFonts w:eastAsia="Times New Roman" w:cs="Times New Roman"/>
          <w:color w:val="2B2B2B"/>
          <w:szCs w:val="24"/>
          <w:bdr w:val="none" w:sz="0" w:space="0" w:color="auto" w:frame="1"/>
          <w:lang w:eastAsia="es-CO"/>
        </w:rPr>
      </w:pPr>
      <w:r w:rsidRPr="006C2A3C">
        <w:rPr>
          <w:rFonts w:eastAsia="Times New Roman" w:cs="Times New Roman"/>
          <w:color w:val="2B2B2B"/>
          <w:szCs w:val="24"/>
          <w:bdr w:val="none" w:sz="0" w:space="0" w:color="auto" w:frame="1"/>
          <w:lang w:eastAsia="es-CO"/>
        </w:rPr>
        <w:t>En los contratos de mandato se ha dispuesto que en todos los casos las facturas deberán ser expedidas </w:t>
      </w:r>
      <w:r w:rsidRPr="006C2A3C">
        <w:rPr>
          <w:rFonts w:eastAsia="Times New Roman" w:cs="Times New Roman"/>
          <w:i/>
          <w:iCs/>
          <w:color w:val="2B2B2B"/>
          <w:szCs w:val="24"/>
          <w:bdr w:val="none" w:sz="0" w:space="0" w:color="auto" w:frame="1"/>
          <w:lang w:eastAsia="es-CO"/>
        </w:rPr>
        <w:t>“en todos los casos por el mandatario”.</w:t>
      </w:r>
      <w:r w:rsidRPr="006C2A3C">
        <w:rPr>
          <w:rFonts w:eastAsia="Times New Roman" w:cs="Times New Roman"/>
          <w:color w:val="2B2B2B"/>
          <w:szCs w:val="24"/>
          <w:bdr w:val="none" w:sz="0" w:space="0" w:color="auto" w:frame="1"/>
          <w:lang w:eastAsia="es-CO"/>
        </w:rPr>
        <w:t> (Inciso primero. Artículo 1.6.1.4.3 del DUR 1625 de 2016).</w:t>
      </w:r>
    </w:p>
    <w:p w14:paraId="07E94690"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1A67A0EA" w14:textId="1B44C24E" w:rsidR="006C2A3C" w:rsidRDefault="006C2A3C" w:rsidP="006C2A3C">
      <w:pPr>
        <w:shd w:val="clear" w:color="auto" w:fill="FFFFFF"/>
        <w:spacing w:after="0" w:line="360" w:lineRule="auto"/>
        <w:jc w:val="both"/>
        <w:textAlignment w:val="baseline"/>
        <w:rPr>
          <w:rFonts w:eastAsia="Times New Roman" w:cs="Times New Roman"/>
          <w:color w:val="2B2B2B"/>
          <w:szCs w:val="24"/>
          <w:bdr w:val="none" w:sz="0" w:space="0" w:color="auto" w:frame="1"/>
          <w:lang w:eastAsia="es-CO"/>
        </w:rPr>
      </w:pPr>
      <w:r w:rsidRPr="006C2A3C">
        <w:rPr>
          <w:rFonts w:eastAsia="Times New Roman" w:cs="Times New Roman"/>
          <w:color w:val="2B2B2B"/>
          <w:szCs w:val="24"/>
          <w:bdr w:val="none" w:sz="0" w:space="0" w:color="auto" w:frame="1"/>
          <w:lang w:eastAsia="es-CO"/>
        </w:rPr>
        <w:t>Y, </w:t>
      </w:r>
      <w:r w:rsidRPr="006C2A3C">
        <w:rPr>
          <w:rFonts w:eastAsia="Times New Roman" w:cs="Times New Roman"/>
          <w:i/>
          <w:iCs/>
          <w:color w:val="2B2B2B"/>
          <w:szCs w:val="24"/>
          <w:bdr w:val="none" w:sz="0" w:space="0" w:color="auto" w:frame="1"/>
          <w:lang w:eastAsia="es-CO"/>
        </w:rPr>
        <w:t>“si el mandatario adquiere bienes y servicios en cumplimiento del mandato, la factura deberá ser expedida a nombre del mandatario”.</w:t>
      </w:r>
      <w:r w:rsidRPr="006C2A3C">
        <w:rPr>
          <w:rFonts w:eastAsia="Times New Roman" w:cs="Times New Roman"/>
          <w:color w:val="2B2B2B"/>
          <w:szCs w:val="24"/>
          <w:bdr w:val="none" w:sz="0" w:space="0" w:color="auto" w:frame="1"/>
          <w:lang w:eastAsia="es-CO"/>
        </w:rPr>
        <w:t> (inciso segundo. Artículo 1.6.1.4.3 del DUR 1625 de 2016).</w:t>
      </w:r>
    </w:p>
    <w:p w14:paraId="37DEE275"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1494E550" w14:textId="7CA27E36" w:rsidR="006C2A3C" w:rsidRDefault="006C2A3C" w:rsidP="006C2A3C">
      <w:pPr>
        <w:shd w:val="clear" w:color="auto" w:fill="FFFFFF"/>
        <w:spacing w:after="0" w:line="360" w:lineRule="auto"/>
        <w:jc w:val="both"/>
        <w:textAlignment w:val="baseline"/>
        <w:rPr>
          <w:rFonts w:eastAsia="Times New Roman" w:cs="Times New Roman"/>
          <w:color w:val="2B2B2B"/>
          <w:szCs w:val="24"/>
          <w:bdr w:val="none" w:sz="0" w:space="0" w:color="auto" w:frame="1"/>
          <w:lang w:eastAsia="es-CO"/>
        </w:rPr>
      </w:pPr>
      <w:r w:rsidRPr="006C2A3C">
        <w:rPr>
          <w:rFonts w:eastAsia="Times New Roman" w:cs="Times New Roman"/>
          <w:color w:val="2B2B2B"/>
          <w:szCs w:val="24"/>
          <w:bdr w:val="none" w:sz="0" w:space="0" w:color="auto" w:frame="1"/>
          <w:lang w:eastAsia="es-CO"/>
        </w:rPr>
        <w:t>Igualmente está dispuesto, en el caso de los contratos de mandato, que, para efectos de soportar los respectivos costos, deducciones, o impuestos descontables, o devoluciones a que tenga derecho, el mandatario deberá expedir una </w:t>
      </w:r>
      <w:r w:rsidRPr="006C2A3C">
        <w:rPr>
          <w:rFonts w:eastAsia="Times New Roman" w:cs="Times New Roman"/>
          <w:i/>
          <w:iCs/>
          <w:color w:val="2B2B2B"/>
          <w:szCs w:val="24"/>
          <w:bdr w:val="none" w:sz="0" w:space="0" w:color="auto" w:frame="1"/>
          <w:lang w:eastAsia="es-CO"/>
        </w:rPr>
        <w:t>“certificación”</w:t>
      </w:r>
      <w:r w:rsidRPr="006C2A3C">
        <w:rPr>
          <w:rFonts w:eastAsia="Times New Roman" w:cs="Times New Roman"/>
          <w:color w:val="2B2B2B"/>
          <w:szCs w:val="24"/>
          <w:bdr w:val="none" w:sz="0" w:space="0" w:color="auto" w:frame="1"/>
          <w:lang w:eastAsia="es-CO"/>
        </w:rPr>
        <w:t> donde se consigne la cuantía y concepto de estos, la cual debe ser avalada por </w:t>
      </w:r>
      <w:r w:rsidRPr="006C2A3C">
        <w:rPr>
          <w:rFonts w:eastAsia="Times New Roman" w:cs="Times New Roman"/>
          <w:i/>
          <w:iCs/>
          <w:color w:val="2B2B2B"/>
          <w:szCs w:val="24"/>
          <w:bdr w:val="none" w:sz="0" w:space="0" w:color="auto" w:frame="1"/>
          <w:lang w:eastAsia="es-CO"/>
        </w:rPr>
        <w:t>“contador público o revisor fiscal», </w:t>
      </w:r>
      <w:r w:rsidRPr="006C2A3C">
        <w:rPr>
          <w:rFonts w:eastAsia="Times New Roman" w:cs="Times New Roman"/>
          <w:color w:val="2B2B2B"/>
          <w:szCs w:val="24"/>
          <w:bdr w:val="none" w:sz="0" w:space="0" w:color="auto" w:frame="1"/>
          <w:lang w:eastAsia="es-CO"/>
        </w:rPr>
        <w:t>según las disposiciones legales vigentes sobre la materia. (Inciso tercero artículo 1.6.1.4.3 del DUR 1625 de 2016).</w:t>
      </w:r>
    </w:p>
    <w:p w14:paraId="00D0EA69"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2F2DD94C" w14:textId="69BD7D4F" w:rsidR="006C2A3C" w:rsidRDefault="006C2A3C" w:rsidP="006C2A3C">
      <w:pPr>
        <w:shd w:val="clear" w:color="auto" w:fill="FFFFFF"/>
        <w:spacing w:after="0" w:line="360" w:lineRule="auto"/>
        <w:jc w:val="both"/>
        <w:textAlignment w:val="baseline"/>
        <w:rPr>
          <w:rFonts w:eastAsia="Times New Roman" w:cs="Times New Roman"/>
          <w:color w:val="2B2B2B"/>
          <w:szCs w:val="24"/>
          <w:bdr w:val="none" w:sz="0" w:space="0" w:color="auto" w:frame="1"/>
          <w:lang w:eastAsia="es-CO"/>
        </w:rPr>
      </w:pPr>
      <w:r w:rsidRPr="006C2A3C">
        <w:rPr>
          <w:rFonts w:eastAsia="Times New Roman" w:cs="Times New Roman"/>
          <w:color w:val="2B2B2B"/>
          <w:szCs w:val="24"/>
          <w:bdr w:val="none" w:sz="0" w:space="0" w:color="auto" w:frame="1"/>
          <w:lang w:eastAsia="es-CO"/>
        </w:rPr>
        <w:t>Constituye prueba contable la certificación expedida por el contador público o revisor fiscal expedida de conformidad con las normas vigentes, </w:t>
      </w:r>
      <w:r w:rsidRPr="006C2A3C">
        <w:rPr>
          <w:rFonts w:eastAsia="Times New Roman" w:cs="Times New Roman"/>
          <w:i/>
          <w:iCs/>
          <w:color w:val="2B2B2B"/>
          <w:szCs w:val="24"/>
          <w:bdr w:val="none" w:sz="0" w:space="0" w:color="auto" w:frame="1"/>
          <w:lang w:eastAsia="es-CO"/>
        </w:rPr>
        <w:t>“sin perjuicio de la facultad que tiene la administración de hacer las comprobaciones pertinentes”.</w:t>
      </w:r>
      <w:r w:rsidRPr="006C2A3C">
        <w:rPr>
          <w:rFonts w:eastAsia="Times New Roman" w:cs="Times New Roman"/>
          <w:color w:val="2B2B2B"/>
          <w:szCs w:val="24"/>
          <w:bdr w:val="none" w:sz="0" w:space="0" w:color="auto" w:frame="1"/>
          <w:lang w:eastAsia="es-CO"/>
        </w:rPr>
        <w:t> (Art. 777 del E.T.)</w:t>
      </w:r>
    </w:p>
    <w:p w14:paraId="257D1E43"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0CF60B09" w14:textId="4BFEB81F" w:rsidR="006C2A3C" w:rsidRDefault="006C2A3C" w:rsidP="006C2A3C">
      <w:pPr>
        <w:shd w:val="clear" w:color="auto" w:fill="FFFFFF"/>
        <w:spacing w:after="0" w:line="360" w:lineRule="auto"/>
        <w:jc w:val="both"/>
        <w:textAlignment w:val="baseline"/>
        <w:rPr>
          <w:rFonts w:eastAsia="Times New Roman" w:cs="Times New Roman"/>
          <w:i/>
          <w:iCs/>
          <w:color w:val="2B2B2B"/>
          <w:szCs w:val="24"/>
          <w:lang w:eastAsia="es-CO"/>
        </w:rPr>
      </w:pPr>
      <w:r w:rsidRPr="006C2A3C">
        <w:rPr>
          <w:rFonts w:eastAsia="Times New Roman" w:cs="Times New Roman"/>
          <w:color w:val="2B2B2B"/>
          <w:szCs w:val="24"/>
          <w:bdr w:val="none" w:sz="0" w:space="0" w:color="auto" w:frame="1"/>
          <w:lang w:eastAsia="es-CO"/>
        </w:rPr>
        <w:t xml:space="preserve">Respecto de las certificaciones, el Consejo de Estado, Sección Cuarta, sentencia del 12 de diciembre de 2018, expediente 2012-00139-01 (20379), reitera jurisprudencia y precisa que para </w:t>
      </w:r>
      <w:r w:rsidRPr="006C2A3C">
        <w:rPr>
          <w:rFonts w:eastAsia="Times New Roman" w:cs="Times New Roman"/>
          <w:color w:val="2B2B2B"/>
          <w:szCs w:val="24"/>
          <w:bdr w:val="none" w:sz="0" w:space="0" w:color="auto" w:frame="1"/>
          <w:lang w:eastAsia="es-CO"/>
        </w:rPr>
        <w:lastRenderedPageBreak/>
        <w:t>los certificados de contador público revisor fiscal sea válidos debe llevar al convencimiento del hecho que se pretende probar, sujetándose a las normas que regulan el valor probatorio de la contabilidad.</w:t>
      </w:r>
      <w:r w:rsidRPr="006C2A3C">
        <w:rPr>
          <w:rFonts w:eastAsia="Times New Roman" w:cs="Times New Roman"/>
          <w:i/>
          <w:iCs/>
          <w:color w:val="2B2B2B"/>
          <w:szCs w:val="24"/>
          <w:lang w:eastAsia="es-CO"/>
        </w:rPr>
        <w:t> </w:t>
      </w:r>
    </w:p>
    <w:p w14:paraId="05EA578E"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56120440" w14:textId="0A2D9158" w:rsidR="006C2A3C" w:rsidRDefault="006C2A3C" w:rsidP="006C2A3C">
      <w:pPr>
        <w:shd w:val="clear" w:color="auto" w:fill="FFFFFF"/>
        <w:spacing w:after="0" w:line="360" w:lineRule="auto"/>
        <w:jc w:val="both"/>
        <w:textAlignment w:val="baseline"/>
        <w:rPr>
          <w:rFonts w:eastAsia="Times New Roman" w:cs="Times New Roman"/>
          <w:i/>
          <w:iCs/>
          <w:color w:val="2B2B2B"/>
          <w:szCs w:val="24"/>
          <w:lang w:eastAsia="es-CO"/>
        </w:rPr>
      </w:pPr>
      <w:r w:rsidRPr="006C2A3C">
        <w:rPr>
          <w:rFonts w:eastAsia="Times New Roman" w:cs="Times New Roman"/>
          <w:i/>
          <w:iCs/>
          <w:color w:val="2B2B2B"/>
          <w:szCs w:val="24"/>
          <w:bdr w:val="none" w:sz="0" w:space="0" w:color="auto" w:frame="1"/>
          <w:lang w:eastAsia="es-CO"/>
        </w:rPr>
        <w:t>“Sobre la calidad de prueba suficiente del certificado de contador público o revisor fiscal, la Sección ha dicho que tal documento debe contener algún grado de detalle en cuanto a los libros, cuentas o asientos correspondientes a los hechos que pretenden demostrarse. Así mismo ha sostenido lo siguiente:</w:t>
      </w:r>
      <w:r w:rsidRPr="006C2A3C">
        <w:rPr>
          <w:rFonts w:eastAsia="Times New Roman" w:cs="Times New Roman"/>
          <w:i/>
          <w:iCs/>
          <w:color w:val="2B2B2B"/>
          <w:szCs w:val="24"/>
          <w:lang w:eastAsia="es-CO"/>
        </w:rPr>
        <w:t> </w:t>
      </w:r>
    </w:p>
    <w:p w14:paraId="112D9DA3"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0C39FCFF" w14:textId="1E052054" w:rsidR="006C2A3C" w:rsidRDefault="006C2A3C" w:rsidP="006C2A3C">
      <w:pPr>
        <w:shd w:val="clear" w:color="auto" w:fill="FFFFFF"/>
        <w:spacing w:after="0" w:line="360" w:lineRule="auto"/>
        <w:jc w:val="both"/>
        <w:textAlignment w:val="baseline"/>
        <w:rPr>
          <w:rFonts w:eastAsia="Times New Roman" w:cs="Times New Roman"/>
          <w:i/>
          <w:iCs/>
          <w:color w:val="2B2B2B"/>
          <w:szCs w:val="24"/>
          <w:lang w:eastAsia="es-CO"/>
        </w:rPr>
      </w:pPr>
      <w:r w:rsidRPr="006C2A3C">
        <w:rPr>
          <w:rFonts w:eastAsia="Times New Roman" w:cs="Times New Roman"/>
          <w:i/>
          <w:iCs/>
          <w:color w:val="2B2B2B"/>
          <w:szCs w:val="24"/>
          <w:bdr w:val="none" w:sz="0" w:space="0" w:color="auto" w:frame="1"/>
          <w:lang w:eastAsia="es-CO"/>
        </w:rPr>
        <w:t>“Como ha señalado la Sala en ocasiones anteriores, la calidad de «prueba suficiente” que le otorga la norma tributaria no puede limitarse a simples afirmaciones sobre las operaciones de orden interno y externo carentes de respaldo documental. El profesional de las ciencias contables es responsable de la contabilidad o de la revisión y análisis de las operaciones de un ente social y está en capacidad de indicar los soportes, asientos y libros contables donde aparecen registrados las afirmaciones vertidas en sus certificaciones. La fe pública predicable de un contador público no se ve restringida o anulada por la exigencia que en materia tributaria deben presentar sus certificaciones, sino por el contrario comprueba en debida forma la veracidad de sus afirmaciones, permitiendo que las autoridades administrativas y jurisdiccionales puedan darle la eficacia, pertinencia y suficiencia que se requiere al momento de evaluar a confiabilidad, razonabilidad y credibilidad de la contabilidad del contribuyente, responsable o agente retenedor”. </w:t>
      </w:r>
      <w:r w:rsidRPr="006C2A3C">
        <w:rPr>
          <w:rFonts w:eastAsia="Times New Roman" w:cs="Times New Roman"/>
          <w:color w:val="2B2B2B"/>
          <w:szCs w:val="24"/>
          <w:bdr w:val="none" w:sz="0" w:space="0" w:color="auto" w:frame="1"/>
          <w:lang w:eastAsia="es-CO"/>
        </w:rPr>
        <w:t>[Sentencia de 6 de marzo de 2008, expediente 15931).</w:t>
      </w:r>
      <w:r w:rsidRPr="006C2A3C">
        <w:rPr>
          <w:rFonts w:eastAsia="Times New Roman" w:cs="Times New Roman"/>
          <w:i/>
          <w:iCs/>
          <w:color w:val="2B2B2B"/>
          <w:szCs w:val="24"/>
          <w:lang w:eastAsia="es-CO"/>
        </w:rPr>
        <w:t> </w:t>
      </w:r>
    </w:p>
    <w:p w14:paraId="45B5ED23"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27AB6BC6" w14:textId="6F574183" w:rsidR="006C2A3C" w:rsidRDefault="006C2A3C" w:rsidP="006C2A3C">
      <w:pPr>
        <w:shd w:val="clear" w:color="auto" w:fill="FFFFFF"/>
        <w:spacing w:after="0" w:line="360" w:lineRule="auto"/>
        <w:jc w:val="both"/>
        <w:textAlignment w:val="baseline"/>
        <w:rPr>
          <w:rFonts w:eastAsia="Times New Roman" w:cs="Times New Roman"/>
          <w:i/>
          <w:iCs/>
          <w:color w:val="2B2B2B"/>
          <w:szCs w:val="24"/>
          <w:bdr w:val="none" w:sz="0" w:space="0" w:color="auto" w:frame="1"/>
          <w:lang w:eastAsia="es-CO"/>
        </w:rPr>
      </w:pPr>
      <w:r w:rsidRPr="006C2A3C">
        <w:rPr>
          <w:rFonts w:eastAsia="Times New Roman" w:cs="Times New Roman"/>
          <w:i/>
          <w:iCs/>
          <w:color w:val="2B2B2B"/>
          <w:szCs w:val="24"/>
          <w:bdr w:val="none" w:sz="0" w:space="0" w:color="auto" w:frame="1"/>
          <w:lang w:eastAsia="es-CO"/>
        </w:rPr>
        <w:t xml:space="preserve">En consecuencia, un certificado de contador público o de revisor fiscal que dé certeza de la veracidad de las afirmaciones contenidas en dicho documento constituye prueba contable suficiente de acuerdo </w:t>
      </w:r>
      <w:proofErr w:type="spellStart"/>
      <w:r w:rsidRPr="006C2A3C">
        <w:rPr>
          <w:rFonts w:eastAsia="Times New Roman" w:cs="Times New Roman"/>
          <w:i/>
          <w:iCs/>
          <w:color w:val="2B2B2B"/>
          <w:szCs w:val="24"/>
          <w:bdr w:val="none" w:sz="0" w:space="0" w:color="auto" w:frame="1"/>
          <w:lang w:eastAsia="es-CO"/>
        </w:rPr>
        <w:t>on</w:t>
      </w:r>
      <w:proofErr w:type="spellEnd"/>
      <w:r w:rsidRPr="006C2A3C">
        <w:rPr>
          <w:rFonts w:eastAsia="Times New Roman" w:cs="Times New Roman"/>
          <w:i/>
          <w:iCs/>
          <w:color w:val="2B2B2B"/>
          <w:szCs w:val="24"/>
          <w:bdr w:val="none" w:sz="0" w:space="0" w:color="auto" w:frame="1"/>
          <w:lang w:eastAsia="es-CO"/>
        </w:rPr>
        <w:t xml:space="preserve"> (sic) la ley. No obstante, la DIAN puede, si lo estima pertinente, hacer las comprobaciones que considere necesarias.”</w:t>
      </w:r>
    </w:p>
    <w:p w14:paraId="01792AB7"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76525A0D" w14:textId="20686628" w:rsidR="006C2A3C" w:rsidRDefault="006C2A3C" w:rsidP="006C2A3C">
      <w:pPr>
        <w:shd w:val="clear" w:color="auto" w:fill="FFFFFF"/>
        <w:spacing w:after="0" w:line="360" w:lineRule="auto"/>
        <w:jc w:val="both"/>
        <w:textAlignment w:val="baseline"/>
        <w:rPr>
          <w:rFonts w:eastAsia="Times New Roman" w:cs="Times New Roman"/>
          <w:i/>
          <w:iCs/>
          <w:color w:val="2B2B2B"/>
          <w:szCs w:val="24"/>
          <w:lang w:eastAsia="es-CO"/>
        </w:rPr>
      </w:pPr>
      <w:r w:rsidRPr="006C2A3C">
        <w:rPr>
          <w:rFonts w:eastAsia="Times New Roman" w:cs="Times New Roman"/>
          <w:color w:val="2B2B2B"/>
          <w:szCs w:val="24"/>
          <w:bdr w:val="none" w:sz="0" w:space="0" w:color="auto" w:frame="1"/>
          <w:lang w:eastAsia="es-CO"/>
        </w:rPr>
        <w:t>Por parte de la Dirección de Impuestos y Aduanas Nacionales, en Concepto 009670 de febrero 12 de 2001, sobre el contrato de mandato y la exigencia legal de la factura para efecto de la procedencia de costos y deducciones prevista en el artículo 771-2 del Estatuto Tributario, ha expuesto lo siguiente:</w:t>
      </w:r>
      <w:r w:rsidRPr="006C2A3C">
        <w:rPr>
          <w:rFonts w:eastAsia="Times New Roman" w:cs="Times New Roman"/>
          <w:i/>
          <w:iCs/>
          <w:color w:val="2B2B2B"/>
          <w:szCs w:val="24"/>
          <w:lang w:eastAsia="es-CO"/>
        </w:rPr>
        <w:t> </w:t>
      </w:r>
    </w:p>
    <w:p w14:paraId="6023BE6F"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50559DBB" w14:textId="564D8C9D" w:rsidR="006C2A3C" w:rsidRDefault="006C2A3C" w:rsidP="006C2A3C">
      <w:pPr>
        <w:shd w:val="clear" w:color="auto" w:fill="FFFFFF"/>
        <w:spacing w:after="0" w:line="360" w:lineRule="auto"/>
        <w:jc w:val="both"/>
        <w:textAlignment w:val="baseline"/>
        <w:rPr>
          <w:rFonts w:eastAsia="Times New Roman" w:cs="Times New Roman"/>
          <w:i/>
          <w:iCs/>
          <w:color w:val="2B2B2B"/>
          <w:szCs w:val="24"/>
          <w:lang w:eastAsia="es-CO"/>
        </w:rPr>
      </w:pPr>
      <w:r w:rsidRPr="006C2A3C">
        <w:rPr>
          <w:rFonts w:eastAsia="Times New Roman" w:cs="Times New Roman"/>
          <w:i/>
          <w:iCs/>
          <w:color w:val="2B2B2B"/>
          <w:szCs w:val="24"/>
          <w:bdr w:val="none" w:sz="0" w:space="0" w:color="auto" w:frame="1"/>
          <w:lang w:eastAsia="es-CO"/>
        </w:rPr>
        <w:t>“(…) Ahora bien, la factura es uno de los documentos que sirven a quien realizó la erogación, para soportar los costos, deducciones e impuestos descontables; el artículo 771-2 del Estatuto Tributario así lo consagra al disponer que para tal procedencia se requiere de facturas con el lleno de los requisitos allí señalados.</w:t>
      </w:r>
      <w:r w:rsidRPr="006C2A3C">
        <w:rPr>
          <w:rFonts w:eastAsia="Times New Roman" w:cs="Times New Roman"/>
          <w:i/>
          <w:iCs/>
          <w:color w:val="2B2B2B"/>
          <w:szCs w:val="24"/>
          <w:lang w:eastAsia="es-CO"/>
        </w:rPr>
        <w:t> </w:t>
      </w:r>
    </w:p>
    <w:p w14:paraId="781854EC"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7F90F642" w14:textId="587EE588" w:rsidR="006C2A3C" w:rsidRDefault="006C2A3C" w:rsidP="006C2A3C">
      <w:pPr>
        <w:shd w:val="clear" w:color="auto" w:fill="FFFFFF"/>
        <w:spacing w:after="0" w:line="360" w:lineRule="auto"/>
        <w:jc w:val="both"/>
        <w:textAlignment w:val="baseline"/>
        <w:rPr>
          <w:rFonts w:eastAsia="Times New Roman" w:cs="Times New Roman"/>
          <w:i/>
          <w:iCs/>
          <w:color w:val="2B2B2B"/>
          <w:szCs w:val="24"/>
          <w:lang w:eastAsia="es-CO"/>
        </w:rPr>
      </w:pPr>
      <w:r w:rsidRPr="006C2A3C">
        <w:rPr>
          <w:rFonts w:eastAsia="Times New Roman" w:cs="Times New Roman"/>
          <w:i/>
          <w:iCs/>
          <w:color w:val="2B2B2B"/>
          <w:szCs w:val="24"/>
          <w:bdr w:val="none" w:sz="0" w:space="0" w:color="auto" w:frame="1"/>
          <w:lang w:eastAsia="es-CO"/>
        </w:rPr>
        <w:t xml:space="preserve">En el caso del contrato de mandato cuando el mandatario, en desarrollo del contrato adquiere bienes o servicios la factura le es expedida a su nombre. En aplicación del artículo 771-2 antes citado sería este quien tendría derecho a solicitar los costos, deducciones e impuestos </w:t>
      </w:r>
      <w:r w:rsidRPr="006C2A3C">
        <w:rPr>
          <w:rFonts w:eastAsia="Times New Roman" w:cs="Times New Roman"/>
          <w:i/>
          <w:iCs/>
          <w:color w:val="2B2B2B"/>
          <w:szCs w:val="24"/>
          <w:bdr w:val="none" w:sz="0" w:space="0" w:color="auto" w:frame="1"/>
          <w:lang w:eastAsia="es-CO"/>
        </w:rPr>
        <w:lastRenderedPageBreak/>
        <w:t>descontables que figuren en tales documentos; pero como tales erogaciones realmente pertenecen al mandante la Ley y más exactamente el artículo 3º. del Decreto 1514 de 1998 consagran que para que el mandante pueda solicitar las partidas mencionadas no obstante no poseer las facturas expedidas a su nombre, presente como prueba la certificación de le debe expedir el mandatario donde se consigne la cuantía y concepto de los mismos, la cual debe ser avalada por contador público o revisor fiscal.</w:t>
      </w:r>
      <w:r w:rsidRPr="006C2A3C">
        <w:rPr>
          <w:rFonts w:eastAsia="Times New Roman" w:cs="Times New Roman"/>
          <w:i/>
          <w:iCs/>
          <w:color w:val="2B2B2B"/>
          <w:szCs w:val="24"/>
          <w:lang w:eastAsia="es-CO"/>
        </w:rPr>
        <w:t> </w:t>
      </w:r>
    </w:p>
    <w:p w14:paraId="17387FBB"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77442E52" w14:textId="6D88DCEE" w:rsidR="006C2A3C" w:rsidRDefault="006C2A3C" w:rsidP="006C2A3C">
      <w:pPr>
        <w:shd w:val="clear" w:color="auto" w:fill="FFFFFF"/>
        <w:spacing w:after="0" w:line="360" w:lineRule="auto"/>
        <w:jc w:val="both"/>
        <w:textAlignment w:val="baseline"/>
        <w:rPr>
          <w:rFonts w:eastAsia="Times New Roman" w:cs="Times New Roman"/>
          <w:i/>
          <w:iCs/>
          <w:color w:val="2B2B2B"/>
          <w:szCs w:val="24"/>
          <w:lang w:eastAsia="es-CO"/>
        </w:rPr>
      </w:pPr>
      <w:r w:rsidRPr="006C2A3C">
        <w:rPr>
          <w:rFonts w:eastAsia="Times New Roman" w:cs="Times New Roman"/>
          <w:i/>
          <w:iCs/>
          <w:color w:val="2B2B2B"/>
          <w:szCs w:val="24"/>
          <w:bdr w:val="none" w:sz="0" w:space="0" w:color="auto" w:frame="1"/>
          <w:lang w:eastAsia="es-CO"/>
        </w:rPr>
        <w:t>Es decir que, para estos casos, se plantea una excepción a la norma que exige la factura para la procedencia de los costos y demás factores mencionados.</w:t>
      </w:r>
      <w:r w:rsidRPr="006C2A3C">
        <w:rPr>
          <w:rFonts w:eastAsia="Times New Roman" w:cs="Times New Roman"/>
          <w:i/>
          <w:iCs/>
          <w:color w:val="2B2B2B"/>
          <w:szCs w:val="24"/>
          <w:lang w:eastAsia="es-CO"/>
        </w:rPr>
        <w:t> </w:t>
      </w:r>
    </w:p>
    <w:p w14:paraId="369098E9"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0DB1F2CF" w14:textId="6447059F" w:rsidR="006C2A3C" w:rsidRDefault="006C2A3C" w:rsidP="006C2A3C">
      <w:pPr>
        <w:shd w:val="clear" w:color="auto" w:fill="FFFFFF"/>
        <w:spacing w:after="0" w:line="360" w:lineRule="auto"/>
        <w:jc w:val="both"/>
        <w:textAlignment w:val="baseline"/>
        <w:rPr>
          <w:rFonts w:eastAsia="Times New Roman" w:cs="Times New Roman"/>
          <w:i/>
          <w:iCs/>
          <w:color w:val="2B2B2B"/>
          <w:szCs w:val="24"/>
          <w:bdr w:val="none" w:sz="0" w:space="0" w:color="auto" w:frame="1"/>
          <w:lang w:eastAsia="es-CO"/>
        </w:rPr>
      </w:pPr>
      <w:r w:rsidRPr="006C2A3C">
        <w:rPr>
          <w:rFonts w:eastAsia="Times New Roman" w:cs="Times New Roman"/>
          <w:i/>
          <w:iCs/>
          <w:color w:val="2B2B2B"/>
          <w:szCs w:val="24"/>
          <w:bdr w:val="none" w:sz="0" w:space="0" w:color="auto" w:frame="1"/>
          <w:lang w:eastAsia="es-CO"/>
        </w:rPr>
        <w:t>Por lo tanto, no puede pretenderse que la certificación a que se ha hecho referencia pueda ser sustituida con las facturas que debió expedir el mandatario en desarrollo de su gestión ya que estas últimas dan cuenta de los ingresos del mandante así como del impuesto sobre las ventas generado y con la certificación lo que se pretende es soportar los costos, deducciones, impuestos descontables y/o devoluciones a que tiene derecho el mandante, los cuales no figuran en las facturas que el mandatario expida en desarrollo de su gestión (…).”</w:t>
      </w:r>
    </w:p>
    <w:p w14:paraId="13AFA2F2"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7EBC9BC7" w14:textId="540ACCE5" w:rsidR="006C2A3C" w:rsidRDefault="006C2A3C" w:rsidP="006C2A3C">
      <w:pPr>
        <w:shd w:val="clear" w:color="auto" w:fill="FFFFFF"/>
        <w:spacing w:after="0" w:line="360" w:lineRule="auto"/>
        <w:jc w:val="both"/>
        <w:textAlignment w:val="baseline"/>
        <w:rPr>
          <w:rFonts w:eastAsia="Times New Roman" w:cs="Times New Roman"/>
          <w:i/>
          <w:iCs/>
          <w:color w:val="2B2B2B"/>
          <w:szCs w:val="24"/>
          <w:bdr w:val="none" w:sz="0" w:space="0" w:color="auto" w:frame="1"/>
          <w:lang w:eastAsia="es-CO"/>
        </w:rPr>
      </w:pPr>
      <w:r w:rsidRPr="006C2A3C">
        <w:rPr>
          <w:rFonts w:eastAsia="Times New Roman" w:cs="Times New Roman"/>
          <w:color w:val="2B2B2B"/>
          <w:szCs w:val="24"/>
          <w:bdr w:val="none" w:sz="0" w:space="0" w:color="auto" w:frame="1"/>
          <w:lang w:eastAsia="es-CO"/>
        </w:rPr>
        <w:t>En síntesis: </w:t>
      </w:r>
      <w:r w:rsidRPr="006C2A3C">
        <w:rPr>
          <w:rFonts w:eastAsia="Times New Roman" w:cs="Times New Roman"/>
          <w:i/>
          <w:iCs/>
          <w:color w:val="2B2B2B"/>
          <w:szCs w:val="24"/>
          <w:bdr w:val="none" w:sz="0" w:space="0" w:color="auto" w:frame="1"/>
          <w:lang w:eastAsia="es-CO"/>
        </w:rPr>
        <w:t>“No se puede sustituir la certificación que debe expedir el mandatario al mandante para efectos de soportar los respectivos costos, deducciones, impuestos descontables y demás factores, con la factura que expida en desarrollo de su gestión, toda vez que contienen factores diferentes”.</w:t>
      </w:r>
    </w:p>
    <w:p w14:paraId="3D6342C3"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24B1246B" w14:textId="2404F6F4" w:rsidR="006C2A3C" w:rsidRDefault="006C2A3C" w:rsidP="006C2A3C">
      <w:pPr>
        <w:shd w:val="clear" w:color="auto" w:fill="FFFFFF"/>
        <w:spacing w:after="0" w:line="360" w:lineRule="auto"/>
        <w:jc w:val="both"/>
        <w:textAlignment w:val="baseline"/>
        <w:rPr>
          <w:rFonts w:eastAsia="Times New Roman" w:cs="Times New Roman"/>
          <w:color w:val="2B2B2B"/>
          <w:szCs w:val="24"/>
          <w:bdr w:val="none" w:sz="0" w:space="0" w:color="auto" w:frame="1"/>
          <w:lang w:eastAsia="es-CO"/>
        </w:rPr>
      </w:pPr>
      <w:r w:rsidRPr="006C2A3C">
        <w:rPr>
          <w:rFonts w:eastAsia="Times New Roman" w:cs="Times New Roman"/>
          <w:color w:val="2B2B2B"/>
          <w:szCs w:val="24"/>
          <w:bdr w:val="none" w:sz="0" w:space="0" w:color="auto" w:frame="1"/>
          <w:lang w:eastAsia="es-CO"/>
        </w:rPr>
        <w:t>Para mayor ilustración se anexa copia del Concepto 9670 de febrero 12 de 2001.</w:t>
      </w:r>
    </w:p>
    <w:p w14:paraId="6D82A663"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3ACEF1EA" w14:textId="48360333" w:rsidR="006C2A3C" w:rsidRDefault="006C2A3C" w:rsidP="006C2A3C">
      <w:pPr>
        <w:shd w:val="clear" w:color="auto" w:fill="FFFFFF"/>
        <w:spacing w:after="0" w:line="360" w:lineRule="auto"/>
        <w:jc w:val="both"/>
        <w:textAlignment w:val="baseline"/>
        <w:rPr>
          <w:rFonts w:eastAsia="Times New Roman" w:cs="Times New Roman"/>
          <w:color w:val="2B2B2B"/>
          <w:szCs w:val="24"/>
          <w:bdr w:val="none" w:sz="0" w:space="0" w:color="auto" w:frame="1"/>
          <w:lang w:eastAsia="es-CO"/>
        </w:rPr>
      </w:pPr>
      <w:r w:rsidRPr="006C2A3C">
        <w:rPr>
          <w:rFonts w:eastAsia="Times New Roman" w:cs="Times New Roman"/>
          <w:color w:val="2B2B2B"/>
          <w:szCs w:val="24"/>
          <w:bdr w:val="none" w:sz="0" w:space="0" w:color="auto" w:frame="1"/>
          <w:lang w:eastAsia="es-CO"/>
        </w:rPr>
        <w:t>Por último, el artículo 631 del Estatuto Tributario prevé que, con el fin de realizar estudios y cruces de información, necesarios para el control de los tributos la Dirección de Impuestos y Aduanas Nacionales podrá solicitar a las personas y entidades, contribuyentes o no contribuyentes, una o varias de las siguientes informaciones:</w:t>
      </w:r>
    </w:p>
    <w:p w14:paraId="5B259045"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30237E11" w14:textId="4B1C919D" w:rsidR="006C2A3C" w:rsidRDefault="006C2A3C" w:rsidP="006C2A3C">
      <w:pPr>
        <w:shd w:val="clear" w:color="auto" w:fill="FFFFFF"/>
        <w:spacing w:after="0" w:line="360" w:lineRule="auto"/>
        <w:jc w:val="both"/>
        <w:textAlignment w:val="baseline"/>
        <w:rPr>
          <w:rFonts w:eastAsia="Times New Roman" w:cs="Times New Roman"/>
          <w:i/>
          <w:iCs/>
          <w:color w:val="2B2B2B"/>
          <w:szCs w:val="24"/>
          <w:bdr w:val="none" w:sz="0" w:space="0" w:color="auto" w:frame="1"/>
          <w:lang w:eastAsia="es-CO"/>
        </w:rPr>
      </w:pPr>
      <w:r w:rsidRPr="006C2A3C">
        <w:rPr>
          <w:rFonts w:eastAsia="Times New Roman" w:cs="Times New Roman"/>
          <w:i/>
          <w:iCs/>
          <w:color w:val="2B2B2B"/>
          <w:szCs w:val="24"/>
          <w:lang w:eastAsia="es-CO"/>
        </w:rPr>
        <w:t> </w:t>
      </w:r>
      <w:r w:rsidRPr="006C2A3C">
        <w:rPr>
          <w:rFonts w:eastAsia="Times New Roman" w:cs="Times New Roman"/>
          <w:i/>
          <w:iCs/>
          <w:color w:val="2B2B2B"/>
          <w:szCs w:val="24"/>
          <w:bdr w:val="none" w:sz="0" w:space="0" w:color="auto" w:frame="1"/>
          <w:lang w:eastAsia="es-CO"/>
        </w:rPr>
        <w:t xml:space="preserve">“g. Apellidos y nombres o razón social y NIT de cada una de las personas o entidades de quienes se recibieron ingresos para terceros y de los terceros a cuyo nombre se recibieron los ingresos, con indicación de la cuantía de </w:t>
      </w:r>
      <w:proofErr w:type="gramStart"/>
      <w:r w:rsidRPr="006C2A3C">
        <w:rPr>
          <w:rFonts w:eastAsia="Times New Roman" w:cs="Times New Roman"/>
          <w:i/>
          <w:iCs/>
          <w:color w:val="2B2B2B"/>
          <w:szCs w:val="24"/>
          <w:bdr w:val="none" w:sz="0" w:space="0" w:color="auto" w:frame="1"/>
          <w:lang w:eastAsia="es-CO"/>
        </w:rPr>
        <w:t>los mismos</w:t>
      </w:r>
      <w:proofErr w:type="gramEnd"/>
      <w:r w:rsidRPr="006C2A3C">
        <w:rPr>
          <w:rFonts w:eastAsia="Times New Roman" w:cs="Times New Roman"/>
          <w:i/>
          <w:iCs/>
          <w:color w:val="2B2B2B"/>
          <w:szCs w:val="24"/>
          <w:bdr w:val="none" w:sz="0" w:space="0" w:color="auto" w:frame="1"/>
          <w:lang w:eastAsia="es-CO"/>
        </w:rPr>
        <w:t>.”</w:t>
      </w:r>
    </w:p>
    <w:p w14:paraId="220B191E"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p>
    <w:p w14:paraId="1122DD5A" w14:textId="77777777" w:rsidR="006C2A3C" w:rsidRDefault="006C2A3C" w:rsidP="006C2A3C">
      <w:pPr>
        <w:shd w:val="clear" w:color="auto" w:fill="FFFFFF"/>
        <w:spacing w:after="0" w:line="360" w:lineRule="auto"/>
        <w:jc w:val="both"/>
        <w:textAlignment w:val="baseline"/>
        <w:rPr>
          <w:rFonts w:eastAsia="Times New Roman" w:cs="Times New Roman"/>
          <w:color w:val="2B2B2B"/>
          <w:szCs w:val="24"/>
          <w:bdr w:val="none" w:sz="0" w:space="0" w:color="auto" w:frame="1"/>
          <w:lang w:eastAsia="es-CO"/>
        </w:rPr>
      </w:pPr>
    </w:p>
    <w:p w14:paraId="39E4302E" w14:textId="1ECF48A6"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r w:rsidRPr="006C2A3C">
        <w:rPr>
          <w:rFonts w:eastAsia="Times New Roman" w:cs="Times New Roman"/>
          <w:color w:val="2B2B2B"/>
          <w:szCs w:val="24"/>
          <w:bdr w:val="none" w:sz="0" w:space="0" w:color="auto" w:frame="1"/>
          <w:lang w:eastAsia="es-CO"/>
        </w:rPr>
        <w:t>Atentamente,</w:t>
      </w:r>
    </w:p>
    <w:p w14:paraId="02191BAC"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r w:rsidRPr="006C2A3C">
        <w:rPr>
          <w:rFonts w:eastAsia="Times New Roman" w:cs="Times New Roman"/>
          <w:color w:val="2B2B2B"/>
          <w:szCs w:val="24"/>
          <w:lang w:eastAsia="es-CO"/>
        </w:rPr>
        <w:t> </w:t>
      </w:r>
    </w:p>
    <w:p w14:paraId="1847497D"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r w:rsidRPr="006C2A3C">
        <w:rPr>
          <w:rFonts w:eastAsia="Times New Roman" w:cs="Times New Roman"/>
          <w:b/>
          <w:bCs/>
          <w:color w:val="2B2B2B"/>
          <w:szCs w:val="24"/>
          <w:bdr w:val="none" w:sz="0" w:space="0" w:color="auto" w:frame="1"/>
          <w:lang w:eastAsia="es-CO"/>
        </w:rPr>
        <w:t>LORENZO CASTILLO BARVO</w:t>
      </w:r>
    </w:p>
    <w:p w14:paraId="01DAF624"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r w:rsidRPr="006C2A3C">
        <w:rPr>
          <w:rFonts w:eastAsia="Times New Roman" w:cs="Times New Roman"/>
          <w:color w:val="2B2B2B"/>
          <w:szCs w:val="24"/>
          <w:bdr w:val="none" w:sz="0" w:space="0" w:color="auto" w:frame="1"/>
          <w:lang w:eastAsia="es-CO"/>
        </w:rPr>
        <w:t>Subdirector de Gestión Normativa y Doctrina (E)</w:t>
      </w:r>
    </w:p>
    <w:p w14:paraId="48217042"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r w:rsidRPr="006C2A3C">
        <w:rPr>
          <w:rFonts w:eastAsia="Times New Roman" w:cs="Times New Roman"/>
          <w:color w:val="2B2B2B"/>
          <w:szCs w:val="24"/>
          <w:bdr w:val="none" w:sz="0" w:space="0" w:color="auto" w:frame="1"/>
          <w:lang w:eastAsia="es-CO"/>
        </w:rPr>
        <w:t>Dirección Gestión Jurídica</w:t>
      </w:r>
    </w:p>
    <w:p w14:paraId="45DC8220" w14:textId="77777777" w:rsidR="006C2A3C" w:rsidRPr="006C2A3C" w:rsidRDefault="006C2A3C" w:rsidP="006C2A3C">
      <w:pPr>
        <w:shd w:val="clear" w:color="auto" w:fill="FFFFFF"/>
        <w:spacing w:after="0" w:line="360" w:lineRule="auto"/>
        <w:jc w:val="both"/>
        <w:textAlignment w:val="baseline"/>
        <w:rPr>
          <w:rFonts w:eastAsia="Times New Roman" w:cs="Times New Roman"/>
          <w:color w:val="2B2B2B"/>
          <w:szCs w:val="24"/>
          <w:lang w:eastAsia="es-CO"/>
        </w:rPr>
      </w:pPr>
      <w:r w:rsidRPr="006C2A3C">
        <w:rPr>
          <w:rFonts w:eastAsia="Times New Roman" w:cs="Times New Roman"/>
          <w:color w:val="2B2B2B"/>
          <w:szCs w:val="24"/>
          <w:bdr w:val="none" w:sz="0" w:space="0" w:color="auto" w:frame="1"/>
          <w:lang w:eastAsia="es-CO"/>
        </w:rPr>
        <w:t>UAE. Dirección de Impuestos y Aduanas Nacionales</w:t>
      </w:r>
    </w:p>
    <w:sectPr w:rsidR="006C2A3C" w:rsidRPr="006C2A3C"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A3C"/>
    <w:rsid w:val="000F3837"/>
    <w:rsid w:val="001E311E"/>
    <w:rsid w:val="00434AE6"/>
    <w:rsid w:val="006C2A3C"/>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DAFCE"/>
  <w15:chartTrackingRefBased/>
  <w15:docId w15:val="{6B95557C-EFBA-4D6D-BBBD-39BB0386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1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1723</Words>
  <Characters>9480</Characters>
  <Application>Microsoft Office Word</Application>
  <DocSecurity>0</DocSecurity>
  <Lines>79</Lines>
  <Paragraphs>22</Paragraphs>
  <ScaleCrop>false</ScaleCrop>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2021-06-15T23:45:00Z</dcterms:created>
  <dcterms:modified xsi:type="dcterms:W3CDTF">2021-06-15T23:50:00Z</dcterms:modified>
</cp:coreProperties>
</file>