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10BBC" w14:textId="77777777" w:rsidR="00730617" w:rsidRPr="003B6F61" w:rsidRDefault="00730617" w:rsidP="00EF1131">
      <w:pPr>
        <w:rPr>
          <w:rFonts w:cs="Times New Roman"/>
          <w:szCs w:val="24"/>
        </w:rPr>
      </w:pPr>
    </w:p>
    <w:p w14:paraId="6F1BF027" w14:textId="77777777" w:rsidR="003B6F61" w:rsidRPr="003B6F61" w:rsidRDefault="003B6F61" w:rsidP="00EF1131">
      <w:pPr>
        <w:rPr>
          <w:rFonts w:cs="Times New Roman"/>
          <w:szCs w:val="24"/>
        </w:rPr>
      </w:pPr>
    </w:p>
    <w:p w14:paraId="1DD9059A" w14:textId="77777777" w:rsidR="003B6F61" w:rsidRDefault="003B6F61" w:rsidP="00EF1131">
      <w:pPr>
        <w:jc w:val="center"/>
        <w:rPr>
          <w:rFonts w:eastAsia="Times New Roman" w:cs="Times New Roman"/>
          <w:b/>
          <w:bCs/>
          <w:szCs w:val="24"/>
          <w:lang w:eastAsia="es-CO"/>
        </w:rPr>
      </w:pPr>
      <w:r w:rsidRPr="003B6F61">
        <w:rPr>
          <w:rFonts w:eastAsia="Times New Roman" w:cs="Times New Roman"/>
          <w:b/>
          <w:bCs/>
          <w:szCs w:val="24"/>
          <w:lang w:eastAsia="es-CO"/>
        </w:rPr>
        <w:t>CONCEPTO N° 018799</w:t>
      </w:r>
    </w:p>
    <w:p w14:paraId="29B89B1F" w14:textId="77777777" w:rsidR="003B6F61" w:rsidRPr="003B6F61" w:rsidRDefault="003B6F61" w:rsidP="00EF1131">
      <w:pPr>
        <w:jc w:val="center"/>
        <w:rPr>
          <w:rFonts w:eastAsia="Times New Roman" w:cs="Times New Roman"/>
          <w:szCs w:val="24"/>
          <w:lang w:eastAsia="es-CO"/>
        </w:rPr>
      </w:pPr>
      <w:r w:rsidRPr="003B6F61">
        <w:rPr>
          <w:rFonts w:eastAsia="Times New Roman" w:cs="Times New Roman"/>
          <w:b/>
          <w:bCs/>
          <w:szCs w:val="24"/>
          <w:lang w:eastAsia="es-CO"/>
        </w:rPr>
        <w:br/>
        <w:t>03 de marzo de 2006</w:t>
      </w:r>
    </w:p>
    <w:p w14:paraId="2A23B441" w14:textId="77777777" w:rsidR="003B6F61" w:rsidRDefault="003B6F61" w:rsidP="00EF1131">
      <w:pPr>
        <w:rPr>
          <w:rFonts w:eastAsia="Times New Roman" w:cs="Times New Roman"/>
          <w:szCs w:val="24"/>
          <w:lang w:eastAsia="es-CO"/>
        </w:rPr>
      </w:pPr>
      <w:r w:rsidRPr="003B6F61">
        <w:rPr>
          <w:rFonts w:eastAsia="Times New Roman" w:cs="Times New Roman"/>
          <w:szCs w:val="24"/>
          <w:lang w:eastAsia="es-CO"/>
        </w:rPr>
        <w:br/>
        <w:t>Doctora</w:t>
      </w:r>
      <w:r w:rsidRPr="003B6F61">
        <w:rPr>
          <w:rFonts w:eastAsia="Times New Roman" w:cs="Times New Roman"/>
          <w:szCs w:val="24"/>
          <w:lang w:eastAsia="es-CO"/>
        </w:rPr>
        <w:br/>
        <w:t>ALMA PATRICIA HENAO PELAEZ</w:t>
      </w:r>
    </w:p>
    <w:p w14:paraId="36C6D9BC" w14:textId="77777777" w:rsidR="003B6F61" w:rsidRDefault="003B6F61" w:rsidP="00EF1131">
      <w:pPr>
        <w:rPr>
          <w:rFonts w:eastAsia="Times New Roman" w:cs="Times New Roman"/>
          <w:szCs w:val="24"/>
          <w:lang w:eastAsia="es-CO"/>
        </w:rPr>
      </w:pPr>
      <w:r w:rsidRPr="003B6F61">
        <w:rPr>
          <w:rFonts w:eastAsia="Times New Roman" w:cs="Times New Roman"/>
          <w:szCs w:val="24"/>
          <w:lang w:eastAsia="es-CO"/>
        </w:rPr>
        <w:t>Defensora del Contribuyente - Regional Centro Occidente</w:t>
      </w:r>
    </w:p>
    <w:p w14:paraId="059BDD03" w14:textId="77777777" w:rsidR="003B6F61" w:rsidRDefault="003B6F61" w:rsidP="00EF1131">
      <w:pPr>
        <w:rPr>
          <w:rFonts w:eastAsia="Times New Roman" w:cs="Times New Roman"/>
          <w:szCs w:val="24"/>
          <w:lang w:eastAsia="es-CO"/>
        </w:rPr>
      </w:pPr>
      <w:r w:rsidRPr="003B6F61">
        <w:rPr>
          <w:rFonts w:eastAsia="Times New Roman" w:cs="Times New Roman"/>
          <w:szCs w:val="24"/>
          <w:lang w:eastAsia="es-CO"/>
        </w:rPr>
        <w:br/>
        <w:t>Carrera 15 N° 14- 05. piso 50</w:t>
      </w:r>
    </w:p>
    <w:p w14:paraId="477A7C27" w14:textId="77777777" w:rsidR="003B6F61" w:rsidRPr="003B6F61" w:rsidRDefault="003B6F61" w:rsidP="00EF1131">
      <w:pPr>
        <w:rPr>
          <w:rFonts w:eastAsia="Times New Roman" w:cs="Times New Roman"/>
          <w:szCs w:val="24"/>
          <w:lang w:eastAsia="es-CO"/>
        </w:rPr>
      </w:pPr>
      <w:r w:rsidRPr="003B6F61">
        <w:rPr>
          <w:rFonts w:eastAsia="Times New Roman" w:cs="Times New Roman"/>
          <w:szCs w:val="24"/>
          <w:lang w:eastAsia="es-CO"/>
        </w:rPr>
        <w:br/>
        <w:t>Pereira</w:t>
      </w:r>
    </w:p>
    <w:p w14:paraId="40F9C99F" w14:textId="77777777" w:rsidR="003B6F61" w:rsidRPr="003B6F61" w:rsidRDefault="003B6F61" w:rsidP="00EF1131">
      <w:pPr>
        <w:rPr>
          <w:rFonts w:eastAsia="Times New Roman" w:cs="Times New Roman"/>
          <w:szCs w:val="24"/>
          <w:lang w:eastAsia="es-CO"/>
        </w:rPr>
      </w:pPr>
      <w:proofErr w:type="spellStart"/>
      <w:r w:rsidRPr="003B6F61">
        <w:rPr>
          <w:rFonts w:eastAsia="Times New Roman" w:cs="Times New Roman"/>
          <w:szCs w:val="24"/>
          <w:lang w:eastAsia="es-CO"/>
        </w:rPr>
        <w:t>Ref</w:t>
      </w:r>
      <w:proofErr w:type="spellEnd"/>
      <w:r w:rsidRPr="003B6F61">
        <w:rPr>
          <w:rFonts w:eastAsia="Times New Roman" w:cs="Times New Roman"/>
          <w:szCs w:val="24"/>
          <w:lang w:eastAsia="es-CO"/>
        </w:rPr>
        <w:t>: Consulta radicada bajo el número 105555 de 21/1212005</w:t>
      </w:r>
    </w:p>
    <w:p w14:paraId="49B8B05A" w14:textId="77777777" w:rsidR="003B6F61" w:rsidRPr="003B6F61" w:rsidRDefault="003B6F61" w:rsidP="00EF1131">
      <w:pPr>
        <w:rPr>
          <w:rFonts w:eastAsia="Times New Roman" w:cs="Times New Roman"/>
          <w:szCs w:val="24"/>
          <w:lang w:eastAsia="es-CO"/>
        </w:rPr>
      </w:pPr>
      <w:r w:rsidRPr="003B6F61">
        <w:rPr>
          <w:rFonts w:eastAsia="Times New Roman" w:cs="Times New Roman"/>
          <w:szCs w:val="24"/>
          <w:lang w:eastAsia="es-CO"/>
        </w:rPr>
        <w:t>De conformidad con el artículo 11 del Decreto 1265 de 1999 y el artículo 1° de la Resolución 5467 del 15 de junio de 2001, este Despacho es competente para absolver de manera general las consultas que se formulen sobre la interpretación y aplicación de las normas tributarias de carácter nacional. En este sentido se emite el presente concepto.</w:t>
      </w:r>
    </w:p>
    <w:p w14:paraId="1410F051" w14:textId="77777777" w:rsidR="00EF1131" w:rsidRDefault="00EF1131" w:rsidP="00EF1131">
      <w:pPr>
        <w:rPr>
          <w:rFonts w:eastAsia="Times New Roman" w:cs="Times New Roman"/>
          <w:b/>
          <w:bCs/>
          <w:szCs w:val="24"/>
          <w:lang w:eastAsia="es-CO"/>
        </w:rPr>
      </w:pPr>
    </w:p>
    <w:p w14:paraId="4D52537F" w14:textId="2C109AD7" w:rsidR="003B6F61" w:rsidRPr="003B6F61" w:rsidRDefault="003B6F61" w:rsidP="00EF1131">
      <w:pPr>
        <w:rPr>
          <w:rFonts w:eastAsia="Times New Roman" w:cs="Times New Roman"/>
          <w:szCs w:val="24"/>
          <w:lang w:eastAsia="es-CO"/>
        </w:rPr>
      </w:pPr>
      <w:r w:rsidRPr="003B6F61">
        <w:rPr>
          <w:rFonts w:eastAsia="Times New Roman" w:cs="Times New Roman"/>
          <w:b/>
          <w:bCs/>
          <w:szCs w:val="24"/>
          <w:lang w:eastAsia="es-CO"/>
        </w:rPr>
        <w:t>TEMA</w:t>
      </w:r>
      <w:r w:rsidRPr="003B6F61">
        <w:rPr>
          <w:rFonts w:eastAsia="Times New Roman" w:cs="Times New Roman"/>
          <w:szCs w:val="24"/>
          <w:lang w:eastAsia="es-CO"/>
        </w:rPr>
        <w:t> Procedimiento Tributario</w:t>
      </w:r>
    </w:p>
    <w:p w14:paraId="6A5A1111" w14:textId="68E00E78" w:rsidR="003B6F61" w:rsidRDefault="003B6F61" w:rsidP="00EF1131">
      <w:pPr>
        <w:rPr>
          <w:rFonts w:eastAsia="Times New Roman" w:cs="Times New Roman"/>
          <w:szCs w:val="24"/>
          <w:lang w:eastAsia="es-CO"/>
        </w:rPr>
      </w:pPr>
      <w:r w:rsidRPr="003B6F61">
        <w:rPr>
          <w:rFonts w:eastAsia="Times New Roman" w:cs="Times New Roman"/>
          <w:szCs w:val="24"/>
          <w:lang w:eastAsia="es-CO"/>
        </w:rPr>
        <w:t>DESCRIPTORES CONTRIBUYENTES OBLIGADOS A DECLARAR IMPUESTO SOBRE LA RENTA Y CONIPLEMENTARIOS</w:t>
      </w:r>
    </w:p>
    <w:p w14:paraId="1C4DA287" w14:textId="77777777" w:rsidR="003B6F61" w:rsidRPr="003B6F61" w:rsidRDefault="003B6F61" w:rsidP="00EF1131">
      <w:pPr>
        <w:rPr>
          <w:rFonts w:eastAsia="Times New Roman" w:cs="Times New Roman"/>
          <w:szCs w:val="24"/>
          <w:lang w:eastAsia="es-CO"/>
        </w:rPr>
      </w:pPr>
      <w:r w:rsidRPr="003B6F61">
        <w:rPr>
          <w:rFonts w:eastAsia="Times New Roman" w:cs="Times New Roman"/>
          <w:szCs w:val="24"/>
          <w:lang w:eastAsia="es-CO"/>
        </w:rPr>
        <w:br/>
        <w:t>FUENTES FORMALES ARTÍCULO 594-3</w:t>
      </w:r>
    </w:p>
    <w:p w14:paraId="39727ABE" w14:textId="77777777" w:rsidR="00EF1131" w:rsidRDefault="00EF1131" w:rsidP="00EF1131">
      <w:pPr>
        <w:rPr>
          <w:rFonts w:eastAsia="Times New Roman" w:cs="Times New Roman"/>
          <w:b/>
          <w:bCs/>
          <w:szCs w:val="24"/>
          <w:lang w:eastAsia="es-CO"/>
        </w:rPr>
      </w:pPr>
    </w:p>
    <w:p w14:paraId="6960D75A" w14:textId="3DF34A34" w:rsidR="003B6F61" w:rsidRPr="003B6F61" w:rsidRDefault="003B6F61" w:rsidP="00EF1131">
      <w:pPr>
        <w:rPr>
          <w:rFonts w:eastAsia="Times New Roman" w:cs="Times New Roman"/>
          <w:szCs w:val="24"/>
          <w:lang w:eastAsia="es-CO"/>
        </w:rPr>
      </w:pPr>
      <w:r w:rsidRPr="003B6F61">
        <w:rPr>
          <w:rFonts w:eastAsia="Times New Roman" w:cs="Times New Roman"/>
          <w:b/>
          <w:bCs/>
          <w:szCs w:val="24"/>
          <w:lang w:eastAsia="es-CO"/>
        </w:rPr>
        <w:t>PROBLEMA JURIDICO:</w:t>
      </w:r>
    </w:p>
    <w:p w14:paraId="3B18EB5C" w14:textId="77777777" w:rsidR="00EF1131" w:rsidRDefault="00EF1131" w:rsidP="00EF1131">
      <w:pPr>
        <w:rPr>
          <w:rFonts w:eastAsia="Times New Roman" w:cs="Times New Roman"/>
          <w:szCs w:val="24"/>
          <w:lang w:eastAsia="es-CO"/>
        </w:rPr>
      </w:pPr>
    </w:p>
    <w:p w14:paraId="43328E62" w14:textId="553DB36B" w:rsidR="003B6F61" w:rsidRPr="003B6F61" w:rsidRDefault="003B6F61" w:rsidP="00EF1131">
      <w:pPr>
        <w:rPr>
          <w:rFonts w:eastAsia="Times New Roman" w:cs="Times New Roman"/>
          <w:szCs w:val="24"/>
          <w:lang w:eastAsia="es-CO"/>
        </w:rPr>
      </w:pPr>
      <w:r w:rsidRPr="003B6F61">
        <w:rPr>
          <w:rFonts w:eastAsia="Times New Roman" w:cs="Times New Roman"/>
          <w:szCs w:val="24"/>
          <w:lang w:eastAsia="es-CO"/>
        </w:rPr>
        <w:t>¿Para efectos de lo dispuesto en el l</w:t>
      </w:r>
      <w:r>
        <w:rPr>
          <w:rFonts w:eastAsia="Times New Roman" w:cs="Times New Roman"/>
          <w:szCs w:val="24"/>
          <w:lang w:eastAsia="es-CO"/>
        </w:rPr>
        <w:t>iteral c) del artículo 594-3 del</w:t>
      </w:r>
      <w:r w:rsidRPr="003B6F61">
        <w:rPr>
          <w:rFonts w:eastAsia="Times New Roman" w:cs="Times New Roman"/>
          <w:szCs w:val="24"/>
          <w:lang w:eastAsia="es-CO"/>
        </w:rPr>
        <w:t xml:space="preserve"> Estatuto Tributario, la renovación de certificados de depósito a término durante el año gravable constituye un nuevo depósito o una nueva inversión que debe sumarse al valor del certificado original?</w:t>
      </w:r>
    </w:p>
    <w:p w14:paraId="07C6845F" w14:textId="77777777" w:rsidR="00EF1131" w:rsidRDefault="00EF1131" w:rsidP="00EF1131">
      <w:pPr>
        <w:rPr>
          <w:rFonts w:eastAsia="Times New Roman" w:cs="Times New Roman"/>
          <w:b/>
          <w:bCs/>
          <w:szCs w:val="24"/>
          <w:lang w:eastAsia="es-CO"/>
        </w:rPr>
      </w:pPr>
    </w:p>
    <w:p w14:paraId="058D14A8" w14:textId="4609F9F2" w:rsidR="003B6F61" w:rsidRPr="003B6F61" w:rsidRDefault="003B6F61" w:rsidP="00EF1131">
      <w:pPr>
        <w:rPr>
          <w:rFonts w:eastAsia="Times New Roman" w:cs="Times New Roman"/>
          <w:szCs w:val="24"/>
          <w:lang w:eastAsia="es-CO"/>
        </w:rPr>
      </w:pPr>
      <w:r w:rsidRPr="003B6F61">
        <w:rPr>
          <w:rFonts w:eastAsia="Times New Roman" w:cs="Times New Roman"/>
          <w:b/>
          <w:bCs/>
          <w:szCs w:val="24"/>
          <w:lang w:eastAsia="es-CO"/>
        </w:rPr>
        <w:t>TESIS JURIDICA:</w:t>
      </w:r>
    </w:p>
    <w:p w14:paraId="1945D868" w14:textId="77777777" w:rsidR="00EF1131" w:rsidRDefault="00EF1131" w:rsidP="00EF1131">
      <w:pPr>
        <w:rPr>
          <w:rFonts w:eastAsia="Times New Roman" w:cs="Times New Roman"/>
          <w:szCs w:val="24"/>
          <w:lang w:eastAsia="es-CO"/>
        </w:rPr>
      </w:pPr>
    </w:p>
    <w:p w14:paraId="105E1659" w14:textId="65D0E09D" w:rsidR="003B6F61" w:rsidRPr="00EF1131" w:rsidRDefault="003B6F61" w:rsidP="00EF1131">
      <w:pPr>
        <w:rPr>
          <w:rFonts w:eastAsia="Times New Roman" w:cs="Times New Roman"/>
          <w:b/>
          <w:bCs/>
          <w:szCs w:val="24"/>
          <w:u w:val="single"/>
          <w:lang w:eastAsia="es-CO"/>
        </w:rPr>
      </w:pPr>
      <w:r w:rsidRPr="00EF1131">
        <w:rPr>
          <w:rFonts w:eastAsia="Times New Roman" w:cs="Times New Roman"/>
          <w:b/>
          <w:bCs/>
          <w:szCs w:val="24"/>
          <w:lang w:eastAsia="es-CO"/>
        </w:rPr>
        <w:t xml:space="preserve">Para efectos de lo dispuesto en el literal c) del artículo 594-3 del Estatuto Tributario, la renovación de certificados de depósito a término durante el año gravable no constituye un nuevo depósito o una nueva inversión que deba sumarse al valor del certificado original. En los casos de renovación de certificados durante el año gravable, el valor </w:t>
      </w:r>
      <w:r w:rsidRPr="00EF1131">
        <w:rPr>
          <w:rFonts w:eastAsia="Times New Roman" w:cs="Times New Roman"/>
          <w:b/>
          <w:bCs/>
          <w:szCs w:val="24"/>
          <w:lang w:eastAsia="es-CO"/>
        </w:rPr>
        <w:lastRenderedPageBreak/>
        <w:t xml:space="preserve">que debe tenerse en Cuenta, para efectos de la citada disposición, </w:t>
      </w:r>
      <w:r w:rsidRPr="00EF1131">
        <w:rPr>
          <w:rFonts w:eastAsia="Times New Roman" w:cs="Times New Roman"/>
          <w:b/>
          <w:bCs/>
          <w:szCs w:val="24"/>
          <w:u w:val="single"/>
          <w:lang w:eastAsia="es-CO"/>
        </w:rPr>
        <w:t>es el monto de la inversión inicial, más los intereses que se capitalicen.</w:t>
      </w:r>
    </w:p>
    <w:p w14:paraId="367C3E6B" w14:textId="77777777" w:rsidR="00EF1131" w:rsidRDefault="00EF1131" w:rsidP="00EF1131">
      <w:pPr>
        <w:rPr>
          <w:rFonts w:eastAsia="Times New Roman" w:cs="Times New Roman"/>
          <w:b/>
          <w:bCs/>
          <w:szCs w:val="24"/>
          <w:lang w:eastAsia="es-CO"/>
        </w:rPr>
      </w:pPr>
    </w:p>
    <w:p w14:paraId="048C1958" w14:textId="278BBA71" w:rsidR="003B6F61" w:rsidRPr="003B6F61" w:rsidRDefault="003B6F61" w:rsidP="00EF1131">
      <w:pPr>
        <w:rPr>
          <w:rFonts w:eastAsia="Times New Roman" w:cs="Times New Roman"/>
          <w:szCs w:val="24"/>
          <w:lang w:eastAsia="es-CO"/>
        </w:rPr>
      </w:pPr>
      <w:r w:rsidRPr="003B6F61">
        <w:rPr>
          <w:rFonts w:eastAsia="Times New Roman" w:cs="Times New Roman"/>
          <w:b/>
          <w:bCs/>
          <w:szCs w:val="24"/>
          <w:lang w:eastAsia="es-CO"/>
        </w:rPr>
        <w:t>INTERPRETACION JURIDICA:</w:t>
      </w:r>
    </w:p>
    <w:p w14:paraId="00290F71" w14:textId="77777777" w:rsidR="00EF1131" w:rsidRDefault="00EF1131" w:rsidP="00EF1131">
      <w:pPr>
        <w:rPr>
          <w:rFonts w:eastAsia="Times New Roman" w:cs="Times New Roman"/>
          <w:szCs w:val="24"/>
          <w:lang w:eastAsia="es-CO"/>
        </w:rPr>
      </w:pPr>
    </w:p>
    <w:p w14:paraId="0DB5039D" w14:textId="57735FA5" w:rsidR="003B6F61" w:rsidRPr="003B6F61" w:rsidRDefault="003B6F61" w:rsidP="00EF1131">
      <w:pPr>
        <w:rPr>
          <w:rFonts w:eastAsia="Times New Roman" w:cs="Times New Roman"/>
          <w:szCs w:val="24"/>
          <w:lang w:eastAsia="es-CO"/>
        </w:rPr>
      </w:pPr>
      <w:r w:rsidRPr="003B6F61">
        <w:rPr>
          <w:rFonts w:eastAsia="Times New Roman" w:cs="Times New Roman"/>
          <w:szCs w:val="24"/>
          <w:lang w:eastAsia="es-CO"/>
        </w:rPr>
        <w:t>El artículo 594-3 del Estatuto Tributario dispone:</w:t>
      </w:r>
    </w:p>
    <w:p w14:paraId="7C2C8E9E" w14:textId="77777777" w:rsidR="00EF1131" w:rsidRDefault="00EF1131" w:rsidP="00EF1131">
      <w:pPr>
        <w:rPr>
          <w:rFonts w:eastAsia="Times New Roman" w:cs="Times New Roman"/>
          <w:szCs w:val="24"/>
          <w:lang w:eastAsia="es-CO"/>
        </w:rPr>
      </w:pPr>
    </w:p>
    <w:p w14:paraId="74584BD0" w14:textId="42421501" w:rsidR="003B6F61" w:rsidRDefault="003B6F61" w:rsidP="00EF1131">
      <w:pPr>
        <w:rPr>
          <w:rFonts w:eastAsia="Times New Roman" w:cs="Times New Roman"/>
          <w:szCs w:val="24"/>
          <w:lang w:eastAsia="es-CO"/>
        </w:rPr>
      </w:pPr>
      <w:r w:rsidRPr="003B6F61">
        <w:rPr>
          <w:rFonts w:eastAsia="Times New Roman" w:cs="Times New Roman"/>
          <w:szCs w:val="24"/>
          <w:lang w:eastAsia="es-CO"/>
        </w:rPr>
        <w:t>“Art 594-3.- Otros requisitos para no obligados a presentar declaración del impuesto sobre la renta. ¡Sin perjuicio de lo dispuesto en los artículos 592, 593 y 594-1 de! Estatuto Tributario, para no estar obligado a presentar declaración de renta y complementarios se tendrán en cuenta los siguientes requisitos:</w:t>
      </w:r>
    </w:p>
    <w:p w14:paraId="7A616A16" w14:textId="77777777" w:rsidR="003B6F61" w:rsidRPr="003B6F61" w:rsidRDefault="003B6F61" w:rsidP="00EF1131">
      <w:pPr>
        <w:rPr>
          <w:rFonts w:eastAsia="Times New Roman" w:cs="Times New Roman"/>
          <w:szCs w:val="24"/>
          <w:lang w:eastAsia="es-CO"/>
        </w:rPr>
      </w:pPr>
      <w:r w:rsidRPr="003B6F61">
        <w:rPr>
          <w:rFonts w:eastAsia="Times New Roman" w:cs="Times New Roman"/>
          <w:szCs w:val="24"/>
          <w:lang w:eastAsia="es-CO"/>
        </w:rPr>
        <w:br/>
        <w:t>(…)</w:t>
      </w:r>
    </w:p>
    <w:p w14:paraId="3F9FD523" w14:textId="77777777" w:rsidR="00EF1131" w:rsidRDefault="00EF1131" w:rsidP="00EF1131">
      <w:pPr>
        <w:rPr>
          <w:rFonts w:eastAsia="Times New Roman" w:cs="Times New Roman"/>
          <w:szCs w:val="24"/>
          <w:lang w:eastAsia="es-CO"/>
        </w:rPr>
      </w:pPr>
    </w:p>
    <w:p w14:paraId="062FD431" w14:textId="71C07A13" w:rsidR="003B6F61" w:rsidRDefault="003B6F61" w:rsidP="00EF1131">
      <w:pPr>
        <w:rPr>
          <w:rFonts w:eastAsia="Times New Roman" w:cs="Times New Roman"/>
          <w:szCs w:val="24"/>
          <w:lang w:eastAsia="es-CO"/>
        </w:rPr>
      </w:pPr>
      <w:r>
        <w:rPr>
          <w:rFonts w:eastAsia="Times New Roman" w:cs="Times New Roman"/>
          <w:szCs w:val="24"/>
          <w:lang w:eastAsia="es-CO"/>
        </w:rPr>
        <w:t>c) Que el valor total</w:t>
      </w:r>
      <w:r w:rsidRPr="003B6F61">
        <w:rPr>
          <w:rFonts w:eastAsia="Times New Roman" w:cs="Times New Roman"/>
          <w:szCs w:val="24"/>
          <w:lang w:eastAsia="es-CO"/>
        </w:rPr>
        <w:t xml:space="preserve"> acumulado de consignaciones bancarias, depósitos o inversiones financieras, durante el año gravable no exceda de $84.880.000. (valor año 2005) “</w:t>
      </w:r>
    </w:p>
    <w:p w14:paraId="00182D5B" w14:textId="77777777" w:rsidR="00EF1131" w:rsidRPr="003B6F61" w:rsidRDefault="00EF1131" w:rsidP="00EF1131">
      <w:pPr>
        <w:rPr>
          <w:rFonts w:eastAsia="Times New Roman" w:cs="Times New Roman"/>
          <w:szCs w:val="24"/>
          <w:lang w:eastAsia="es-CO"/>
        </w:rPr>
      </w:pPr>
    </w:p>
    <w:p w14:paraId="73EC1B90" w14:textId="77777777" w:rsidR="003B6F61" w:rsidRPr="003B6F61" w:rsidRDefault="003B6F61" w:rsidP="00EF1131">
      <w:pPr>
        <w:rPr>
          <w:rFonts w:eastAsia="Times New Roman" w:cs="Times New Roman"/>
          <w:szCs w:val="24"/>
          <w:lang w:eastAsia="es-CO"/>
        </w:rPr>
      </w:pPr>
      <w:r w:rsidRPr="003B6F61">
        <w:rPr>
          <w:rFonts w:eastAsia="Times New Roman" w:cs="Times New Roman"/>
          <w:szCs w:val="24"/>
          <w:lang w:eastAsia="es-CO"/>
        </w:rPr>
        <w:t>De acuerdo con la interpretación plasmada en el Concepto N° 071921 de 2005, la norma citada constituye esencialmente una medida de control tributario que se basa en el establecimiento de condiciones objetivas para estar obligado a presentar declaración de renta. Tales condiciones objetivas operan con independencia de los topes de ingresos y patrimonio consagrados en las demás normas que regulan la obligación de presentar la declaración tributaria.</w:t>
      </w:r>
    </w:p>
    <w:p w14:paraId="5D099CAA" w14:textId="77777777" w:rsidR="00EF1131" w:rsidRDefault="00EF1131" w:rsidP="00EF1131">
      <w:pPr>
        <w:rPr>
          <w:rFonts w:eastAsia="Times New Roman" w:cs="Times New Roman"/>
          <w:szCs w:val="24"/>
          <w:lang w:eastAsia="es-CO"/>
        </w:rPr>
      </w:pPr>
    </w:p>
    <w:p w14:paraId="43EA5341" w14:textId="3A90B8AD" w:rsidR="003B6F61" w:rsidRPr="003B6F61" w:rsidRDefault="003B6F61" w:rsidP="00EF1131">
      <w:pPr>
        <w:rPr>
          <w:rFonts w:eastAsia="Times New Roman" w:cs="Times New Roman"/>
          <w:szCs w:val="24"/>
          <w:lang w:eastAsia="es-CO"/>
        </w:rPr>
      </w:pPr>
      <w:r w:rsidRPr="003B6F61">
        <w:rPr>
          <w:rFonts w:eastAsia="Times New Roman" w:cs="Times New Roman"/>
          <w:szCs w:val="24"/>
          <w:lang w:eastAsia="es-CO"/>
        </w:rPr>
        <w:t>Concebida la norma como medida de control fiscal, su interpretación y aplicación debe estar encaminada al cumplimiento de los objetivos buscados por el legislador, esto es, la obligación de declarar como medio de control para aquellos contribuyentes cuyas consignaciones, depósitos o inversiones ameritan, por su cuantía, una verificación por parte de la administración tributaria en cuanto a la naturaleza, origen y destino de los recursos implicados en tales operaciones.</w:t>
      </w:r>
    </w:p>
    <w:p w14:paraId="3278127A" w14:textId="77777777" w:rsidR="00EF1131" w:rsidRDefault="00EF1131" w:rsidP="00EF1131">
      <w:pPr>
        <w:rPr>
          <w:rFonts w:eastAsia="Times New Roman" w:cs="Times New Roman"/>
          <w:szCs w:val="24"/>
          <w:lang w:eastAsia="es-CO"/>
        </w:rPr>
      </w:pPr>
    </w:p>
    <w:p w14:paraId="0F88CCD8" w14:textId="54CC08BD" w:rsidR="003B6F61" w:rsidRPr="00EF1131" w:rsidRDefault="003B6F61" w:rsidP="00EF1131">
      <w:pPr>
        <w:rPr>
          <w:rFonts w:eastAsia="Times New Roman" w:cs="Times New Roman"/>
          <w:b/>
          <w:bCs/>
          <w:szCs w:val="24"/>
          <w:u w:val="single"/>
          <w:lang w:eastAsia="es-CO"/>
        </w:rPr>
      </w:pPr>
      <w:r w:rsidRPr="00EF1131">
        <w:rPr>
          <w:rFonts w:eastAsia="Times New Roman" w:cs="Times New Roman"/>
          <w:b/>
          <w:bCs/>
          <w:szCs w:val="24"/>
          <w:lang w:eastAsia="es-CO"/>
        </w:rPr>
        <w:t xml:space="preserve">En este contexto, es claro que el mantenimiento de un depósito en una entidad financiera, por parte de una persona natural, constituye una operación que se realiza con los mismos recursos originalmente captados, los cuales están plenamente identificados. En otras palabras, la renovación de un certificado de depósito a término no implica que la entidad financiera deje de disponer de los recursos con los cuales se constituyó, </w:t>
      </w:r>
      <w:r w:rsidRPr="00EF1131">
        <w:rPr>
          <w:rFonts w:eastAsia="Times New Roman" w:cs="Times New Roman"/>
          <w:b/>
          <w:bCs/>
          <w:szCs w:val="24"/>
          <w:u w:val="single"/>
          <w:lang w:eastAsia="es-CO"/>
        </w:rPr>
        <w:t>situación que, de suyo, excluye la existencia de un nuevo depósito o consignación.</w:t>
      </w:r>
    </w:p>
    <w:p w14:paraId="0E2720FC" w14:textId="4369A7AA" w:rsidR="003B6F61" w:rsidRDefault="003B6F61" w:rsidP="00EF1131">
      <w:pPr>
        <w:rPr>
          <w:rFonts w:eastAsia="Times New Roman" w:cs="Times New Roman"/>
          <w:szCs w:val="24"/>
          <w:lang w:eastAsia="es-CO"/>
        </w:rPr>
      </w:pPr>
      <w:r w:rsidRPr="003B6F61">
        <w:rPr>
          <w:rFonts w:eastAsia="Times New Roman" w:cs="Times New Roman"/>
          <w:szCs w:val="24"/>
          <w:lang w:eastAsia="es-CO"/>
        </w:rPr>
        <w:lastRenderedPageBreak/>
        <w:t>Caso distinto es el de la persona natural que retira el monto correspondiente a una inversión efectuada en CDT y, posteriormente, realiza una nueva inversión o una consignación, ya que, en estas circunstancias resulta muy difícil demostrar que se trata de los mismos recursos y se impone el criterio objetivo consagrado en el literal c) del artículo 594-3 del Estatuto Tributario que consiste en determinar el valor total acumulado de las consignaciones bancarias, depósitos o inversiones financieras, durante el respectivo año gravable.</w:t>
      </w:r>
    </w:p>
    <w:p w14:paraId="4751FA53" w14:textId="77777777" w:rsidR="00EF1131" w:rsidRPr="003B6F61" w:rsidRDefault="00EF1131" w:rsidP="00EF1131">
      <w:pPr>
        <w:rPr>
          <w:rFonts w:eastAsia="Times New Roman" w:cs="Times New Roman"/>
          <w:szCs w:val="24"/>
          <w:lang w:eastAsia="es-CO"/>
        </w:rPr>
      </w:pPr>
    </w:p>
    <w:p w14:paraId="0E2924F6" w14:textId="77777777" w:rsidR="003B6F61" w:rsidRPr="00EF1131" w:rsidRDefault="003B6F61" w:rsidP="00EF1131">
      <w:pPr>
        <w:rPr>
          <w:rFonts w:eastAsia="Times New Roman" w:cs="Times New Roman"/>
          <w:b/>
          <w:bCs/>
          <w:szCs w:val="24"/>
          <w:u w:val="single"/>
          <w:lang w:eastAsia="es-CO"/>
        </w:rPr>
      </w:pPr>
      <w:r w:rsidRPr="003B6F61">
        <w:rPr>
          <w:rFonts w:eastAsia="Times New Roman" w:cs="Times New Roman"/>
          <w:szCs w:val="24"/>
          <w:lang w:eastAsia="es-CO"/>
        </w:rPr>
        <w:t xml:space="preserve">De lo anterior se concluye que, para efectos de lo dispuesto en el Literal c) del artículo 594-3 del Estatuto Tributario, </w:t>
      </w:r>
      <w:r w:rsidRPr="00EF1131">
        <w:rPr>
          <w:rFonts w:eastAsia="Times New Roman" w:cs="Times New Roman"/>
          <w:b/>
          <w:bCs/>
          <w:szCs w:val="24"/>
          <w:u w:val="single"/>
          <w:lang w:eastAsia="es-CO"/>
        </w:rPr>
        <w:t>la renovación de certificados de depósito a término durante el año gravable no constituye un nuevo depósito o una nueva inversión que deba sumarse al valor del certificado original. Ahora bien, si en el año gravable no se constituye un certificado de depósito a término, sino que, simplemente, se renueva un certificado que ya existía (por ejemplo, uno constituido en el año anterior), el valor que debe tenerse en cuenta, para efectos de la citada disposición, es el monto de la inversión inicial, más los intereses que se capitalicen</w:t>
      </w:r>
    </w:p>
    <w:p w14:paraId="5B7BBACC" w14:textId="77777777" w:rsidR="003B6F61" w:rsidRPr="003B6F61" w:rsidRDefault="003B6F61" w:rsidP="00EF1131">
      <w:pPr>
        <w:rPr>
          <w:rFonts w:eastAsia="Times New Roman" w:cs="Times New Roman"/>
          <w:szCs w:val="24"/>
          <w:lang w:eastAsia="es-CO"/>
        </w:rPr>
      </w:pPr>
      <w:r w:rsidRPr="003B6F61">
        <w:rPr>
          <w:rFonts w:eastAsia="Times New Roman" w:cs="Times New Roman"/>
          <w:szCs w:val="24"/>
          <w:lang w:eastAsia="es-CO"/>
        </w:rPr>
        <w:br/>
        <w:t>Atentamente,</w:t>
      </w:r>
    </w:p>
    <w:p w14:paraId="34B9FE40" w14:textId="77777777" w:rsidR="003B6F61" w:rsidRDefault="003B6F61" w:rsidP="00EF1131">
      <w:pPr>
        <w:rPr>
          <w:rFonts w:eastAsia="Times New Roman" w:cs="Times New Roman"/>
          <w:szCs w:val="24"/>
          <w:lang w:eastAsia="es-CO"/>
        </w:rPr>
      </w:pPr>
      <w:r w:rsidRPr="003B6F61">
        <w:rPr>
          <w:rFonts w:eastAsia="Times New Roman" w:cs="Times New Roman"/>
          <w:szCs w:val="24"/>
          <w:lang w:eastAsia="es-CO"/>
        </w:rPr>
        <w:t>JUAN JOSE FUENTES BERNAL</w:t>
      </w:r>
    </w:p>
    <w:p w14:paraId="5E5BA46E" w14:textId="77777777" w:rsidR="003B6F61" w:rsidRDefault="003B6F61" w:rsidP="00EF1131">
      <w:pPr>
        <w:rPr>
          <w:rFonts w:eastAsia="Times New Roman" w:cs="Times New Roman"/>
          <w:szCs w:val="24"/>
          <w:lang w:eastAsia="es-CO"/>
        </w:rPr>
      </w:pPr>
      <w:r w:rsidRPr="003B6F61">
        <w:rPr>
          <w:rFonts w:eastAsia="Times New Roman" w:cs="Times New Roman"/>
          <w:szCs w:val="24"/>
          <w:lang w:eastAsia="es-CO"/>
        </w:rPr>
        <w:br/>
        <w:t>Jefe división de Normativa y Doctrina tributaria </w:t>
      </w:r>
    </w:p>
    <w:p w14:paraId="7CBFFF3A" w14:textId="77777777" w:rsidR="003B6F61" w:rsidRPr="003B6F61" w:rsidRDefault="003B6F61" w:rsidP="00EF1131">
      <w:pPr>
        <w:rPr>
          <w:rFonts w:eastAsia="Times New Roman" w:cs="Times New Roman"/>
          <w:szCs w:val="24"/>
          <w:lang w:eastAsia="es-CO"/>
        </w:rPr>
      </w:pPr>
      <w:r>
        <w:rPr>
          <w:rFonts w:eastAsia="Times New Roman" w:cs="Times New Roman"/>
          <w:szCs w:val="24"/>
          <w:lang w:eastAsia="es-CO"/>
        </w:rPr>
        <w:t>_________________________________________________________________________</w:t>
      </w:r>
    </w:p>
    <w:p w14:paraId="6CAF4A28" w14:textId="77777777" w:rsidR="003B6F61" w:rsidRPr="003B6F61" w:rsidRDefault="003B6F61" w:rsidP="00EF1131">
      <w:pPr>
        <w:rPr>
          <w:rFonts w:cs="Times New Roman"/>
          <w:szCs w:val="24"/>
        </w:rPr>
      </w:pPr>
    </w:p>
    <w:sectPr w:rsidR="003B6F61" w:rsidRPr="003B6F61"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F61"/>
    <w:rsid w:val="003B6F61"/>
    <w:rsid w:val="00730617"/>
    <w:rsid w:val="00A45230"/>
    <w:rsid w:val="00EF113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D8EAC"/>
  <w15:chartTrackingRefBased/>
  <w15:docId w15:val="{1191D52A-134D-4338-9E99-9C1F0355C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07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754</Words>
  <Characters>4147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Guillermo Alzate Duque</cp:lastModifiedBy>
  <cp:revision>2</cp:revision>
  <dcterms:created xsi:type="dcterms:W3CDTF">2021-12-08T23:29:00Z</dcterms:created>
  <dcterms:modified xsi:type="dcterms:W3CDTF">2021-12-08T23:29:00Z</dcterms:modified>
</cp:coreProperties>
</file>