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27489" w14:textId="77777777" w:rsidR="006823D4" w:rsidRPr="006823D4" w:rsidRDefault="006823D4" w:rsidP="006823D4">
      <w:pPr>
        <w:spacing w:after="0" w:line="360" w:lineRule="auto"/>
        <w:jc w:val="both"/>
        <w:rPr>
          <w:rFonts w:eastAsia="Times New Roman" w:cs="Times New Roman"/>
          <w:color w:val="000000"/>
          <w:szCs w:val="24"/>
          <w:lang w:eastAsia="es-CO"/>
        </w:rPr>
      </w:pPr>
    </w:p>
    <w:p w14:paraId="2BB919B4" w14:textId="77777777" w:rsidR="006823D4" w:rsidRPr="006823D4" w:rsidRDefault="006823D4" w:rsidP="006823D4">
      <w:pPr>
        <w:spacing w:after="0" w:line="360" w:lineRule="auto"/>
        <w:jc w:val="both"/>
        <w:rPr>
          <w:rFonts w:eastAsia="Times New Roman" w:cs="Times New Roman"/>
          <w:color w:val="000000"/>
          <w:szCs w:val="24"/>
          <w:lang w:eastAsia="es-CO"/>
        </w:rPr>
      </w:pPr>
    </w:p>
    <w:p w14:paraId="4FB48E73" w14:textId="77777777" w:rsidR="006823D4" w:rsidRPr="006823D4" w:rsidRDefault="006823D4" w:rsidP="006823D4">
      <w:pPr>
        <w:spacing w:after="0" w:line="360" w:lineRule="auto"/>
        <w:jc w:val="center"/>
        <w:rPr>
          <w:rFonts w:eastAsia="Times New Roman" w:cs="Times New Roman"/>
          <w:color w:val="000000"/>
          <w:szCs w:val="24"/>
          <w:lang w:eastAsia="es-CO"/>
        </w:rPr>
      </w:pPr>
      <w:r w:rsidRPr="006823D4">
        <w:rPr>
          <w:rFonts w:eastAsia="Times New Roman" w:cs="Times New Roman"/>
          <w:b/>
          <w:bCs/>
          <w:color w:val="0000FF"/>
          <w:szCs w:val="24"/>
          <w:lang w:eastAsia="es-CO"/>
        </w:rPr>
        <w:t xml:space="preserve">OFICIO </w:t>
      </w:r>
      <w:proofErr w:type="spellStart"/>
      <w:r w:rsidRPr="006823D4">
        <w:rPr>
          <w:rFonts w:eastAsia="Times New Roman" w:cs="Times New Roman"/>
          <w:b/>
          <w:bCs/>
          <w:color w:val="0000FF"/>
          <w:szCs w:val="24"/>
          <w:lang w:eastAsia="es-CO"/>
        </w:rPr>
        <w:t>Nº</w:t>
      </w:r>
      <w:proofErr w:type="spellEnd"/>
      <w:r w:rsidRPr="006823D4">
        <w:rPr>
          <w:rFonts w:eastAsia="Times New Roman" w:cs="Times New Roman"/>
          <w:b/>
          <w:bCs/>
          <w:color w:val="0000FF"/>
          <w:szCs w:val="24"/>
          <w:lang w:eastAsia="es-CO"/>
        </w:rPr>
        <w:t xml:space="preserve"> 0146 [900915]</w:t>
      </w:r>
    </w:p>
    <w:p w14:paraId="5CC9B6A1" w14:textId="77777777" w:rsidR="006823D4" w:rsidRPr="006823D4" w:rsidRDefault="006823D4" w:rsidP="006823D4">
      <w:pPr>
        <w:spacing w:after="0" w:line="360" w:lineRule="auto"/>
        <w:jc w:val="center"/>
        <w:rPr>
          <w:rFonts w:eastAsia="Times New Roman" w:cs="Times New Roman"/>
          <w:color w:val="000000"/>
          <w:szCs w:val="24"/>
          <w:lang w:eastAsia="es-CO"/>
        </w:rPr>
      </w:pPr>
      <w:r w:rsidRPr="006823D4">
        <w:rPr>
          <w:rFonts w:eastAsia="Times New Roman" w:cs="Times New Roman"/>
          <w:b/>
          <w:bCs/>
          <w:color w:val="0000FF"/>
          <w:szCs w:val="24"/>
          <w:lang w:eastAsia="es-CO"/>
        </w:rPr>
        <w:t>05-02-2021</w:t>
      </w:r>
    </w:p>
    <w:p w14:paraId="41702B0F" w14:textId="77777777" w:rsidR="006823D4" w:rsidRPr="006823D4" w:rsidRDefault="006823D4" w:rsidP="006823D4">
      <w:pPr>
        <w:spacing w:after="0" w:line="360" w:lineRule="auto"/>
        <w:jc w:val="center"/>
        <w:rPr>
          <w:rFonts w:eastAsia="Times New Roman" w:cs="Times New Roman"/>
          <w:color w:val="000000"/>
          <w:szCs w:val="24"/>
          <w:lang w:eastAsia="es-CO"/>
        </w:rPr>
      </w:pPr>
      <w:r w:rsidRPr="006823D4">
        <w:rPr>
          <w:rFonts w:eastAsia="Times New Roman" w:cs="Times New Roman"/>
          <w:b/>
          <w:bCs/>
          <w:color w:val="0000FF"/>
          <w:szCs w:val="24"/>
          <w:lang w:eastAsia="es-CO"/>
        </w:rPr>
        <w:t>DIAN</w:t>
      </w:r>
    </w:p>
    <w:p w14:paraId="0730BFDC" w14:textId="77777777" w:rsidR="006823D4" w:rsidRPr="006823D4" w:rsidRDefault="006823D4" w:rsidP="006823D4">
      <w:pPr>
        <w:spacing w:after="0" w:line="360" w:lineRule="auto"/>
        <w:jc w:val="both"/>
        <w:rPr>
          <w:rFonts w:eastAsia="Times New Roman" w:cs="Times New Roman"/>
          <w:color w:val="000000"/>
          <w:szCs w:val="24"/>
          <w:lang w:eastAsia="es-CO"/>
        </w:rPr>
      </w:pPr>
      <w:r w:rsidRPr="006823D4">
        <w:rPr>
          <w:rFonts w:eastAsia="Times New Roman" w:cs="Times New Roman"/>
          <w:color w:val="000000"/>
          <w:szCs w:val="24"/>
          <w:lang w:eastAsia="es-CO"/>
        </w:rPr>
        <w:t> </w:t>
      </w:r>
    </w:p>
    <w:p w14:paraId="743D137D" w14:textId="77777777" w:rsidR="006823D4" w:rsidRPr="006823D4" w:rsidRDefault="006823D4" w:rsidP="006823D4">
      <w:pPr>
        <w:spacing w:after="0" w:line="360" w:lineRule="auto"/>
        <w:jc w:val="both"/>
        <w:rPr>
          <w:rFonts w:eastAsia="Times New Roman" w:cs="Times New Roman"/>
          <w:color w:val="000000"/>
          <w:szCs w:val="24"/>
          <w:lang w:eastAsia="es-CO"/>
        </w:rPr>
      </w:pPr>
      <w:r w:rsidRPr="006823D4">
        <w:rPr>
          <w:rFonts w:eastAsia="Times New Roman" w:cs="Times New Roman"/>
          <w:color w:val="000000"/>
          <w:szCs w:val="24"/>
          <w:lang w:eastAsia="es-CO"/>
        </w:rPr>
        <w:t> </w:t>
      </w:r>
    </w:p>
    <w:p w14:paraId="6621A7EE" w14:textId="77777777" w:rsidR="006823D4" w:rsidRPr="006823D4" w:rsidRDefault="006823D4" w:rsidP="006823D4">
      <w:pPr>
        <w:spacing w:after="0" w:line="360" w:lineRule="auto"/>
        <w:jc w:val="both"/>
        <w:rPr>
          <w:rFonts w:eastAsia="Times New Roman" w:cs="Times New Roman"/>
          <w:color w:val="000000"/>
          <w:szCs w:val="24"/>
          <w:lang w:eastAsia="es-CO"/>
        </w:rPr>
      </w:pPr>
      <w:r w:rsidRPr="006823D4">
        <w:rPr>
          <w:rFonts w:eastAsia="Times New Roman" w:cs="Times New Roman"/>
          <w:color w:val="000000"/>
          <w:szCs w:val="24"/>
          <w:lang w:eastAsia="es-CO"/>
        </w:rPr>
        <w:t>Subdirección de Gestión Normativa y Doctrina</w:t>
      </w:r>
    </w:p>
    <w:p w14:paraId="343449AD" w14:textId="77777777" w:rsidR="006823D4" w:rsidRPr="006823D4" w:rsidRDefault="006823D4" w:rsidP="006823D4">
      <w:pPr>
        <w:spacing w:after="0" w:line="360" w:lineRule="auto"/>
        <w:jc w:val="both"/>
        <w:rPr>
          <w:rFonts w:eastAsia="Times New Roman" w:cs="Times New Roman"/>
          <w:color w:val="000000"/>
          <w:szCs w:val="24"/>
          <w:lang w:eastAsia="es-CO"/>
        </w:rPr>
      </w:pPr>
      <w:r w:rsidRPr="006823D4">
        <w:rPr>
          <w:rFonts w:eastAsia="Times New Roman" w:cs="Times New Roman"/>
          <w:color w:val="000000"/>
          <w:szCs w:val="24"/>
          <w:lang w:eastAsia="es-CO"/>
        </w:rPr>
        <w:t>100208221-0146</w:t>
      </w:r>
    </w:p>
    <w:p w14:paraId="54FB411F" w14:textId="77777777" w:rsidR="006823D4" w:rsidRPr="006823D4" w:rsidRDefault="006823D4" w:rsidP="006823D4">
      <w:pPr>
        <w:spacing w:after="0" w:line="360" w:lineRule="auto"/>
        <w:jc w:val="both"/>
        <w:rPr>
          <w:rFonts w:eastAsia="Times New Roman" w:cs="Times New Roman"/>
          <w:color w:val="000000"/>
          <w:szCs w:val="24"/>
          <w:lang w:eastAsia="es-CO"/>
        </w:rPr>
      </w:pPr>
      <w:r w:rsidRPr="006823D4">
        <w:rPr>
          <w:rFonts w:eastAsia="Times New Roman" w:cs="Times New Roman"/>
          <w:color w:val="000000"/>
          <w:szCs w:val="24"/>
          <w:lang w:eastAsia="es-CO"/>
        </w:rPr>
        <w:t>Bogotá, D.C.</w:t>
      </w:r>
    </w:p>
    <w:p w14:paraId="45FE22D8" w14:textId="77777777" w:rsidR="006823D4" w:rsidRPr="006823D4" w:rsidRDefault="006823D4" w:rsidP="006823D4">
      <w:pPr>
        <w:spacing w:after="0" w:line="360" w:lineRule="auto"/>
        <w:jc w:val="both"/>
        <w:rPr>
          <w:rFonts w:eastAsia="Times New Roman" w:cs="Times New Roman"/>
          <w:color w:val="000000"/>
          <w:szCs w:val="24"/>
          <w:lang w:eastAsia="es-CO"/>
        </w:rPr>
      </w:pPr>
      <w:r w:rsidRPr="006823D4">
        <w:rPr>
          <w:rFonts w:eastAsia="Times New Roman" w:cs="Times New Roman"/>
          <w:color w:val="000000"/>
          <w:szCs w:val="24"/>
          <w:lang w:eastAsia="es-CO"/>
        </w:rPr>
        <w:t> </w:t>
      </w:r>
    </w:p>
    <w:tbl>
      <w:tblPr>
        <w:tblW w:w="0" w:type="auto"/>
        <w:tblCellMar>
          <w:left w:w="0" w:type="dxa"/>
          <w:right w:w="0" w:type="dxa"/>
        </w:tblCellMar>
        <w:tblLook w:val="04A0" w:firstRow="1" w:lastRow="0" w:firstColumn="1" w:lastColumn="0" w:noHBand="0" w:noVBand="1"/>
      </w:tblPr>
      <w:tblGrid>
        <w:gridCol w:w="1969"/>
        <w:gridCol w:w="222"/>
        <w:gridCol w:w="222"/>
        <w:gridCol w:w="4355"/>
      </w:tblGrid>
      <w:tr w:rsidR="006823D4" w:rsidRPr="006823D4" w14:paraId="6DDE96A7" w14:textId="77777777" w:rsidTr="006823D4">
        <w:tc>
          <w:tcPr>
            <w:tcW w:w="0" w:type="auto"/>
            <w:tcBorders>
              <w:top w:val="nil"/>
              <w:left w:val="nil"/>
              <w:bottom w:val="nil"/>
              <w:right w:val="nil"/>
            </w:tcBorders>
            <w:shd w:val="clear" w:color="auto" w:fill="auto"/>
            <w:tcMar>
              <w:top w:w="0" w:type="dxa"/>
              <w:left w:w="108" w:type="dxa"/>
              <w:bottom w:w="0" w:type="dxa"/>
              <w:right w:w="108" w:type="dxa"/>
            </w:tcMar>
            <w:hideMark/>
          </w:tcPr>
          <w:p w14:paraId="418B977A" w14:textId="77777777" w:rsidR="006823D4" w:rsidRPr="006823D4" w:rsidRDefault="006823D4" w:rsidP="006823D4">
            <w:pPr>
              <w:spacing w:after="0" w:line="360" w:lineRule="auto"/>
              <w:jc w:val="both"/>
              <w:rPr>
                <w:rFonts w:eastAsia="Times New Roman" w:cs="Times New Roman"/>
                <w:szCs w:val="24"/>
                <w:lang w:eastAsia="es-CO"/>
              </w:rPr>
            </w:pPr>
            <w:r w:rsidRPr="006823D4">
              <w:rPr>
                <w:rFonts w:eastAsia="Times New Roman" w:cs="Times New Roman"/>
                <w:b/>
                <w:bCs/>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33F0973" w14:textId="77777777" w:rsidR="006823D4" w:rsidRPr="006823D4" w:rsidRDefault="006823D4" w:rsidP="006823D4">
            <w:pPr>
              <w:spacing w:after="0" w:line="360" w:lineRule="auto"/>
              <w:rPr>
                <w:rFonts w:eastAsia="Times New Roman" w:cs="Times New Roman"/>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445A4A5B" w14:textId="77777777" w:rsidR="006823D4" w:rsidRPr="006823D4" w:rsidRDefault="006823D4" w:rsidP="006823D4">
            <w:pPr>
              <w:spacing w:after="0" w:line="360" w:lineRule="auto"/>
              <w:rPr>
                <w:rFonts w:eastAsia="Times New Roman" w:cs="Times New Roman"/>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56E36D22" w14:textId="77777777" w:rsidR="006823D4" w:rsidRPr="006823D4" w:rsidRDefault="006823D4" w:rsidP="006823D4">
            <w:pPr>
              <w:spacing w:after="0" w:line="360" w:lineRule="auto"/>
              <w:jc w:val="both"/>
              <w:rPr>
                <w:rFonts w:eastAsia="Times New Roman" w:cs="Times New Roman"/>
                <w:szCs w:val="24"/>
                <w:lang w:eastAsia="es-CO"/>
              </w:rPr>
            </w:pPr>
            <w:r w:rsidRPr="006823D4">
              <w:rPr>
                <w:rFonts w:eastAsia="Times New Roman" w:cs="Times New Roman"/>
                <w:szCs w:val="24"/>
                <w:lang w:eastAsia="es-CO"/>
              </w:rPr>
              <w:t>Impuesto sobre la renta y complementarios</w:t>
            </w:r>
          </w:p>
        </w:tc>
      </w:tr>
      <w:tr w:rsidR="006823D4" w:rsidRPr="006823D4" w14:paraId="57531A41" w14:textId="77777777" w:rsidTr="006823D4">
        <w:tc>
          <w:tcPr>
            <w:tcW w:w="0" w:type="auto"/>
            <w:tcBorders>
              <w:top w:val="nil"/>
              <w:left w:val="nil"/>
              <w:bottom w:val="nil"/>
              <w:right w:val="nil"/>
            </w:tcBorders>
            <w:shd w:val="clear" w:color="auto" w:fill="auto"/>
            <w:tcMar>
              <w:top w:w="0" w:type="dxa"/>
              <w:left w:w="108" w:type="dxa"/>
              <w:bottom w:w="0" w:type="dxa"/>
              <w:right w:w="108" w:type="dxa"/>
            </w:tcMar>
            <w:hideMark/>
          </w:tcPr>
          <w:p w14:paraId="0F4674B0" w14:textId="77777777" w:rsidR="006823D4" w:rsidRPr="006823D4" w:rsidRDefault="006823D4" w:rsidP="006823D4">
            <w:pPr>
              <w:spacing w:after="0" w:line="360" w:lineRule="auto"/>
              <w:jc w:val="both"/>
              <w:rPr>
                <w:rFonts w:eastAsia="Times New Roman" w:cs="Times New Roman"/>
                <w:szCs w:val="24"/>
                <w:lang w:eastAsia="es-CO"/>
              </w:rPr>
            </w:pPr>
            <w:r w:rsidRPr="006823D4">
              <w:rPr>
                <w:rFonts w:eastAsia="Times New Roman" w:cs="Times New Roman"/>
                <w:b/>
                <w:bCs/>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CF74CB2" w14:textId="77777777" w:rsidR="006823D4" w:rsidRPr="006823D4" w:rsidRDefault="006823D4" w:rsidP="006823D4">
            <w:pPr>
              <w:spacing w:after="0" w:line="360" w:lineRule="auto"/>
              <w:rPr>
                <w:rFonts w:eastAsia="Times New Roman" w:cs="Times New Roman"/>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56460A73" w14:textId="77777777" w:rsidR="006823D4" w:rsidRPr="006823D4" w:rsidRDefault="006823D4" w:rsidP="006823D4">
            <w:pPr>
              <w:spacing w:after="0" w:line="360" w:lineRule="auto"/>
              <w:rPr>
                <w:rFonts w:eastAsia="Times New Roman" w:cs="Times New Roman"/>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580BCA0C" w14:textId="77777777" w:rsidR="006823D4" w:rsidRPr="006823D4" w:rsidRDefault="006823D4" w:rsidP="006823D4">
            <w:pPr>
              <w:spacing w:after="0" w:line="360" w:lineRule="auto"/>
              <w:jc w:val="both"/>
              <w:rPr>
                <w:rFonts w:eastAsia="Times New Roman" w:cs="Times New Roman"/>
                <w:szCs w:val="24"/>
                <w:lang w:eastAsia="es-CO"/>
              </w:rPr>
            </w:pPr>
            <w:r w:rsidRPr="006823D4">
              <w:rPr>
                <w:rFonts w:eastAsia="Times New Roman" w:cs="Times New Roman"/>
                <w:szCs w:val="24"/>
                <w:lang w:eastAsia="es-CO"/>
              </w:rPr>
              <w:t>Contratos de colaboración empresarial</w:t>
            </w:r>
          </w:p>
        </w:tc>
      </w:tr>
      <w:tr w:rsidR="006823D4" w:rsidRPr="006823D4" w14:paraId="6EA02A86" w14:textId="77777777" w:rsidTr="006823D4">
        <w:tc>
          <w:tcPr>
            <w:tcW w:w="0" w:type="auto"/>
            <w:tcBorders>
              <w:top w:val="nil"/>
              <w:left w:val="nil"/>
              <w:bottom w:val="nil"/>
              <w:right w:val="nil"/>
            </w:tcBorders>
            <w:shd w:val="clear" w:color="auto" w:fill="auto"/>
            <w:tcMar>
              <w:top w:w="0" w:type="dxa"/>
              <w:left w:w="108" w:type="dxa"/>
              <w:bottom w:w="0" w:type="dxa"/>
              <w:right w:w="108" w:type="dxa"/>
            </w:tcMar>
            <w:hideMark/>
          </w:tcPr>
          <w:p w14:paraId="2A231F09" w14:textId="77777777" w:rsidR="006823D4" w:rsidRPr="006823D4" w:rsidRDefault="006823D4" w:rsidP="006823D4">
            <w:pPr>
              <w:spacing w:after="0" w:line="360" w:lineRule="auto"/>
              <w:jc w:val="both"/>
              <w:rPr>
                <w:rFonts w:eastAsia="Times New Roman" w:cs="Times New Roman"/>
                <w:szCs w:val="24"/>
                <w:lang w:eastAsia="es-CO"/>
              </w:rPr>
            </w:pPr>
            <w:r w:rsidRPr="006823D4">
              <w:rPr>
                <w:rFonts w:eastAsia="Times New Roman" w:cs="Times New Roman"/>
                <w:b/>
                <w:bCs/>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06A5392" w14:textId="77777777" w:rsidR="006823D4" w:rsidRPr="006823D4" w:rsidRDefault="006823D4" w:rsidP="006823D4">
            <w:pPr>
              <w:spacing w:after="0" w:line="360" w:lineRule="auto"/>
              <w:rPr>
                <w:rFonts w:eastAsia="Times New Roman" w:cs="Times New Roman"/>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2A14BD77" w14:textId="77777777" w:rsidR="006823D4" w:rsidRPr="006823D4" w:rsidRDefault="006823D4" w:rsidP="006823D4">
            <w:pPr>
              <w:spacing w:after="0" w:line="360" w:lineRule="auto"/>
              <w:rPr>
                <w:rFonts w:eastAsia="Times New Roman" w:cs="Times New Roman"/>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78B54542" w14:textId="77777777" w:rsidR="006823D4" w:rsidRPr="006823D4" w:rsidRDefault="006823D4" w:rsidP="006823D4">
            <w:pPr>
              <w:spacing w:after="0" w:line="360" w:lineRule="auto"/>
              <w:jc w:val="both"/>
              <w:rPr>
                <w:rFonts w:eastAsia="Times New Roman" w:cs="Times New Roman"/>
                <w:szCs w:val="24"/>
                <w:lang w:eastAsia="es-CO"/>
              </w:rPr>
            </w:pPr>
            <w:r w:rsidRPr="006823D4">
              <w:rPr>
                <w:rFonts w:eastAsia="Times New Roman" w:cs="Times New Roman"/>
                <w:szCs w:val="24"/>
                <w:lang w:eastAsia="es-CO"/>
              </w:rPr>
              <w:t>Artículos (sic) </w:t>
            </w:r>
            <w:hyperlink r:id="rId4" w:tooltip="Estatuto Tributario CETA" w:history="1">
              <w:r w:rsidRPr="006823D4">
                <w:rPr>
                  <w:rFonts w:eastAsia="Times New Roman" w:cs="Times New Roman"/>
                  <w:color w:val="0089E1"/>
                  <w:szCs w:val="24"/>
                  <w:u w:val="single"/>
                  <w:lang w:eastAsia="es-CO"/>
                </w:rPr>
                <w:t>18</w:t>
              </w:r>
            </w:hyperlink>
            <w:r w:rsidRPr="006823D4">
              <w:rPr>
                <w:rFonts w:eastAsia="Times New Roman" w:cs="Times New Roman"/>
                <w:szCs w:val="24"/>
                <w:lang w:eastAsia="es-CO"/>
              </w:rPr>
              <w:t> del Estatuto Tributario.</w:t>
            </w:r>
          </w:p>
          <w:p w14:paraId="5D2EFCAC" w14:textId="77777777" w:rsidR="006823D4" w:rsidRPr="006823D4" w:rsidRDefault="006823D4" w:rsidP="006823D4">
            <w:pPr>
              <w:spacing w:after="0" w:line="360" w:lineRule="auto"/>
              <w:jc w:val="both"/>
              <w:rPr>
                <w:rFonts w:eastAsia="Times New Roman" w:cs="Times New Roman"/>
                <w:szCs w:val="24"/>
                <w:lang w:eastAsia="es-CO"/>
              </w:rPr>
            </w:pPr>
            <w:r w:rsidRPr="006823D4">
              <w:rPr>
                <w:rFonts w:eastAsia="Times New Roman" w:cs="Times New Roman"/>
                <w:szCs w:val="24"/>
                <w:lang w:eastAsia="es-CO"/>
              </w:rPr>
              <w:t>Artículos 1°, 8° y 21 de la Ley 6 de 1975.</w:t>
            </w:r>
          </w:p>
        </w:tc>
      </w:tr>
    </w:tbl>
    <w:p w14:paraId="118C40EE" w14:textId="77777777" w:rsidR="006823D4" w:rsidRPr="006823D4" w:rsidRDefault="006823D4" w:rsidP="006823D4">
      <w:pPr>
        <w:spacing w:after="0" w:line="360" w:lineRule="auto"/>
        <w:jc w:val="both"/>
        <w:rPr>
          <w:rFonts w:eastAsia="Times New Roman" w:cs="Times New Roman"/>
          <w:color w:val="000000"/>
          <w:szCs w:val="24"/>
          <w:lang w:eastAsia="es-CO"/>
        </w:rPr>
      </w:pPr>
      <w:r w:rsidRPr="006823D4">
        <w:rPr>
          <w:rFonts w:eastAsia="Times New Roman" w:cs="Times New Roman"/>
          <w:color w:val="000000"/>
          <w:szCs w:val="24"/>
          <w:lang w:eastAsia="es-CO"/>
        </w:rPr>
        <w:t> </w:t>
      </w:r>
    </w:p>
    <w:p w14:paraId="4CA3B3D1" w14:textId="77777777" w:rsidR="006823D4" w:rsidRPr="006823D4" w:rsidRDefault="006823D4" w:rsidP="006823D4">
      <w:pPr>
        <w:spacing w:after="0" w:line="360" w:lineRule="auto"/>
        <w:jc w:val="both"/>
        <w:rPr>
          <w:rFonts w:eastAsia="Times New Roman" w:cs="Times New Roman"/>
          <w:color w:val="000000"/>
          <w:szCs w:val="24"/>
          <w:lang w:eastAsia="es-CO"/>
        </w:rPr>
      </w:pPr>
      <w:r w:rsidRPr="006823D4">
        <w:rPr>
          <w:rFonts w:eastAsia="Times New Roman" w:cs="Times New Roman"/>
          <w:color w:val="000000"/>
          <w:szCs w:val="24"/>
          <w:lang w:eastAsia="es-CO"/>
        </w:rPr>
        <w:t> </w:t>
      </w:r>
    </w:p>
    <w:p w14:paraId="3F362C19" w14:textId="77777777" w:rsidR="006823D4" w:rsidRPr="006823D4" w:rsidRDefault="006823D4" w:rsidP="006823D4">
      <w:pPr>
        <w:spacing w:after="0" w:line="360" w:lineRule="auto"/>
        <w:jc w:val="both"/>
        <w:rPr>
          <w:rFonts w:eastAsia="Times New Roman" w:cs="Times New Roman"/>
          <w:color w:val="000000"/>
          <w:szCs w:val="24"/>
          <w:lang w:eastAsia="es-CO"/>
        </w:rPr>
      </w:pPr>
      <w:r w:rsidRPr="006823D4">
        <w:rPr>
          <w:rFonts w:eastAsia="Times New Roman" w:cs="Times New Roman"/>
          <w:color w:val="000000"/>
          <w:szCs w:val="24"/>
          <w:lang w:eastAsia="es-CO"/>
        </w:rPr>
        <w:t>Cordial saludo,</w:t>
      </w:r>
    </w:p>
    <w:p w14:paraId="1C468663" w14:textId="77777777" w:rsidR="006823D4" w:rsidRPr="006823D4" w:rsidRDefault="006823D4" w:rsidP="006823D4">
      <w:pPr>
        <w:spacing w:after="0" w:line="360" w:lineRule="auto"/>
        <w:jc w:val="both"/>
        <w:rPr>
          <w:rFonts w:eastAsia="Times New Roman" w:cs="Times New Roman"/>
          <w:color w:val="000000"/>
          <w:szCs w:val="24"/>
          <w:lang w:eastAsia="es-CO"/>
        </w:rPr>
      </w:pPr>
      <w:r w:rsidRPr="006823D4">
        <w:rPr>
          <w:rFonts w:eastAsia="Times New Roman" w:cs="Times New Roman"/>
          <w:color w:val="000000"/>
          <w:szCs w:val="24"/>
          <w:lang w:eastAsia="es-CO"/>
        </w:rPr>
        <w:t> </w:t>
      </w:r>
    </w:p>
    <w:p w14:paraId="589E4C7F" w14:textId="77777777" w:rsidR="006823D4" w:rsidRPr="006823D4" w:rsidRDefault="006823D4" w:rsidP="006823D4">
      <w:pPr>
        <w:spacing w:after="0" w:line="360" w:lineRule="auto"/>
        <w:jc w:val="both"/>
        <w:rPr>
          <w:rFonts w:eastAsia="Times New Roman" w:cs="Times New Roman"/>
          <w:color w:val="000000"/>
          <w:szCs w:val="24"/>
          <w:lang w:eastAsia="es-CO"/>
        </w:rPr>
      </w:pPr>
      <w:r w:rsidRPr="006823D4">
        <w:rPr>
          <w:rFonts w:eastAsia="Times New Roman" w:cs="Times New Roman"/>
          <w:color w:val="000000"/>
          <w:szCs w:val="24"/>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4BE97762" w14:textId="77777777" w:rsidR="006823D4" w:rsidRPr="006823D4" w:rsidRDefault="006823D4" w:rsidP="006823D4">
      <w:pPr>
        <w:spacing w:after="0" w:line="360" w:lineRule="auto"/>
        <w:jc w:val="both"/>
        <w:rPr>
          <w:rFonts w:eastAsia="Times New Roman" w:cs="Times New Roman"/>
          <w:color w:val="000000"/>
          <w:szCs w:val="24"/>
          <w:lang w:eastAsia="es-CO"/>
        </w:rPr>
      </w:pPr>
      <w:r w:rsidRPr="006823D4">
        <w:rPr>
          <w:rFonts w:eastAsia="Times New Roman" w:cs="Times New Roman"/>
          <w:color w:val="000000"/>
          <w:szCs w:val="24"/>
          <w:lang w:eastAsia="es-CO"/>
        </w:rPr>
        <w:t> </w:t>
      </w:r>
    </w:p>
    <w:p w14:paraId="5695BCDF" w14:textId="77777777" w:rsidR="006823D4" w:rsidRPr="006823D4" w:rsidRDefault="006823D4" w:rsidP="006823D4">
      <w:pPr>
        <w:spacing w:after="0" w:line="360" w:lineRule="auto"/>
        <w:jc w:val="both"/>
        <w:rPr>
          <w:rFonts w:eastAsia="Times New Roman" w:cs="Times New Roman"/>
          <w:color w:val="000000"/>
          <w:sz w:val="36"/>
          <w:szCs w:val="36"/>
          <w:lang w:eastAsia="es-CO"/>
        </w:rPr>
      </w:pPr>
      <w:r w:rsidRPr="006823D4">
        <w:rPr>
          <w:rFonts w:eastAsia="Times New Roman" w:cs="Times New Roman"/>
          <w:color w:val="000000"/>
          <w:sz w:val="36"/>
          <w:szCs w:val="36"/>
          <w:highlight w:val="green"/>
          <w:lang w:eastAsia="es-CO"/>
        </w:rPr>
        <w:t xml:space="preserve">Mediante el radicado de la referencia, la peticionaria consulta: ¿Cuáles son las obligaciones tributarias que genera un </w:t>
      </w:r>
      <w:r w:rsidRPr="006823D4">
        <w:rPr>
          <w:rFonts w:eastAsia="Times New Roman" w:cs="Times New Roman"/>
          <w:color w:val="000000"/>
          <w:sz w:val="36"/>
          <w:szCs w:val="36"/>
          <w:highlight w:val="yellow"/>
          <w:lang w:eastAsia="es-CO"/>
        </w:rPr>
        <w:t>contrato de aparcería?</w:t>
      </w:r>
    </w:p>
    <w:p w14:paraId="497BA1C9" w14:textId="77777777" w:rsidR="006823D4" w:rsidRPr="006823D4" w:rsidRDefault="006823D4" w:rsidP="006823D4">
      <w:pPr>
        <w:spacing w:after="0" w:line="360" w:lineRule="auto"/>
        <w:jc w:val="both"/>
        <w:rPr>
          <w:rFonts w:eastAsia="Times New Roman" w:cs="Times New Roman"/>
          <w:color w:val="000000"/>
          <w:szCs w:val="24"/>
          <w:lang w:eastAsia="es-CO"/>
        </w:rPr>
      </w:pPr>
      <w:r w:rsidRPr="006823D4">
        <w:rPr>
          <w:rFonts w:eastAsia="Times New Roman" w:cs="Times New Roman"/>
          <w:color w:val="000000"/>
          <w:szCs w:val="24"/>
          <w:lang w:eastAsia="es-CO"/>
        </w:rPr>
        <w:t> </w:t>
      </w:r>
    </w:p>
    <w:p w14:paraId="26FA6FA4" w14:textId="77777777" w:rsidR="006823D4" w:rsidRPr="006823D4" w:rsidRDefault="006823D4" w:rsidP="006823D4">
      <w:pPr>
        <w:spacing w:after="0" w:line="360" w:lineRule="auto"/>
        <w:jc w:val="both"/>
        <w:rPr>
          <w:rFonts w:eastAsia="Times New Roman" w:cs="Times New Roman"/>
          <w:color w:val="000000"/>
          <w:szCs w:val="24"/>
          <w:lang w:eastAsia="es-CO"/>
        </w:rPr>
      </w:pPr>
      <w:r w:rsidRPr="006823D4">
        <w:rPr>
          <w:rFonts w:eastAsia="Times New Roman" w:cs="Times New Roman"/>
          <w:color w:val="000000"/>
          <w:szCs w:val="24"/>
          <w:lang w:eastAsia="es-CO"/>
        </w:rPr>
        <w:t>Sobre el particular, las consideraciones de este Despacho son las siguientes:</w:t>
      </w:r>
    </w:p>
    <w:p w14:paraId="7099B553" w14:textId="77777777" w:rsidR="006823D4" w:rsidRPr="006823D4" w:rsidRDefault="006823D4" w:rsidP="006823D4">
      <w:pPr>
        <w:spacing w:after="0" w:line="360" w:lineRule="auto"/>
        <w:ind w:left="284"/>
        <w:jc w:val="both"/>
        <w:rPr>
          <w:rFonts w:eastAsia="Times New Roman" w:cs="Times New Roman"/>
          <w:color w:val="000000"/>
          <w:sz w:val="32"/>
          <w:szCs w:val="32"/>
          <w:lang w:eastAsia="es-CO"/>
        </w:rPr>
      </w:pPr>
      <w:r w:rsidRPr="006823D4">
        <w:rPr>
          <w:rFonts w:eastAsia="Times New Roman" w:cs="Times New Roman"/>
          <w:color w:val="000000"/>
          <w:sz w:val="32"/>
          <w:szCs w:val="32"/>
          <w:lang w:eastAsia="es-CO"/>
        </w:rPr>
        <w:t> </w:t>
      </w:r>
    </w:p>
    <w:p w14:paraId="53CE2DAF" w14:textId="77777777" w:rsidR="006823D4" w:rsidRPr="006823D4" w:rsidRDefault="006823D4" w:rsidP="006823D4">
      <w:pPr>
        <w:spacing w:after="0" w:line="360" w:lineRule="auto"/>
        <w:ind w:left="284"/>
        <w:jc w:val="both"/>
        <w:rPr>
          <w:rFonts w:eastAsia="Times New Roman" w:cs="Times New Roman"/>
          <w:color w:val="000000"/>
          <w:sz w:val="32"/>
          <w:szCs w:val="32"/>
          <w:highlight w:val="green"/>
          <w:lang w:eastAsia="es-CO"/>
        </w:rPr>
      </w:pPr>
      <w:r w:rsidRPr="006823D4">
        <w:rPr>
          <w:rFonts w:eastAsia="Times New Roman" w:cs="Times New Roman"/>
          <w:b/>
          <w:bCs/>
          <w:color w:val="000000"/>
          <w:sz w:val="32"/>
          <w:szCs w:val="32"/>
          <w:highlight w:val="green"/>
          <w:lang w:eastAsia="es-CO"/>
        </w:rPr>
        <w:t>1. Sobre el contrato de aparcería y las obligaciones involucradas</w:t>
      </w:r>
    </w:p>
    <w:p w14:paraId="27BB6838" w14:textId="77777777" w:rsidR="006823D4" w:rsidRPr="006823D4" w:rsidRDefault="006823D4" w:rsidP="006823D4">
      <w:pPr>
        <w:spacing w:after="0" w:line="360" w:lineRule="auto"/>
        <w:jc w:val="both"/>
        <w:rPr>
          <w:rFonts w:eastAsia="Times New Roman" w:cs="Times New Roman"/>
          <w:color w:val="000000"/>
          <w:sz w:val="32"/>
          <w:szCs w:val="32"/>
          <w:highlight w:val="green"/>
          <w:lang w:eastAsia="es-CO"/>
        </w:rPr>
      </w:pPr>
      <w:r w:rsidRPr="006823D4">
        <w:rPr>
          <w:rFonts w:eastAsia="Times New Roman" w:cs="Times New Roman"/>
          <w:color w:val="000000"/>
          <w:sz w:val="32"/>
          <w:szCs w:val="32"/>
          <w:highlight w:val="green"/>
          <w:lang w:eastAsia="es-CO"/>
        </w:rPr>
        <w:t> </w:t>
      </w:r>
    </w:p>
    <w:p w14:paraId="5B99F76C" w14:textId="77777777" w:rsidR="006823D4" w:rsidRPr="006823D4" w:rsidRDefault="006823D4" w:rsidP="006823D4">
      <w:pPr>
        <w:spacing w:after="0" w:line="360" w:lineRule="auto"/>
        <w:jc w:val="both"/>
        <w:rPr>
          <w:rFonts w:eastAsia="Times New Roman" w:cs="Times New Roman"/>
          <w:color w:val="000000"/>
          <w:sz w:val="32"/>
          <w:szCs w:val="32"/>
          <w:lang w:eastAsia="es-CO"/>
        </w:rPr>
      </w:pPr>
      <w:r w:rsidRPr="006823D4">
        <w:rPr>
          <w:rFonts w:eastAsia="Times New Roman" w:cs="Times New Roman"/>
          <w:color w:val="000000"/>
          <w:sz w:val="32"/>
          <w:szCs w:val="32"/>
          <w:highlight w:val="green"/>
          <w:lang w:eastAsia="es-CO"/>
        </w:rPr>
        <w:t>De acuerdo con el artículo 1º de la Ley 6 de 1975, mediante este contrato una parte (propietario) acuerda con otra (aparcero) </w:t>
      </w:r>
      <w:r w:rsidRPr="006823D4">
        <w:rPr>
          <w:rFonts w:eastAsia="Times New Roman" w:cs="Times New Roman"/>
          <w:i/>
          <w:iCs/>
          <w:color w:val="000000"/>
          <w:sz w:val="32"/>
          <w:szCs w:val="32"/>
          <w:highlight w:val="green"/>
          <w:lang w:eastAsia="es-CO"/>
        </w:rPr>
        <w:t>“</w:t>
      </w:r>
      <w:r w:rsidRPr="006823D4">
        <w:rPr>
          <w:rFonts w:eastAsia="Times New Roman" w:cs="Times New Roman"/>
          <w:i/>
          <w:iCs/>
          <w:color w:val="000000"/>
          <w:sz w:val="32"/>
          <w:szCs w:val="32"/>
          <w:highlight w:val="green"/>
          <w:u w:val="single"/>
          <w:lang w:eastAsia="es-CO"/>
        </w:rPr>
        <w:t xml:space="preserve">explotar en mutua </w:t>
      </w:r>
      <w:r w:rsidRPr="006823D4">
        <w:rPr>
          <w:rFonts w:eastAsia="Times New Roman" w:cs="Times New Roman"/>
          <w:i/>
          <w:iCs/>
          <w:color w:val="000000"/>
          <w:sz w:val="32"/>
          <w:szCs w:val="32"/>
          <w:highlight w:val="green"/>
          <w:u w:val="single"/>
          <w:lang w:eastAsia="es-CO"/>
        </w:rPr>
        <w:lastRenderedPageBreak/>
        <w:t>colaboración</w:t>
      </w:r>
      <w:r w:rsidRPr="006823D4">
        <w:rPr>
          <w:rFonts w:eastAsia="Times New Roman" w:cs="Times New Roman"/>
          <w:i/>
          <w:iCs/>
          <w:color w:val="000000"/>
          <w:sz w:val="32"/>
          <w:szCs w:val="32"/>
          <w:highlight w:val="green"/>
          <w:lang w:eastAsia="es-CO"/>
        </w:rPr>
        <w:t> un fundo rural o una porción de este con el fin de repartirse entre sí los frutos o utilidades que resulten de la explotación” </w:t>
      </w:r>
      <w:r w:rsidRPr="006823D4">
        <w:rPr>
          <w:rFonts w:eastAsia="Times New Roman" w:cs="Times New Roman"/>
          <w:color w:val="000000"/>
          <w:sz w:val="32"/>
          <w:szCs w:val="32"/>
          <w:highlight w:val="green"/>
          <w:lang w:eastAsia="es-CO"/>
        </w:rPr>
        <w:t>(subrayado fuera de texto).</w:t>
      </w:r>
    </w:p>
    <w:p w14:paraId="3CB5C439" w14:textId="77777777" w:rsidR="006823D4" w:rsidRPr="006823D4" w:rsidRDefault="006823D4" w:rsidP="006823D4">
      <w:pPr>
        <w:spacing w:after="0" w:line="360" w:lineRule="auto"/>
        <w:jc w:val="both"/>
        <w:rPr>
          <w:rFonts w:eastAsia="Times New Roman" w:cs="Times New Roman"/>
          <w:color w:val="000000"/>
          <w:szCs w:val="24"/>
          <w:lang w:eastAsia="es-CO"/>
        </w:rPr>
      </w:pPr>
      <w:r w:rsidRPr="006823D4">
        <w:rPr>
          <w:rFonts w:eastAsia="Times New Roman" w:cs="Times New Roman"/>
          <w:color w:val="000000"/>
          <w:szCs w:val="24"/>
          <w:lang w:eastAsia="es-CO"/>
        </w:rPr>
        <w:t> </w:t>
      </w:r>
    </w:p>
    <w:p w14:paraId="24359E51" w14:textId="77777777" w:rsidR="006823D4" w:rsidRPr="006823D4" w:rsidRDefault="006823D4" w:rsidP="006823D4">
      <w:pPr>
        <w:spacing w:after="0" w:line="360" w:lineRule="auto"/>
        <w:jc w:val="both"/>
        <w:rPr>
          <w:rFonts w:eastAsia="Times New Roman" w:cs="Times New Roman"/>
          <w:color w:val="000000"/>
          <w:sz w:val="32"/>
          <w:szCs w:val="32"/>
          <w:highlight w:val="green"/>
          <w:lang w:eastAsia="es-CO"/>
        </w:rPr>
      </w:pPr>
      <w:r w:rsidRPr="006823D4">
        <w:rPr>
          <w:rFonts w:eastAsia="Times New Roman" w:cs="Times New Roman"/>
          <w:color w:val="000000"/>
          <w:sz w:val="32"/>
          <w:szCs w:val="32"/>
          <w:highlight w:val="green"/>
          <w:lang w:eastAsia="es-CO"/>
        </w:rPr>
        <w:t>La citada disposición señala, asimismo, las obligaciones a las que se encuentran sujetas las partes intervinientes, así:</w:t>
      </w:r>
    </w:p>
    <w:p w14:paraId="38075A93" w14:textId="77777777" w:rsidR="006823D4" w:rsidRPr="006823D4" w:rsidRDefault="006823D4" w:rsidP="006823D4">
      <w:pPr>
        <w:spacing w:after="0" w:line="360" w:lineRule="auto"/>
        <w:ind w:left="284"/>
        <w:jc w:val="both"/>
        <w:rPr>
          <w:rFonts w:eastAsia="Times New Roman" w:cs="Times New Roman"/>
          <w:color w:val="000000"/>
          <w:sz w:val="32"/>
          <w:szCs w:val="32"/>
          <w:highlight w:val="green"/>
          <w:lang w:eastAsia="es-CO"/>
        </w:rPr>
      </w:pPr>
      <w:r w:rsidRPr="006823D4">
        <w:rPr>
          <w:rFonts w:eastAsia="Times New Roman" w:cs="Times New Roman"/>
          <w:color w:val="000000"/>
          <w:sz w:val="32"/>
          <w:szCs w:val="32"/>
          <w:highlight w:val="green"/>
          <w:lang w:eastAsia="es-CO"/>
        </w:rPr>
        <w:t> </w:t>
      </w:r>
    </w:p>
    <w:p w14:paraId="0D2A8861" w14:textId="77777777" w:rsidR="006823D4" w:rsidRPr="006823D4" w:rsidRDefault="006823D4" w:rsidP="006823D4">
      <w:pPr>
        <w:spacing w:after="0" w:line="360" w:lineRule="auto"/>
        <w:ind w:left="284"/>
        <w:jc w:val="both"/>
        <w:rPr>
          <w:rFonts w:eastAsia="Times New Roman" w:cs="Times New Roman"/>
          <w:color w:val="000000"/>
          <w:sz w:val="32"/>
          <w:szCs w:val="32"/>
          <w:lang w:eastAsia="es-CO"/>
        </w:rPr>
      </w:pPr>
      <w:r w:rsidRPr="006823D4">
        <w:rPr>
          <w:rFonts w:eastAsia="Times New Roman" w:cs="Times New Roman"/>
          <w:i/>
          <w:iCs/>
          <w:color w:val="000000"/>
          <w:sz w:val="32"/>
          <w:szCs w:val="32"/>
          <w:highlight w:val="green"/>
          <w:lang w:eastAsia="es-CO"/>
        </w:rPr>
        <w:t>“1º. Son obligaciones del propietario:</w:t>
      </w:r>
    </w:p>
    <w:p w14:paraId="33BEB5F3" w14:textId="77777777" w:rsidR="006823D4" w:rsidRPr="006823D4" w:rsidRDefault="006823D4" w:rsidP="006823D4">
      <w:pPr>
        <w:spacing w:after="0" w:line="360" w:lineRule="auto"/>
        <w:ind w:left="284"/>
        <w:jc w:val="both"/>
        <w:rPr>
          <w:rFonts w:eastAsia="Times New Roman" w:cs="Times New Roman"/>
          <w:color w:val="000000"/>
          <w:szCs w:val="24"/>
          <w:lang w:eastAsia="es-CO"/>
        </w:rPr>
      </w:pPr>
      <w:r w:rsidRPr="006823D4">
        <w:rPr>
          <w:rFonts w:eastAsia="Times New Roman" w:cs="Times New Roman"/>
          <w:color w:val="000000"/>
          <w:szCs w:val="24"/>
          <w:lang w:eastAsia="es-CO"/>
        </w:rPr>
        <w:t> </w:t>
      </w:r>
    </w:p>
    <w:p w14:paraId="3656F469" w14:textId="77777777" w:rsidR="006823D4" w:rsidRPr="006823D4" w:rsidRDefault="006823D4" w:rsidP="006823D4">
      <w:pPr>
        <w:spacing w:after="0" w:line="360" w:lineRule="auto"/>
        <w:ind w:left="284"/>
        <w:jc w:val="both"/>
        <w:rPr>
          <w:rFonts w:eastAsia="Times New Roman" w:cs="Times New Roman"/>
          <w:color w:val="000000"/>
          <w:szCs w:val="24"/>
          <w:lang w:eastAsia="es-CO"/>
        </w:rPr>
      </w:pPr>
      <w:r w:rsidRPr="006823D4">
        <w:rPr>
          <w:rFonts w:eastAsia="Times New Roman" w:cs="Times New Roman"/>
          <w:i/>
          <w:iCs/>
          <w:color w:val="000000"/>
          <w:szCs w:val="24"/>
          <w:lang w:eastAsia="es-CO"/>
        </w:rPr>
        <w:t>a) Aportar en los plazos acordados las sumas de dinero necesarias para atender los gastos que demande la explotación, tales como compra de semillas, siembras y renovación de plantaciones, abonos, insecticidas, fungicidas, herramientas, utensilios de labranza, beneficio y transporte de los productos y contratación de mano de obra de terceros cuando sea indispensable. El suministro podrá también ser en especie cuando así lo convengan los contratantes.</w:t>
      </w:r>
    </w:p>
    <w:p w14:paraId="40EB1E69" w14:textId="77777777" w:rsidR="006823D4" w:rsidRPr="006823D4" w:rsidRDefault="006823D4" w:rsidP="006823D4">
      <w:pPr>
        <w:spacing w:after="0" w:line="360" w:lineRule="auto"/>
        <w:ind w:left="284"/>
        <w:jc w:val="both"/>
        <w:rPr>
          <w:rFonts w:eastAsia="Times New Roman" w:cs="Times New Roman"/>
          <w:color w:val="000000"/>
          <w:szCs w:val="24"/>
          <w:lang w:eastAsia="es-CO"/>
        </w:rPr>
      </w:pPr>
      <w:r w:rsidRPr="006823D4">
        <w:rPr>
          <w:rFonts w:eastAsia="Times New Roman" w:cs="Times New Roman"/>
          <w:i/>
          <w:iCs/>
          <w:color w:val="000000"/>
          <w:szCs w:val="24"/>
          <w:lang w:eastAsia="es-CO"/>
        </w:rPr>
        <w:t>b) </w:t>
      </w:r>
      <w:r w:rsidRPr="006823D4">
        <w:rPr>
          <w:rFonts w:eastAsia="Times New Roman" w:cs="Times New Roman"/>
          <w:i/>
          <w:iCs/>
          <w:color w:val="000000"/>
          <w:szCs w:val="24"/>
          <w:u w:val="single"/>
          <w:lang w:eastAsia="es-CO"/>
        </w:rPr>
        <w:t>Suministrar al aparcero en calidad de anticipo, imputable a la parte que a este le corresponda en el reparto de utilidades, sumas no inferiores al salario mínimo legal</w:t>
      </w:r>
      <w:r w:rsidRPr="006823D4">
        <w:rPr>
          <w:rFonts w:eastAsia="Times New Roman" w:cs="Times New Roman"/>
          <w:i/>
          <w:iCs/>
          <w:color w:val="000000"/>
          <w:szCs w:val="24"/>
          <w:lang w:eastAsia="es-CO"/>
        </w:rPr>
        <w:t> por cada día de trabajo en el cultivo y recolección de la cosecha. Si en esta no se produjeren utilidades </w:t>
      </w:r>
      <w:r w:rsidRPr="006823D4">
        <w:rPr>
          <w:rFonts w:eastAsia="Times New Roman" w:cs="Times New Roman"/>
          <w:i/>
          <w:iCs/>
          <w:color w:val="000000"/>
          <w:szCs w:val="24"/>
          <w:u w:val="single"/>
          <w:lang w:eastAsia="es-CO"/>
        </w:rPr>
        <w:t xml:space="preserve">por causas no imputables al aparcero, el anticipo recibido por </w:t>
      </w:r>
      <w:proofErr w:type="gramStart"/>
      <w:r w:rsidRPr="006823D4">
        <w:rPr>
          <w:rFonts w:eastAsia="Times New Roman" w:cs="Times New Roman"/>
          <w:i/>
          <w:iCs/>
          <w:color w:val="000000"/>
          <w:szCs w:val="24"/>
          <w:u w:val="single"/>
          <w:lang w:eastAsia="es-CO"/>
        </w:rPr>
        <w:t>este,</w:t>
      </w:r>
      <w:proofErr w:type="gramEnd"/>
      <w:r w:rsidRPr="006823D4">
        <w:rPr>
          <w:rFonts w:eastAsia="Times New Roman" w:cs="Times New Roman"/>
          <w:i/>
          <w:iCs/>
          <w:color w:val="000000"/>
          <w:szCs w:val="24"/>
          <w:u w:val="single"/>
          <w:lang w:eastAsia="es-CO"/>
        </w:rPr>
        <w:t xml:space="preserve"> no estará sujeto a devolución</w:t>
      </w:r>
      <w:r w:rsidRPr="006823D4">
        <w:rPr>
          <w:rFonts w:eastAsia="Times New Roman" w:cs="Times New Roman"/>
          <w:i/>
          <w:iCs/>
          <w:color w:val="000000"/>
          <w:szCs w:val="24"/>
          <w:lang w:eastAsia="es-CO"/>
        </w:rPr>
        <w:t>. En ningún caso dicha remuneración configurará contrato de trabajo entre las partes.</w:t>
      </w:r>
    </w:p>
    <w:p w14:paraId="16FA79D0" w14:textId="77777777" w:rsidR="006823D4" w:rsidRPr="006823D4" w:rsidRDefault="006823D4" w:rsidP="006823D4">
      <w:pPr>
        <w:spacing w:after="0" w:line="360" w:lineRule="auto"/>
        <w:jc w:val="both"/>
        <w:rPr>
          <w:rFonts w:eastAsia="Times New Roman" w:cs="Times New Roman"/>
          <w:color w:val="000000"/>
          <w:sz w:val="32"/>
          <w:szCs w:val="32"/>
          <w:lang w:eastAsia="es-CO"/>
        </w:rPr>
      </w:pPr>
      <w:r w:rsidRPr="006823D4">
        <w:rPr>
          <w:rFonts w:eastAsia="Times New Roman" w:cs="Times New Roman"/>
          <w:color w:val="000000"/>
          <w:sz w:val="32"/>
          <w:szCs w:val="32"/>
          <w:lang w:eastAsia="es-CO"/>
        </w:rPr>
        <w:t> </w:t>
      </w:r>
    </w:p>
    <w:p w14:paraId="221FE7F9" w14:textId="77777777" w:rsidR="006823D4" w:rsidRPr="006823D4" w:rsidRDefault="006823D4" w:rsidP="006823D4">
      <w:pPr>
        <w:spacing w:after="0" w:line="360" w:lineRule="auto"/>
        <w:jc w:val="both"/>
        <w:rPr>
          <w:rFonts w:eastAsia="Times New Roman" w:cs="Times New Roman"/>
          <w:color w:val="000000"/>
          <w:sz w:val="32"/>
          <w:szCs w:val="32"/>
          <w:highlight w:val="green"/>
          <w:lang w:eastAsia="es-CO"/>
        </w:rPr>
      </w:pPr>
      <w:r w:rsidRPr="006823D4">
        <w:rPr>
          <w:rFonts w:eastAsia="Times New Roman" w:cs="Times New Roman"/>
          <w:color w:val="000000"/>
          <w:sz w:val="32"/>
          <w:szCs w:val="32"/>
          <w:highlight w:val="green"/>
          <w:lang w:eastAsia="es-CO"/>
        </w:rPr>
        <w:t>Adicionalmente, el artículo 2.14.5.3.1 del Decreto 1071 de 2015 establece, como una de las obligaciones de la parte que suministra la parcela, </w:t>
      </w:r>
      <w:r w:rsidRPr="006823D4">
        <w:rPr>
          <w:rFonts w:eastAsia="Times New Roman" w:cs="Times New Roman"/>
          <w:i/>
          <w:iCs/>
          <w:color w:val="000000"/>
          <w:sz w:val="32"/>
          <w:szCs w:val="32"/>
          <w:highlight w:val="green"/>
          <w:lang w:eastAsia="es-CO"/>
        </w:rPr>
        <w:t>“Remunerar al aparcero, con sujeción a las normas sobre el salario mínimo legal, </w:t>
      </w:r>
      <w:r w:rsidRPr="006823D4">
        <w:rPr>
          <w:rFonts w:eastAsia="Times New Roman" w:cs="Times New Roman"/>
          <w:i/>
          <w:iCs/>
          <w:color w:val="000000"/>
          <w:sz w:val="32"/>
          <w:szCs w:val="32"/>
          <w:highlight w:val="green"/>
          <w:u w:val="single"/>
          <w:lang w:eastAsia="es-CO"/>
        </w:rPr>
        <w:t>los servicios personales que este preste a quien suministra la parcela, diferentes a los que correspondan a la ejecución del contrato a que se refiere el presente título.</w:t>
      </w:r>
      <w:r w:rsidRPr="006823D4">
        <w:rPr>
          <w:rFonts w:eastAsia="Times New Roman" w:cs="Times New Roman"/>
          <w:i/>
          <w:iCs/>
          <w:color w:val="000000"/>
          <w:sz w:val="32"/>
          <w:szCs w:val="32"/>
          <w:highlight w:val="green"/>
          <w:lang w:eastAsia="es-CO"/>
        </w:rPr>
        <w:t>”</w:t>
      </w:r>
    </w:p>
    <w:p w14:paraId="3D12F2E8" w14:textId="77777777" w:rsidR="006823D4" w:rsidRPr="006823D4" w:rsidRDefault="006823D4" w:rsidP="006823D4">
      <w:pPr>
        <w:spacing w:after="0" w:line="360" w:lineRule="auto"/>
        <w:jc w:val="both"/>
        <w:rPr>
          <w:rFonts w:eastAsia="Times New Roman" w:cs="Times New Roman"/>
          <w:color w:val="000000"/>
          <w:sz w:val="32"/>
          <w:szCs w:val="32"/>
          <w:highlight w:val="green"/>
          <w:lang w:eastAsia="es-CO"/>
        </w:rPr>
      </w:pPr>
      <w:r w:rsidRPr="006823D4">
        <w:rPr>
          <w:rFonts w:eastAsia="Times New Roman" w:cs="Times New Roman"/>
          <w:color w:val="000000"/>
          <w:sz w:val="32"/>
          <w:szCs w:val="32"/>
          <w:highlight w:val="green"/>
          <w:lang w:eastAsia="es-CO"/>
        </w:rPr>
        <w:t> </w:t>
      </w:r>
    </w:p>
    <w:p w14:paraId="1AFD71A5" w14:textId="77777777" w:rsidR="006823D4" w:rsidRPr="006823D4" w:rsidRDefault="006823D4" w:rsidP="006823D4">
      <w:pPr>
        <w:spacing w:after="0" w:line="360" w:lineRule="auto"/>
        <w:jc w:val="both"/>
        <w:rPr>
          <w:rFonts w:eastAsia="Times New Roman" w:cs="Times New Roman"/>
          <w:color w:val="000000"/>
          <w:sz w:val="32"/>
          <w:szCs w:val="32"/>
          <w:highlight w:val="green"/>
          <w:lang w:eastAsia="es-CO"/>
        </w:rPr>
      </w:pPr>
      <w:r w:rsidRPr="006823D4">
        <w:rPr>
          <w:rFonts w:eastAsia="Times New Roman" w:cs="Times New Roman"/>
          <w:color w:val="000000"/>
          <w:sz w:val="32"/>
          <w:szCs w:val="32"/>
          <w:highlight w:val="green"/>
          <w:lang w:eastAsia="es-CO"/>
        </w:rPr>
        <w:t>Respecto al aparcero, la Ley 6 de 1975 señala:</w:t>
      </w:r>
    </w:p>
    <w:p w14:paraId="07FD85BC" w14:textId="77777777" w:rsidR="006823D4" w:rsidRPr="006823D4" w:rsidRDefault="006823D4" w:rsidP="006823D4">
      <w:pPr>
        <w:spacing w:after="0" w:line="360" w:lineRule="auto"/>
        <w:ind w:left="284"/>
        <w:jc w:val="both"/>
        <w:rPr>
          <w:rFonts w:eastAsia="Times New Roman" w:cs="Times New Roman"/>
          <w:color w:val="000000"/>
          <w:sz w:val="32"/>
          <w:szCs w:val="32"/>
          <w:highlight w:val="green"/>
          <w:lang w:eastAsia="es-CO"/>
        </w:rPr>
      </w:pPr>
      <w:r w:rsidRPr="006823D4">
        <w:rPr>
          <w:rFonts w:eastAsia="Times New Roman" w:cs="Times New Roman"/>
          <w:color w:val="000000"/>
          <w:sz w:val="32"/>
          <w:szCs w:val="32"/>
          <w:highlight w:val="green"/>
          <w:lang w:eastAsia="es-CO"/>
        </w:rPr>
        <w:t> </w:t>
      </w:r>
    </w:p>
    <w:p w14:paraId="24003904" w14:textId="77777777" w:rsidR="006823D4" w:rsidRPr="006823D4" w:rsidRDefault="006823D4" w:rsidP="006823D4">
      <w:pPr>
        <w:spacing w:after="0" w:line="360" w:lineRule="auto"/>
        <w:ind w:left="284"/>
        <w:jc w:val="both"/>
        <w:rPr>
          <w:rFonts w:eastAsia="Times New Roman" w:cs="Times New Roman"/>
          <w:color w:val="000000"/>
          <w:sz w:val="32"/>
          <w:szCs w:val="32"/>
          <w:lang w:eastAsia="es-CO"/>
        </w:rPr>
      </w:pPr>
      <w:r w:rsidRPr="006823D4">
        <w:rPr>
          <w:rFonts w:eastAsia="Times New Roman" w:cs="Times New Roman"/>
          <w:i/>
          <w:iCs/>
          <w:color w:val="000000"/>
          <w:sz w:val="32"/>
          <w:szCs w:val="32"/>
          <w:highlight w:val="green"/>
          <w:lang w:eastAsia="es-CO"/>
        </w:rPr>
        <w:t>2º. Son obligaciones del aparcero:</w:t>
      </w:r>
    </w:p>
    <w:p w14:paraId="37981F60" w14:textId="77777777" w:rsidR="006823D4" w:rsidRPr="006823D4" w:rsidRDefault="006823D4" w:rsidP="006823D4">
      <w:pPr>
        <w:spacing w:after="0" w:line="360" w:lineRule="auto"/>
        <w:ind w:left="284"/>
        <w:jc w:val="both"/>
        <w:rPr>
          <w:rFonts w:eastAsia="Times New Roman" w:cs="Times New Roman"/>
          <w:color w:val="000000"/>
          <w:szCs w:val="24"/>
          <w:lang w:eastAsia="es-CO"/>
        </w:rPr>
      </w:pPr>
      <w:r w:rsidRPr="006823D4">
        <w:rPr>
          <w:rFonts w:eastAsia="Times New Roman" w:cs="Times New Roman"/>
          <w:color w:val="000000"/>
          <w:szCs w:val="24"/>
          <w:lang w:eastAsia="es-CO"/>
        </w:rPr>
        <w:t> </w:t>
      </w:r>
    </w:p>
    <w:p w14:paraId="61F8864E" w14:textId="77777777" w:rsidR="006823D4" w:rsidRPr="006823D4" w:rsidRDefault="006823D4" w:rsidP="006823D4">
      <w:pPr>
        <w:spacing w:after="0" w:line="360" w:lineRule="auto"/>
        <w:ind w:left="284"/>
        <w:jc w:val="both"/>
        <w:rPr>
          <w:rFonts w:eastAsia="Times New Roman" w:cs="Times New Roman"/>
          <w:color w:val="000000"/>
          <w:szCs w:val="24"/>
          <w:lang w:eastAsia="es-CO"/>
        </w:rPr>
      </w:pPr>
      <w:r w:rsidRPr="006823D4">
        <w:rPr>
          <w:rFonts w:eastAsia="Times New Roman" w:cs="Times New Roman"/>
          <w:i/>
          <w:iCs/>
          <w:color w:val="000000"/>
          <w:szCs w:val="24"/>
          <w:lang w:eastAsia="es-CO"/>
        </w:rPr>
        <w:lastRenderedPageBreak/>
        <w:t>a) Adelantar personalmente las labores de cultivo del fundo, además de las propias de dirección, administración, conservación y manejo de las plantaciones y productos.</w:t>
      </w:r>
    </w:p>
    <w:p w14:paraId="164555C6" w14:textId="77777777" w:rsidR="006823D4" w:rsidRPr="006823D4" w:rsidRDefault="006823D4" w:rsidP="006823D4">
      <w:pPr>
        <w:spacing w:after="0" w:line="360" w:lineRule="auto"/>
        <w:ind w:left="284"/>
        <w:jc w:val="both"/>
        <w:rPr>
          <w:rFonts w:eastAsia="Times New Roman" w:cs="Times New Roman"/>
          <w:color w:val="000000"/>
          <w:szCs w:val="24"/>
          <w:lang w:eastAsia="es-CO"/>
        </w:rPr>
      </w:pPr>
      <w:r w:rsidRPr="006823D4">
        <w:rPr>
          <w:rFonts w:eastAsia="Times New Roman" w:cs="Times New Roman"/>
          <w:i/>
          <w:iCs/>
          <w:color w:val="000000"/>
          <w:szCs w:val="24"/>
          <w:lang w:eastAsia="es-CO"/>
        </w:rPr>
        <w:t>b) Observar en la explotación las normas y prácticas sobre conservación de los recursos naturales renovables.” </w:t>
      </w:r>
      <w:r w:rsidRPr="006823D4">
        <w:rPr>
          <w:rFonts w:eastAsia="Times New Roman" w:cs="Times New Roman"/>
          <w:color w:val="000000"/>
          <w:szCs w:val="24"/>
          <w:lang w:eastAsia="es-CO"/>
        </w:rPr>
        <w:t>(subrayado fuera del texto).</w:t>
      </w:r>
    </w:p>
    <w:p w14:paraId="7CF854EF" w14:textId="77777777" w:rsidR="006823D4" w:rsidRPr="006823D4" w:rsidRDefault="006823D4" w:rsidP="006823D4">
      <w:pPr>
        <w:spacing w:after="0" w:line="360" w:lineRule="auto"/>
        <w:jc w:val="both"/>
        <w:rPr>
          <w:rFonts w:eastAsia="Times New Roman" w:cs="Times New Roman"/>
          <w:color w:val="000000"/>
          <w:szCs w:val="24"/>
          <w:lang w:eastAsia="es-CO"/>
        </w:rPr>
      </w:pPr>
      <w:r w:rsidRPr="006823D4">
        <w:rPr>
          <w:rFonts w:eastAsia="Times New Roman" w:cs="Times New Roman"/>
          <w:color w:val="000000"/>
          <w:szCs w:val="24"/>
          <w:lang w:eastAsia="es-CO"/>
        </w:rPr>
        <w:t> </w:t>
      </w:r>
    </w:p>
    <w:p w14:paraId="5DDF4404" w14:textId="77777777" w:rsidR="006823D4" w:rsidRPr="006823D4" w:rsidRDefault="006823D4" w:rsidP="006823D4">
      <w:pPr>
        <w:spacing w:after="0" w:line="360" w:lineRule="auto"/>
        <w:jc w:val="both"/>
        <w:rPr>
          <w:rFonts w:eastAsia="Times New Roman" w:cs="Times New Roman"/>
          <w:color w:val="000000"/>
          <w:szCs w:val="24"/>
          <w:highlight w:val="green"/>
          <w:lang w:eastAsia="es-CO"/>
        </w:rPr>
      </w:pPr>
      <w:r w:rsidRPr="006823D4">
        <w:rPr>
          <w:rFonts w:eastAsia="Times New Roman" w:cs="Times New Roman"/>
          <w:color w:val="000000"/>
          <w:szCs w:val="24"/>
          <w:highlight w:val="green"/>
          <w:lang w:eastAsia="es-CO"/>
        </w:rPr>
        <w:t>El artículo 8° </w:t>
      </w:r>
      <w:proofErr w:type="spellStart"/>
      <w:r w:rsidRPr="006823D4">
        <w:rPr>
          <w:rFonts w:eastAsia="Times New Roman" w:cs="Times New Roman"/>
          <w:i/>
          <w:iCs/>
          <w:color w:val="000000"/>
          <w:szCs w:val="24"/>
          <w:highlight w:val="green"/>
          <w:lang w:eastAsia="es-CO"/>
        </w:rPr>
        <w:t>ibídem</w:t>
      </w:r>
      <w:proofErr w:type="spellEnd"/>
      <w:r w:rsidRPr="006823D4">
        <w:rPr>
          <w:rFonts w:eastAsia="Times New Roman" w:cs="Times New Roman"/>
          <w:i/>
          <w:iCs/>
          <w:color w:val="000000"/>
          <w:szCs w:val="24"/>
          <w:highlight w:val="green"/>
          <w:lang w:eastAsia="es-CO"/>
        </w:rPr>
        <w:t> </w:t>
      </w:r>
      <w:r w:rsidRPr="006823D4">
        <w:rPr>
          <w:rFonts w:eastAsia="Times New Roman" w:cs="Times New Roman"/>
          <w:color w:val="000000"/>
          <w:szCs w:val="24"/>
          <w:highlight w:val="green"/>
          <w:lang w:eastAsia="es-CO"/>
        </w:rPr>
        <w:t>señala por su parte:</w:t>
      </w:r>
    </w:p>
    <w:p w14:paraId="59413C92" w14:textId="77777777" w:rsidR="006823D4" w:rsidRPr="006823D4" w:rsidRDefault="006823D4" w:rsidP="006823D4">
      <w:pPr>
        <w:spacing w:after="0" w:line="360" w:lineRule="auto"/>
        <w:ind w:left="284"/>
        <w:jc w:val="both"/>
        <w:rPr>
          <w:rFonts w:eastAsia="Times New Roman" w:cs="Times New Roman"/>
          <w:color w:val="000000"/>
          <w:szCs w:val="24"/>
          <w:highlight w:val="green"/>
          <w:lang w:eastAsia="es-CO"/>
        </w:rPr>
      </w:pPr>
      <w:r w:rsidRPr="006823D4">
        <w:rPr>
          <w:rFonts w:eastAsia="Times New Roman" w:cs="Times New Roman"/>
          <w:color w:val="000000"/>
          <w:szCs w:val="24"/>
          <w:highlight w:val="green"/>
          <w:lang w:eastAsia="es-CO"/>
        </w:rPr>
        <w:t> </w:t>
      </w:r>
    </w:p>
    <w:p w14:paraId="36BD9531" w14:textId="77777777" w:rsidR="006823D4" w:rsidRPr="006823D4" w:rsidRDefault="006823D4" w:rsidP="006823D4">
      <w:pPr>
        <w:spacing w:after="0" w:line="360" w:lineRule="auto"/>
        <w:ind w:left="284"/>
        <w:jc w:val="both"/>
        <w:rPr>
          <w:rFonts w:eastAsia="Times New Roman" w:cs="Times New Roman"/>
          <w:color w:val="000000"/>
          <w:szCs w:val="24"/>
          <w:lang w:eastAsia="es-CO"/>
        </w:rPr>
      </w:pPr>
      <w:r w:rsidRPr="006823D4">
        <w:rPr>
          <w:rFonts w:eastAsia="Times New Roman" w:cs="Times New Roman"/>
          <w:i/>
          <w:iCs/>
          <w:color w:val="000000"/>
          <w:szCs w:val="24"/>
          <w:highlight w:val="green"/>
          <w:lang w:eastAsia="es-CO"/>
        </w:rPr>
        <w:t>“</w:t>
      </w:r>
      <w:r w:rsidRPr="006823D4">
        <w:rPr>
          <w:rFonts w:eastAsia="Times New Roman" w:cs="Times New Roman"/>
          <w:b/>
          <w:bCs/>
          <w:i/>
          <w:iCs/>
          <w:color w:val="000000"/>
          <w:szCs w:val="24"/>
          <w:highlight w:val="green"/>
          <w:lang w:eastAsia="es-CO"/>
        </w:rPr>
        <w:t>Artículo 8º.</w:t>
      </w:r>
      <w:r w:rsidRPr="006823D4">
        <w:rPr>
          <w:rFonts w:eastAsia="Times New Roman" w:cs="Times New Roman"/>
          <w:i/>
          <w:iCs/>
          <w:color w:val="000000"/>
          <w:szCs w:val="24"/>
          <w:highlight w:val="green"/>
          <w:lang w:eastAsia="es-CO"/>
        </w:rPr>
        <w:t> Para la distribución de utilidades entre el propietario y el aparcero, se seguirá el siguiente procedimiento: del precio de la cosecha, cuando hubiere sido vendida, o del valor asignado a la misma, cuando se distribuya en especie, se deducirá en primer término a favor del aparcero, lo que este hubiere invertido en insumos, y mano de obra de terceros, y luego a favor del propietario, </w:t>
      </w:r>
      <w:r w:rsidRPr="006823D4">
        <w:rPr>
          <w:rFonts w:eastAsia="Times New Roman" w:cs="Times New Roman"/>
          <w:i/>
          <w:iCs/>
          <w:color w:val="000000"/>
          <w:szCs w:val="24"/>
          <w:highlight w:val="green"/>
          <w:u w:val="single"/>
          <w:lang w:eastAsia="es-CO"/>
        </w:rPr>
        <w:t>los jornales</w:t>
      </w:r>
      <w:r w:rsidRPr="006823D4">
        <w:rPr>
          <w:rFonts w:eastAsia="Times New Roman" w:cs="Times New Roman"/>
          <w:i/>
          <w:iCs/>
          <w:color w:val="000000"/>
          <w:szCs w:val="24"/>
          <w:highlight w:val="green"/>
          <w:lang w:eastAsia="es-CO"/>
        </w:rPr>
        <w:t> que este hubiere pagado al aparcero y a terceros, y, en general, los gastos efectuados de acuerdo con el numeral 1) del artículo 1º. </w:t>
      </w:r>
      <w:r w:rsidRPr="006823D4">
        <w:rPr>
          <w:rFonts w:eastAsia="Times New Roman" w:cs="Times New Roman"/>
          <w:i/>
          <w:iCs/>
          <w:color w:val="000000"/>
          <w:szCs w:val="24"/>
          <w:highlight w:val="green"/>
          <w:u w:val="single"/>
          <w:lang w:eastAsia="es-CO"/>
        </w:rPr>
        <w:t>El remanente, si lo hubiere, se distribuirá entre el propietario y el aparcero conforme a los porcentajes que al efecto señale el Ministerio de Agricultura mediante resoluciones periódicas de carácter general</w:t>
      </w:r>
      <w:r w:rsidRPr="006823D4">
        <w:rPr>
          <w:rFonts w:eastAsia="Times New Roman" w:cs="Times New Roman"/>
          <w:i/>
          <w:iCs/>
          <w:color w:val="000000"/>
          <w:szCs w:val="24"/>
          <w:highlight w:val="green"/>
          <w:lang w:eastAsia="es-CO"/>
        </w:rPr>
        <w:t> (…)” </w:t>
      </w:r>
      <w:r w:rsidRPr="006823D4">
        <w:rPr>
          <w:rFonts w:eastAsia="Times New Roman" w:cs="Times New Roman"/>
          <w:color w:val="000000"/>
          <w:szCs w:val="24"/>
          <w:highlight w:val="green"/>
          <w:lang w:eastAsia="es-CO"/>
        </w:rPr>
        <w:t>(subrayado fuera de texto).</w:t>
      </w:r>
    </w:p>
    <w:p w14:paraId="22113EB6" w14:textId="77777777" w:rsidR="006823D4" w:rsidRPr="006823D4" w:rsidRDefault="006823D4" w:rsidP="006823D4">
      <w:pPr>
        <w:spacing w:after="0" w:line="360" w:lineRule="auto"/>
        <w:jc w:val="both"/>
        <w:rPr>
          <w:rFonts w:eastAsia="Times New Roman" w:cs="Times New Roman"/>
          <w:color w:val="000000"/>
          <w:szCs w:val="24"/>
          <w:lang w:eastAsia="es-CO"/>
        </w:rPr>
      </w:pPr>
      <w:r w:rsidRPr="006823D4">
        <w:rPr>
          <w:rFonts w:eastAsia="Times New Roman" w:cs="Times New Roman"/>
          <w:color w:val="000000"/>
          <w:szCs w:val="24"/>
          <w:lang w:eastAsia="es-CO"/>
        </w:rPr>
        <w:t> </w:t>
      </w:r>
    </w:p>
    <w:p w14:paraId="0A9F91A7" w14:textId="77777777" w:rsidR="006823D4" w:rsidRPr="006823D4" w:rsidRDefault="006823D4" w:rsidP="006823D4">
      <w:pPr>
        <w:spacing w:after="0" w:line="360" w:lineRule="auto"/>
        <w:jc w:val="both"/>
        <w:rPr>
          <w:rFonts w:eastAsia="Times New Roman" w:cs="Times New Roman"/>
          <w:color w:val="000000"/>
          <w:szCs w:val="24"/>
          <w:lang w:eastAsia="es-CO"/>
        </w:rPr>
      </w:pPr>
      <w:r w:rsidRPr="006823D4">
        <w:rPr>
          <w:rFonts w:eastAsia="Times New Roman" w:cs="Times New Roman"/>
          <w:color w:val="000000"/>
          <w:szCs w:val="24"/>
          <w:lang w:eastAsia="es-CO"/>
        </w:rPr>
        <w:t>Por último, vale la pena destacar el artículo 21 de la misma Ley, el cual señala que, salvo lo dispuesto en el artículo 2° </w:t>
      </w:r>
      <w:proofErr w:type="spellStart"/>
      <w:r w:rsidRPr="006823D4">
        <w:rPr>
          <w:rFonts w:eastAsia="Times New Roman" w:cs="Times New Roman"/>
          <w:i/>
          <w:iCs/>
          <w:color w:val="000000"/>
          <w:szCs w:val="24"/>
          <w:lang w:eastAsia="es-CO"/>
        </w:rPr>
        <w:t>ibídem</w:t>
      </w:r>
      <w:proofErr w:type="spellEnd"/>
      <w:r w:rsidRPr="006823D4">
        <w:rPr>
          <w:rFonts w:eastAsia="Times New Roman" w:cs="Times New Roman"/>
          <w:i/>
          <w:iCs/>
          <w:color w:val="000000"/>
          <w:szCs w:val="24"/>
          <w:lang w:eastAsia="es-CO"/>
        </w:rPr>
        <w:t> </w:t>
      </w:r>
      <w:r w:rsidRPr="006823D4">
        <w:rPr>
          <w:rFonts w:eastAsia="Times New Roman" w:cs="Times New Roman"/>
          <w:color w:val="000000"/>
          <w:szCs w:val="24"/>
          <w:lang w:eastAsia="es-CO"/>
        </w:rPr>
        <w:t>– esto es, que el aparcero podrá participar en los gastos que demande la explotación previa autorización – </w:t>
      </w:r>
      <w:r w:rsidRPr="006823D4">
        <w:rPr>
          <w:rFonts w:eastAsia="Times New Roman" w:cs="Times New Roman"/>
          <w:i/>
          <w:iCs/>
          <w:color w:val="000000"/>
          <w:szCs w:val="24"/>
          <w:lang w:eastAsia="es-CO"/>
        </w:rPr>
        <w:t>“el aparcero </w:t>
      </w:r>
      <w:r w:rsidRPr="006823D4">
        <w:rPr>
          <w:rFonts w:eastAsia="Times New Roman" w:cs="Times New Roman"/>
          <w:i/>
          <w:iCs/>
          <w:color w:val="000000"/>
          <w:szCs w:val="24"/>
          <w:u w:val="single"/>
          <w:lang w:eastAsia="es-CO"/>
        </w:rPr>
        <w:t>no podrá renunciar</w:t>
      </w:r>
      <w:r w:rsidRPr="006823D4">
        <w:rPr>
          <w:rFonts w:eastAsia="Times New Roman" w:cs="Times New Roman"/>
          <w:i/>
          <w:iCs/>
          <w:color w:val="000000"/>
          <w:szCs w:val="24"/>
          <w:lang w:eastAsia="es-CO"/>
        </w:rPr>
        <w:t> a los derechos que en su favor consagra la presente Ley, </w:t>
      </w:r>
      <w:r w:rsidRPr="006823D4">
        <w:rPr>
          <w:rFonts w:eastAsia="Times New Roman" w:cs="Times New Roman"/>
          <w:i/>
          <w:iCs/>
          <w:color w:val="000000"/>
          <w:szCs w:val="24"/>
          <w:u w:val="single"/>
          <w:lang w:eastAsia="es-CO"/>
        </w:rPr>
        <w:t>ni estipular, en contra del mínimo</w:t>
      </w:r>
      <w:r w:rsidRPr="006823D4">
        <w:rPr>
          <w:rFonts w:eastAsia="Times New Roman" w:cs="Times New Roman"/>
          <w:i/>
          <w:iCs/>
          <w:color w:val="000000"/>
          <w:szCs w:val="24"/>
          <w:lang w:eastAsia="es-CO"/>
        </w:rPr>
        <w:t> de derechos que en su favor se establecen” </w:t>
      </w:r>
      <w:r w:rsidRPr="006823D4">
        <w:rPr>
          <w:rFonts w:eastAsia="Times New Roman" w:cs="Times New Roman"/>
          <w:color w:val="000000"/>
          <w:szCs w:val="24"/>
          <w:lang w:eastAsia="es-CO"/>
        </w:rPr>
        <w:t>(subrayado fuera de texto).</w:t>
      </w:r>
    </w:p>
    <w:p w14:paraId="26A37CBA" w14:textId="77777777" w:rsidR="006823D4" w:rsidRPr="006823D4" w:rsidRDefault="006823D4" w:rsidP="006823D4">
      <w:pPr>
        <w:spacing w:after="0" w:line="360" w:lineRule="auto"/>
        <w:ind w:left="284"/>
        <w:jc w:val="both"/>
        <w:rPr>
          <w:rFonts w:eastAsia="Times New Roman" w:cs="Times New Roman"/>
          <w:color w:val="000000"/>
          <w:szCs w:val="24"/>
          <w:lang w:eastAsia="es-CO"/>
        </w:rPr>
      </w:pPr>
      <w:r w:rsidRPr="006823D4">
        <w:rPr>
          <w:rFonts w:eastAsia="Times New Roman" w:cs="Times New Roman"/>
          <w:color w:val="000000"/>
          <w:szCs w:val="24"/>
          <w:lang w:eastAsia="es-CO"/>
        </w:rPr>
        <w:t> </w:t>
      </w:r>
    </w:p>
    <w:p w14:paraId="68F4A2DD" w14:textId="77777777" w:rsidR="006823D4" w:rsidRPr="006823D4" w:rsidRDefault="006823D4" w:rsidP="006823D4">
      <w:pPr>
        <w:spacing w:after="0" w:line="360" w:lineRule="auto"/>
        <w:ind w:left="284"/>
        <w:jc w:val="both"/>
        <w:rPr>
          <w:rFonts w:eastAsia="Times New Roman" w:cs="Times New Roman"/>
          <w:color w:val="000000"/>
          <w:szCs w:val="24"/>
          <w:highlight w:val="green"/>
          <w:lang w:eastAsia="es-CO"/>
        </w:rPr>
      </w:pPr>
      <w:r w:rsidRPr="006823D4">
        <w:rPr>
          <w:rFonts w:eastAsia="Times New Roman" w:cs="Times New Roman"/>
          <w:b/>
          <w:bCs/>
          <w:color w:val="000000"/>
          <w:szCs w:val="24"/>
          <w:highlight w:val="green"/>
          <w:lang w:eastAsia="es-CO"/>
        </w:rPr>
        <w:t>2. Caracterización del contrato de aparcería para efectos tributarios</w:t>
      </w:r>
    </w:p>
    <w:p w14:paraId="0C18FA70" w14:textId="77777777" w:rsidR="006823D4" w:rsidRPr="006823D4" w:rsidRDefault="006823D4" w:rsidP="006823D4">
      <w:pPr>
        <w:spacing w:after="0" w:line="360" w:lineRule="auto"/>
        <w:ind w:left="284"/>
        <w:jc w:val="both"/>
        <w:rPr>
          <w:rFonts w:eastAsia="Times New Roman" w:cs="Times New Roman"/>
          <w:color w:val="000000"/>
          <w:szCs w:val="24"/>
          <w:highlight w:val="green"/>
          <w:lang w:eastAsia="es-CO"/>
        </w:rPr>
      </w:pPr>
      <w:r w:rsidRPr="006823D4">
        <w:rPr>
          <w:rFonts w:eastAsia="Times New Roman" w:cs="Times New Roman"/>
          <w:color w:val="000000"/>
          <w:szCs w:val="24"/>
          <w:highlight w:val="green"/>
          <w:lang w:eastAsia="es-CO"/>
        </w:rPr>
        <w:t> </w:t>
      </w:r>
    </w:p>
    <w:p w14:paraId="354C61B8" w14:textId="77777777" w:rsidR="006823D4" w:rsidRPr="006823D4" w:rsidRDefault="006823D4" w:rsidP="006823D4">
      <w:pPr>
        <w:spacing w:after="0" w:line="360" w:lineRule="auto"/>
        <w:ind w:left="284"/>
        <w:jc w:val="both"/>
        <w:rPr>
          <w:rFonts w:eastAsia="Times New Roman" w:cs="Times New Roman"/>
          <w:color w:val="000000"/>
          <w:szCs w:val="24"/>
          <w:lang w:eastAsia="es-CO"/>
        </w:rPr>
      </w:pPr>
      <w:r w:rsidRPr="006823D4">
        <w:rPr>
          <w:rFonts w:eastAsia="Times New Roman" w:cs="Times New Roman"/>
          <w:b/>
          <w:bCs/>
          <w:color w:val="000000"/>
          <w:szCs w:val="24"/>
          <w:highlight w:val="green"/>
          <w:lang w:eastAsia="es-CO"/>
        </w:rPr>
        <w:t>2.1. Aspectos y requisitos generales de los contratos de colaboración empresarial</w:t>
      </w:r>
    </w:p>
    <w:p w14:paraId="4E4DB12D" w14:textId="77777777" w:rsidR="006823D4" w:rsidRPr="006823D4" w:rsidRDefault="006823D4" w:rsidP="006823D4">
      <w:pPr>
        <w:spacing w:after="0" w:line="360" w:lineRule="auto"/>
        <w:jc w:val="both"/>
        <w:rPr>
          <w:rFonts w:eastAsia="Times New Roman" w:cs="Times New Roman"/>
          <w:color w:val="000000"/>
          <w:szCs w:val="24"/>
          <w:lang w:eastAsia="es-CO"/>
        </w:rPr>
      </w:pPr>
      <w:r w:rsidRPr="006823D4">
        <w:rPr>
          <w:rFonts w:eastAsia="Times New Roman" w:cs="Times New Roman"/>
          <w:color w:val="000000"/>
          <w:szCs w:val="24"/>
          <w:lang w:eastAsia="es-CO"/>
        </w:rPr>
        <w:t> </w:t>
      </w:r>
    </w:p>
    <w:p w14:paraId="1592E351" w14:textId="77777777" w:rsidR="006823D4" w:rsidRPr="006823D4" w:rsidRDefault="006823D4" w:rsidP="006823D4">
      <w:pPr>
        <w:spacing w:after="0" w:line="360" w:lineRule="auto"/>
        <w:jc w:val="both"/>
        <w:rPr>
          <w:rFonts w:eastAsia="Times New Roman" w:cs="Times New Roman"/>
          <w:color w:val="000000"/>
          <w:szCs w:val="24"/>
          <w:lang w:eastAsia="es-CO"/>
        </w:rPr>
      </w:pPr>
      <w:r w:rsidRPr="006823D4">
        <w:rPr>
          <w:rFonts w:eastAsia="Times New Roman" w:cs="Times New Roman"/>
          <w:color w:val="000000"/>
          <w:szCs w:val="24"/>
          <w:lang w:eastAsia="es-CO"/>
        </w:rPr>
        <w:t>Los contratos de colaboración empresarial son aquellos mediante los cuales una pluralidad de sujetos aúna esfuerzos para desarrollar una actividad económica conjunta, compartiendo las decisiones relacionadas con la misma; en este sentido, cada uno de sus integrantes realiza aportes, asume riesgos y participa en las utilidades o pérdidas del negocio. Debe anotarse igualmente que, a diferencia del contrato de sociedad, la figura de la colaboración empresarial no crea una persona jurídica distinta de los integrantes.</w:t>
      </w:r>
    </w:p>
    <w:p w14:paraId="3F275758" w14:textId="77777777" w:rsidR="006823D4" w:rsidRPr="006823D4" w:rsidRDefault="006823D4" w:rsidP="006823D4">
      <w:pPr>
        <w:spacing w:after="0" w:line="360" w:lineRule="auto"/>
        <w:jc w:val="both"/>
        <w:rPr>
          <w:rFonts w:eastAsia="Times New Roman" w:cs="Times New Roman"/>
          <w:color w:val="000000"/>
          <w:szCs w:val="24"/>
          <w:lang w:eastAsia="es-CO"/>
        </w:rPr>
      </w:pPr>
      <w:r w:rsidRPr="006823D4">
        <w:rPr>
          <w:rFonts w:eastAsia="Times New Roman" w:cs="Times New Roman"/>
          <w:color w:val="000000"/>
          <w:szCs w:val="24"/>
          <w:lang w:eastAsia="es-CO"/>
        </w:rPr>
        <w:t> </w:t>
      </w:r>
    </w:p>
    <w:p w14:paraId="634E984B" w14:textId="77777777" w:rsidR="006823D4" w:rsidRPr="006823D4" w:rsidRDefault="006823D4" w:rsidP="006823D4">
      <w:pPr>
        <w:spacing w:after="0" w:line="360" w:lineRule="auto"/>
        <w:jc w:val="both"/>
        <w:rPr>
          <w:rFonts w:eastAsia="Times New Roman" w:cs="Times New Roman"/>
          <w:color w:val="000000"/>
          <w:szCs w:val="24"/>
          <w:lang w:eastAsia="es-CO"/>
        </w:rPr>
      </w:pPr>
      <w:r w:rsidRPr="006823D4">
        <w:rPr>
          <w:rFonts w:eastAsia="Times New Roman" w:cs="Times New Roman"/>
          <w:color w:val="000000"/>
          <w:szCs w:val="24"/>
          <w:lang w:eastAsia="es-CO"/>
        </w:rPr>
        <w:t>Dentro del género de los contratos de colaboración empresarial, las especies más comunes son: 1) consorcios, 2) uniones temporales y 3) cuentas en participación. Además de estos, también se encuentran los </w:t>
      </w:r>
      <w:proofErr w:type="spellStart"/>
      <w:r w:rsidRPr="006823D4">
        <w:rPr>
          <w:rFonts w:eastAsia="Times New Roman" w:cs="Times New Roman"/>
          <w:i/>
          <w:iCs/>
          <w:color w:val="000000"/>
          <w:szCs w:val="24"/>
          <w:lang w:eastAsia="es-CO"/>
        </w:rPr>
        <w:t>joint</w:t>
      </w:r>
      <w:proofErr w:type="spellEnd"/>
      <w:r w:rsidRPr="006823D4">
        <w:rPr>
          <w:rFonts w:eastAsia="Times New Roman" w:cs="Times New Roman"/>
          <w:i/>
          <w:iCs/>
          <w:color w:val="000000"/>
          <w:szCs w:val="24"/>
          <w:lang w:eastAsia="es-CO"/>
        </w:rPr>
        <w:t xml:space="preserve"> </w:t>
      </w:r>
      <w:proofErr w:type="spellStart"/>
      <w:r w:rsidRPr="006823D4">
        <w:rPr>
          <w:rFonts w:eastAsia="Times New Roman" w:cs="Times New Roman"/>
          <w:i/>
          <w:iCs/>
          <w:color w:val="000000"/>
          <w:szCs w:val="24"/>
          <w:lang w:eastAsia="es-CO"/>
        </w:rPr>
        <w:t>ventures</w:t>
      </w:r>
      <w:proofErr w:type="spellEnd"/>
      <w:r w:rsidRPr="006823D4">
        <w:rPr>
          <w:rFonts w:eastAsia="Times New Roman" w:cs="Times New Roman"/>
          <w:color w:val="000000"/>
          <w:szCs w:val="24"/>
          <w:lang w:eastAsia="es-CO"/>
        </w:rPr>
        <w:t>.</w:t>
      </w:r>
    </w:p>
    <w:p w14:paraId="59356078" w14:textId="77777777" w:rsidR="006823D4" w:rsidRPr="006823D4" w:rsidRDefault="006823D4" w:rsidP="006823D4">
      <w:pPr>
        <w:spacing w:after="0" w:line="360" w:lineRule="auto"/>
        <w:jc w:val="both"/>
        <w:rPr>
          <w:rFonts w:eastAsia="Times New Roman" w:cs="Times New Roman"/>
          <w:color w:val="000000"/>
          <w:szCs w:val="24"/>
          <w:lang w:eastAsia="es-CO"/>
        </w:rPr>
      </w:pPr>
      <w:r w:rsidRPr="006823D4">
        <w:rPr>
          <w:rFonts w:eastAsia="Times New Roman" w:cs="Times New Roman"/>
          <w:color w:val="000000"/>
          <w:szCs w:val="24"/>
          <w:lang w:eastAsia="es-CO"/>
        </w:rPr>
        <w:t> </w:t>
      </w:r>
    </w:p>
    <w:p w14:paraId="6FC2B2A8" w14:textId="77777777" w:rsidR="006823D4" w:rsidRPr="006823D4" w:rsidRDefault="006823D4" w:rsidP="006823D4">
      <w:pPr>
        <w:spacing w:after="0" w:line="360" w:lineRule="auto"/>
        <w:jc w:val="both"/>
        <w:rPr>
          <w:rFonts w:eastAsia="Times New Roman" w:cs="Times New Roman"/>
          <w:color w:val="000000"/>
          <w:sz w:val="32"/>
          <w:szCs w:val="32"/>
          <w:lang w:eastAsia="es-CO"/>
        </w:rPr>
      </w:pPr>
      <w:r w:rsidRPr="006823D4">
        <w:rPr>
          <w:rFonts w:eastAsia="Times New Roman" w:cs="Times New Roman"/>
          <w:color w:val="000000"/>
          <w:sz w:val="32"/>
          <w:szCs w:val="32"/>
          <w:highlight w:val="green"/>
          <w:lang w:eastAsia="es-CO"/>
        </w:rPr>
        <w:lastRenderedPageBreak/>
        <w:t>Teniendo en cuenta el anterior contexto y pasando al ámbito tributario, el </w:t>
      </w:r>
      <w:hyperlink r:id="rId5" w:tooltip="Estatuto Tributario CETA" w:history="1">
        <w:r w:rsidRPr="006823D4">
          <w:rPr>
            <w:rFonts w:eastAsia="Times New Roman" w:cs="Times New Roman"/>
            <w:color w:val="0089E1"/>
            <w:sz w:val="32"/>
            <w:szCs w:val="32"/>
            <w:highlight w:val="green"/>
            <w:u w:val="single"/>
            <w:lang w:eastAsia="es-CO"/>
          </w:rPr>
          <w:t>artículo 18</w:t>
        </w:r>
      </w:hyperlink>
      <w:r w:rsidRPr="006823D4">
        <w:rPr>
          <w:rFonts w:eastAsia="Times New Roman" w:cs="Times New Roman"/>
          <w:color w:val="000000"/>
          <w:sz w:val="32"/>
          <w:szCs w:val="32"/>
          <w:highlight w:val="green"/>
          <w:lang w:eastAsia="es-CO"/>
        </w:rPr>
        <w:t> del Estatuto Tributario determina ciertas obligaciones para las partes que han celebrado un contrato de colaboración empresarial, como son, entre otras: (1) declarar de manera independiente los activos, pasivos, ingresos, costos y deducciones de acuerdo con la participación en los activos, pasivos, ingresos, costos y gastos incurridos en desarrollo del contrato, también conocido como el sistema línea a línea, y (2) llevar un registro sobre las actividades desarrolladas en virtud del contrato que permita verificar los ingresos, costos y gastos incurridos en desarrollo del mismo.</w:t>
      </w:r>
    </w:p>
    <w:p w14:paraId="1B4CD9C9" w14:textId="77777777" w:rsidR="006823D4" w:rsidRPr="006823D4" w:rsidRDefault="006823D4" w:rsidP="006823D4">
      <w:pPr>
        <w:spacing w:after="0" w:line="360" w:lineRule="auto"/>
        <w:jc w:val="both"/>
        <w:rPr>
          <w:rFonts w:eastAsia="Times New Roman" w:cs="Times New Roman"/>
          <w:color w:val="000000"/>
          <w:szCs w:val="24"/>
          <w:lang w:eastAsia="es-CO"/>
        </w:rPr>
      </w:pPr>
      <w:r w:rsidRPr="006823D4">
        <w:rPr>
          <w:rFonts w:eastAsia="Times New Roman" w:cs="Times New Roman"/>
          <w:color w:val="000000"/>
          <w:szCs w:val="24"/>
          <w:lang w:eastAsia="es-CO"/>
        </w:rPr>
        <w:t> </w:t>
      </w:r>
    </w:p>
    <w:p w14:paraId="6E4BA625" w14:textId="77777777" w:rsidR="006823D4" w:rsidRPr="006823D4" w:rsidRDefault="006823D4" w:rsidP="006823D4">
      <w:pPr>
        <w:spacing w:after="0" w:line="360" w:lineRule="auto"/>
        <w:jc w:val="both"/>
        <w:rPr>
          <w:rFonts w:eastAsia="Times New Roman" w:cs="Times New Roman"/>
          <w:color w:val="000000"/>
          <w:sz w:val="32"/>
          <w:szCs w:val="32"/>
          <w:lang w:eastAsia="es-CO"/>
        </w:rPr>
      </w:pPr>
      <w:r w:rsidRPr="006823D4">
        <w:rPr>
          <w:rFonts w:eastAsia="Times New Roman" w:cs="Times New Roman"/>
          <w:color w:val="000000"/>
          <w:sz w:val="32"/>
          <w:szCs w:val="32"/>
          <w:highlight w:val="green"/>
          <w:lang w:eastAsia="es-CO"/>
        </w:rPr>
        <w:t>Adicionalmente, es preciso señalar que, de conformidad con el inciso 3° del </w:t>
      </w:r>
      <w:hyperlink r:id="rId6" w:tooltip="Estatuto Tributario CETA" w:history="1">
        <w:r w:rsidRPr="006823D4">
          <w:rPr>
            <w:rFonts w:eastAsia="Times New Roman" w:cs="Times New Roman"/>
            <w:color w:val="0089E1"/>
            <w:sz w:val="32"/>
            <w:szCs w:val="32"/>
            <w:highlight w:val="green"/>
            <w:u w:val="single"/>
            <w:lang w:eastAsia="es-CO"/>
          </w:rPr>
          <w:t>artículo 18</w:t>
        </w:r>
      </w:hyperlink>
      <w:r w:rsidRPr="006823D4">
        <w:rPr>
          <w:rFonts w:eastAsia="Times New Roman" w:cs="Times New Roman"/>
          <w:color w:val="000000"/>
          <w:sz w:val="32"/>
          <w:szCs w:val="32"/>
          <w:highlight w:val="green"/>
          <w:lang w:eastAsia="es-CO"/>
        </w:rPr>
        <w:t> </w:t>
      </w:r>
      <w:proofErr w:type="spellStart"/>
      <w:r w:rsidRPr="006823D4">
        <w:rPr>
          <w:rFonts w:eastAsia="Times New Roman" w:cs="Times New Roman"/>
          <w:i/>
          <w:iCs/>
          <w:color w:val="000000"/>
          <w:sz w:val="32"/>
          <w:szCs w:val="32"/>
          <w:highlight w:val="green"/>
          <w:lang w:eastAsia="es-CO"/>
        </w:rPr>
        <w:t>ibídem</w:t>
      </w:r>
      <w:proofErr w:type="spellEnd"/>
      <w:r w:rsidRPr="006823D4">
        <w:rPr>
          <w:rFonts w:eastAsia="Times New Roman" w:cs="Times New Roman"/>
          <w:color w:val="000000"/>
          <w:sz w:val="32"/>
          <w:szCs w:val="32"/>
          <w:highlight w:val="green"/>
          <w:lang w:eastAsia="es-CO"/>
        </w:rPr>
        <w:t>, todas aquellas relaciones comerciales </w:t>
      </w:r>
      <w:r w:rsidRPr="006823D4">
        <w:rPr>
          <w:rFonts w:eastAsia="Times New Roman" w:cs="Times New Roman"/>
          <w:i/>
          <w:iCs/>
          <w:color w:val="000000"/>
          <w:sz w:val="32"/>
          <w:szCs w:val="32"/>
          <w:highlight w:val="green"/>
          <w:lang w:eastAsia="es-CO"/>
        </w:rPr>
        <w:t>“que tengan las partes del contrato de colaboración empresarial con el contrato de colaboración empresarial </w:t>
      </w:r>
      <w:r w:rsidRPr="006823D4">
        <w:rPr>
          <w:rFonts w:eastAsia="Times New Roman" w:cs="Times New Roman"/>
          <w:i/>
          <w:iCs/>
          <w:color w:val="000000"/>
          <w:sz w:val="32"/>
          <w:szCs w:val="32"/>
          <w:highlight w:val="green"/>
          <w:u w:val="single"/>
          <w:lang w:eastAsia="es-CO"/>
        </w:rPr>
        <w:t>que tengan un rendimiento garantizado, se tratarán para todos los efectos fiscales como relaciones entre partes independientes</w:t>
      </w:r>
      <w:r w:rsidRPr="006823D4">
        <w:rPr>
          <w:rFonts w:eastAsia="Times New Roman" w:cs="Times New Roman"/>
          <w:i/>
          <w:iCs/>
          <w:color w:val="000000"/>
          <w:sz w:val="32"/>
          <w:szCs w:val="32"/>
          <w:highlight w:val="green"/>
          <w:lang w:eastAsia="es-CO"/>
        </w:rPr>
        <w:t>” </w:t>
      </w:r>
      <w:r w:rsidRPr="006823D4">
        <w:rPr>
          <w:rFonts w:eastAsia="Times New Roman" w:cs="Times New Roman"/>
          <w:color w:val="000000"/>
          <w:sz w:val="32"/>
          <w:szCs w:val="32"/>
          <w:highlight w:val="green"/>
          <w:lang w:eastAsia="es-CO"/>
        </w:rPr>
        <w:t>(subrayado fuera de texto) y, por lo tanto, </w:t>
      </w:r>
      <w:r w:rsidRPr="006823D4">
        <w:rPr>
          <w:rFonts w:eastAsia="Times New Roman" w:cs="Times New Roman"/>
          <w:i/>
          <w:iCs/>
          <w:color w:val="000000"/>
          <w:sz w:val="32"/>
          <w:szCs w:val="32"/>
          <w:highlight w:val="green"/>
          <w:lang w:eastAsia="es-CO"/>
        </w:rPr>
        <w:t>“se entenderá, que no hay un aporte al contrato de colaboración empresarial sino una </w:t>
      </w:r>
      <w:r w:rsidRPr="006823D4">
        <w:rPr>
          <w:rFonts w:eastAsia="Times New Roman" w:cs="Times New Roman"/>
          <w:i/>
          <w:iCs/>
          <w:color w:val="000000"/>
          <w:sz w:val="32"/>
          <w:szCs w:val="32"/>
          <w:highlight w:val="green"/>
          <w:u w:val="single"/>
          <w:lang w:eastAsia="es-CO"/>
        </w:rPr>
        <w:t>enajenación o una prestación de servicios</w:t>
      </w:r>
      <w:r w:rsidRPr="006823D4">
        <w:rPr>
          <w:rFonts w:eastAsia="Times New Roman" w:cs="Times New Roman"/>
          <w:i/>
          <w:iCs/>
          <w:color w:val="000000"/>
          <w:sz w:val="32"/>
          <w:szCs w:val="32"/>
          <w:highlight w:val="green"/>
          <w:lang w:eastAsia="es-CO"/>
        </w:rPr>
        <w:t>, según sea el caso, entre el contrato de colaboración empresarial y la parte del mismo que tiene derecho al rendimiento garantizado” </w:t>
      </w:r>
      <w:r w:rsidRPr="006823D4">
        <w:rPr>
          <w:rFonts w:eastAsia="Times New Roman" w:cs="Times New Roman"/>
          <w:color w:val="000000"/>
          <w:sz w:val="32"/>
          <w:szCs w:val="32"/>
          <w:highlight w:val="green"/>
          <w:lang w:eastAsia="es-CO"/>
        </w:rPr>
        <w:t>(subrayado fuera de texto), con los consecuentes efectos tributarios en materia del IVA, retenciones en la fuente, etc.</w:t>
      </w:r>
    </w:p>
    <w:p w14:paraId="6731C722" w14:textId="77777777" w:rsidR="006823D4" w:rsidRPr="006823D4" w:rsidRDefault="006823D4" w:rsidP="006823D4">
      <w:pPr>
        <w:spacing w:after="0" w:line="360" w:lineRule="auto"/>
        <w:jc w:val="both"/>
        <w:rPr>
          <w:rFonts w:eastAsia="Times New Roman" w:cs="Times New Roman"/>
          <w:color w:val="000000"/>
          <w:sz w:val="32"/>
          <w:szCs w:val="32"/>
          <w:lang w:eastAsia="es-CO"/>
        </w:rPr>
      </w:pPr>
      <w:r w:rsidRPr="006823D4">
        <w:rPr>
          <w:rFonts w:eastAsia="Times New Roman" w:cs="Times New Roman"/>
          <w:color w:val="000000"/>
          <w:sz w:val="32"/>
          <w:szCs w:val="32"/>
          <w:lang w:eastAsia="es-CO"/>
        </w:rPr>
        <w:t> </w:t>
      </w:r>
    </w:p>
    <w:p w14:paraId="7BB1608E" w14:textId="77777777" w:rsidR="006823D4" w:rsidRPr="006823D4" w:rsidRDefault="006823D4" w:rsidP="006823D4">
      <w:pPr>
        <w:spacing w:after="0" w:line="360" w:lineRule="auto"/>
        <w:jc w:val="both"/>
        <w:rPr>
          <w:rFonts w:eastAsia="Times New Roman" w:cs="Times New Roman"/>
          <w:color w:val="000000"/>
          <w:szCs w:val="24"/>
          <w:lang w:eastAsia="es-CO"/>
        </w:rPr>
      </w:pPr>
      <w:r w:rsidRPr="006823D4">
        <w:rPr>
          <w:rFonts w:eastAsia="Times New Roman" w:cs="Times New Roman"/>
          <w:color w:val="000000"/>
          <w:szCs w:val="24"/>
          <w:lang w:eastAsia="es-CO"/>
        </w:rPr>
        <w:t>Frente a la definición del término “rendimiento garantizado”, en Oficio 007397 del 31 de marzo de 2017, este Despacho señaló que corresponde a </w:t>
      </w:r>
      <w:r w:rsidRPr="006823D4">
        <w:rPr>
          <w:rFonts w:eastAsia="Times New Roman" w:cs="Times New Roman"/>
          <w:i/>
          <w:iCs/>
          <w:color w:val="000000"/>
          <w:szCs w:val="24"/>
          <w:lang w:eastAsia="es-CO"/>
        </w:rPr>
        <w:t>“un pago fijo que recibe cualquiera de las partes, </w:t>
      </w:r>
      <w:r w:rsidRPr="006823D4">
        <w:rPr>
          <w:rFonts w:eastAsia="Times New Roman" w:cs="Times New Roman"/>
          <w:i/>
          <w:iCs/>
          <w:color w:val="000000"/>
          <w:szCs w:val="24"/>
          <w:u w:val="single"/>
          <w:lang w:eastAsia="es-CO"/>
        </w:rPr>
        <w:t>independiente de las utilidades o pérdidas que se generen</w:t>
      </w:r>
      <w:r w:rsidRPr="006823D4">
        <w:rPr>
          <w:rFonts w:eastAsia="Times New Roman" w:cs="Times New Roman"/>
          <w:i/>
          <w:iCs/>
          <w:color w:val="000000"/>
          <w:szCs w:val="24"/>
          <w:lang w:eastAsia="es-CO"/>
        </w:rPr>
        <w:t xml:space="preserve"> en el desarrollo </w:t>
      </w:r>
      <w:proofErr w:type="gramStart"/>
      <w:r w:rsidRPr="006823D4">
        <w:rPr>
          <w:rFonts w:eastAsia="Times New Roman" w:cs="Times New Roman"/>
          <w:i/>
          <w:iCs/>
          <w:color w:val="000000"/>
          <w:szCs w:val="24"/>
          <w:lang w:eastAsia="es-CO"/>
        </w:rPr>
        <w:t>del mismo</w:t>
      </w:r>
      <w:proofErr w:type="gramEnd"/>
      <w:r w:rsidRPr="006823D4">
        <w:rPr>
          <w:rFonts w:eastAsia="Times New Roman" w:cs="Times New Roman"/>
          <w:i/>
          <w:iCs/>
          <w:color w:val="000000"/>
          <w:szCs w:val="24"/>
          <w:lang w:eastAsia="es-CO"/>
        </w:rPr>
        <w:t>” </w:t>
      </w:r>
      <w:r w:rsidRPr="006823D4">
        <w:rPr>
          <w:rFonts w:eastAsia="Times New Roman" w:cs="Times New Roman"/>
          <w:color w:val="000000"/>
          <w:szCs w:val="24"/>
          <w:lang w:eastAsia="es-CO"/>
        </w:rPr>
        <w:t>(subrayado fuera de texto); en otras palabras, implica la percepción de un ingreso por alguna de las partes del contrato de colaboración empresarial sin consideración al éxito o fracaso del negocio emprendido.</w:t>
      </w:r>
    </w:p>
    <w:p w14:paraId="5ED2156E" w14:textId="77777777" w:rsidR="006823D4" w:rsidRPr="006823D4" w:rsidRDefault="006823D4" w:rsidP="006823D4">
      <w:pPr>
        <w:spacing w:after="0" w:line="360" w:lineRule="auto"/>
        <w:ind w:left="284"/>
        <w:jc w:val="both"/>
        <w:rPr>
          <w:rFonts w:eastAsia="Times New Roman" w:cs="Times New Roman"/>
          <w:color w:val="000000"/>
          <w:szCs w:val="24"/>
          <w:lang w:eastAsia="es-CO"/>
        </w:rPr>
      </w:pPr>
      <w:r w:rsidRPr="006823D4">
        <w:rPr>
          <w:rFonts w:eastAsia="Times New Roman" w:cs="Times New Roman"/>
          <w:color w:val="000000"/>
          <w:szCs w:val="24"/>
          <w:lang w:eastAsia="es-CO"/>
        </w:rPr>
        <w:t> </w:t>
      </w:r>
    </w:p>
    <w:p w14:paraId="3C8D01E4" w14:textId="77777777" w:rsidR="006823D4" w:rsidRPr="006823D4" w:rsidRDefault="006823D4" w:rsidP="006823D4">
      <w:pPr>
        <w:spacing w:after="0" w:line="360" w:lineRule="auto"/>
        <w:ind w:left="284"/>
        <w:jc w:val="both"/>
        <w:rPr>
          <w:rFonts w:eastAsia="Times New Roman" w:cs="Times New Roman"/>
          <w:color w:val="000000"/>
          <w:sz w:val="36"/>
          <w:szCs w:val="36"/>
          <w:lang w:eastAsia="es-CO"/>
        </w:rPr>
      </w:pPr>
      <w:r w:rsidRPr="006823D4">
        <w:rPr>
          <w:rFonts w:eastAsia="Times New Roman" w:cs="Times New Roman"/>
          <w:b/>
          <w:bCs/>
          <w:color w:val="000000"/>
          <w:sz w:val="36"/>
          <w:szCs w:val="36"/>
          <w:highlight w:val="green"/>
          <w:lang w:eastAsia="es-CO"/>
        </w:rPr>
        <w:lastRenderedPageBreak/>
        <w:t>2.2. Revisión del contrato de aparcería a la luz del </w:t>
      </w:r>
      <w:hyperlink r:id="rId7" w:tooltip="Estatuto Tributario CETA" w:history="1">
        <w:r w:rsidRPr="006823D4">
          <w:rPr>
            <w:rFonts w:eastAsia="Times New Roman" w:cs="Times New Roman"/>
            <w:b/>
            <w:bCs/>
            <w:color w:val="0089E1"/>
            <w:sz w:val="36"/>
            <w:szCs w:val="36"/>
            <w:highlight w:val="green"/>
            <w:u w:val="single"/>
            <w:lang w:eastAsia="es-CO"/>
          </w:rPr>
          <w:t>artículo 18</w:t>
        </w:r>
      </w:hyperlink>
      <w:r w:rsidRPr="006823D4">
        <w:rPr>
          <w:rFonts w:eastAsia="Times New Roman" w:cs="Times New Roman"/>
          <w:b/>
          <w:bCs/>
          <w:color w:val="000000"/>
          <w:sz w:val="36"/>
          <w:szCs w:val="36"/>
          <w:highlight w:val="green"/>
          <w:lang w:eastAsia="es-CO"/>
        </w:rPr>
        <w:t> del Estatuto Tributario</w:t>
      </w:r>
    </w:p>
    <w:p w14:paraId="088E5502" w14:textId="77777777" w:rsidR="006823D4" w:rsidRPr="006823D4" w:rsidRDefault="006823D4" w:rsidP="006823D4">
      <w:pPr>
        <w:spacing w:after="0" w:line="360" w:lineRule="auto"/>
        <w:jc w:val="both"/>
        <w:rPr>
          <w:rFonts w:eastAsia="Times New Roman" w:cs="Times New Roman"/>
          <w:color w:val="000000"/>
          <w:szCs w:val="24"/>
          <w:lang w:eastAsia="es-CO"/>
        </w:rPr>
      </w:pPr>
      <w:r w:rsidRPr="006823D4">
        <w:rPr>
          <w:rFonts w:eastAsia="Times New Roman" w:cs="Times New Roman"/>
          <w:color w:val="000000"/>
          <w:szCs w:val="24"/>
          <w:lang w:eastAsia="es-CO"/>
        </w:rPr>
        <w:t> </w:t>
      </w:r>
    </w:p>
    <w:p w14:paraId="575FE4A6" w14:textId="77777777" w:rsidR="006823D4" w:rsidRPr="006823D4" w:rsidRDefault="006823D4" w:rsidP="006823D4">
      <w:pPr>
        <w:spacing w:after="0" w:line="360" w:lineRule="auto"/>
        <w:jc w:val="both"/>
        <w:rPr>
          <w:rFonts w:eastAsia="Times New Roman" w:cs="Times New Roman"/>
          <w:color w:val="000000"/>
          <w:szCs w:val="24"/>
          <w:lang w:eastAsia="es-CO"/>
        </w:rPr>
      </w:pPr>
      <w:r w:rsidRPr="006823D4">
        <w:rPr>
          <w:rFonts w:eastAsia="Times New Roman" w:cs="Times New Roman"/>
          <w:color w:val="000000"/>
          <w:szCs w:val="24"/>
          <w:lang w:eastAsia="es-CO"/>
        </w:rPr>
        <w:t>En principio, puede afirmarse que el contrato de aparcería es un contrato de colaboración empresarial y, por ende, las partes deben declarar de manera independiente los activos, pasivos, ingresos, costos y deducciones que les correspondan, de acuerdo con su participación en los activos, pasivos, ingresos, costos y gastos incurridos en desarrollo de dicho contrato.</w:t>
      </w:r>
    </w:p>
    <w:p w14:paraId="14D3939E" w14:textId="77777777" w:rsidR="006823D4" w:rsidRPr="006823D4" w:rsidRDefault="006823D4" w:rsidP="006823D4">
      <w:pPr>
        <w:spacing w:after="0" w:line="360" w:lineRule="auto"/>
        <w:jc w:val="both"/>
        <w:rPr>
          <w:rFonts w:eastAsia="Times New Roman" w:cs="Times New Roman"/>
          <w:color w:val="000000"/>
          <w:szCs w:val="24"/>
          <w:lang w:eastAsia="es-CO"/>
        </w:rPr>
      </w:pPr>
      <w:r w:rsidRPr="006823D4">
        <w:rPr>
          <w:rFonts w:eastAsia="Times New Roman" w:cs="Times New Roman"/>
          <w:color w:val="000000"/>
          <w:szCs w:val="24"/>
          <w:lang w:eastAsia="es-CO"/>
        </w:rPr>
        <w:t> </w:t>
      </w:r>
    </w:p>
    <w:p w14:paraId="13D2C9AD" w14:textId="77777777" w:rsidR="006823D4" w:rsidRPr="006823D4" w:rsidRDefault="006823D4" w:rsidP="006823D4">
      <w:pPr>
        <w:spacing w:after="0" w:line="360" w:lineRule="auto"/>
        <w:jc w:val="both"/>
        <w:rPr>
          <w:rFonts w:eastAsia="Times New Roman" w:cs="Times New Roman"/>
          <w:color w:val="000000"/>
          <w:sz w:val="32"/>
          <w:szCs w:val="32"/>
          <w:lang w:eastAsia="es-CO"/>
        </w:rPr>
      </w:pPr>
      <w:r w:rsidRPr="006823D4">
        <w:rPr>
          <w:rFonts w:eastAsia="Times New Roman" w:cs="Times New Roman"/>
          <w:color w:val="000000"/>
          <w:sz w:val="32"/>
          <w:szCs w:val="32"/>
          <w:highlight w:val="green"/>
          <w:lang w:eastAsia="es-CO"/>
        </w:rPr>
        <w:t>Incluso el artículo 1.2.1.18.11 del Decreto 1625 de 2016 consagra una redacción “similar” respecto a estos contratos, en el sentido de establecer que “</w:t>
      </w:r>
      <w:r w:rsidRPr="006823D4">
        <w:rPr>
          <w:rFonts w:eastAsia="Times New Roman" w:cs="Times New Roman"/>
          <w:i/>
          <w:iCs/>
          <w:color w:val="000000"/>
          <w:sz w:val="32"/>
          <w:szCs w:val="32"/>
          <w:highlight w:val="green"/>
          <w:lang w:eastAsia="es-CO"/>
        </w:rPr>
        <w:t>En los contratos de aparcería o cualesquiera otros similares, de acuerdo con los cuales dos (2) o más personas se distribuyen los productos obtenidos de la tierra poseída por cualquiera de ellas, las utilidades obtenidas en el negocio formarán parte de la renta bruta de los partícipes en la proporción que conste en los respectivos contratos o en las respectivas declaraciones de renta. En defecto de tales indicaciones la distribución se hará por partes iguales.</w:t>
      </w:r>
    </w:p>
    <w:p w14:paraId="188FAAF2" w14:textId="77777777" w:rsidR="006823D4" w:rsidRPr="006823D4" w:rsidRDefault="006823D4" w:rsidP="006823D4">
      <w:pPr>
        <w:spacing w:after="0" w:line="360" w:lineRule="auto"/>
        <w:jc w:val="both"/>
        <w:rPr>
          <w:rFonts w:eastAsia="Times New Roman" w:cs="Times New Roman"/>
          <w:color w:val="000000"/>
          <w:szCs w:val="24"/>
          <w:lang w:eastAsia="es-CO"/>
        </w:rPr>
      </w:pPr>
      <w:r w:rsidRPr="006823D4">
        <w:rPr>
          <w:rFonts w:eastAsia="Times New Roman" w:cs="Times New Roman"/>
          <w:color w:val="000000"/>
          <w:szCs w:val="24"/>
          <w:lang w:eastAsia="es-CO"/>
        </w:rPr>
        <w:t> </w:t>
      </w:r>
    </w:p>
    <w:p w14:paraId="5A9DC920" w14:textId="77777777" w:rsidR="006823D4" w:rsidRPr="006823D4" w:rsidRDefault="006823D4" w:rsidP="006823D4">
      <w:pPr>
        <w:spacing w:after="0" w:line="360" w:lineRule="auto"/>
        <w:jc w:val="both"/>
        <w:rPr>
          <w:rFonts w:eastAsia="Times New Roman" w:cs="Times New Roman"/>
          <w:color w:val="000000"/>
          <w:szCs w:val="24"/>
          <w:lang w:eastAsia="es-CO"/>
        </w:rPr>
      </w:pPr>
      <w:r w:rsidRPr="006823D4">
        <w:rPr>
          <w:rFonts w:eastAsia="Times New Roman" w:cs="Times New Roman"/>
          <w:i/>
          <w:iCs/>
          <w:color w:val="000000"/>
          <w:szCs w:val="24"/>
          <w:lang w:eastAsia="es-CO"/>
        </w:rPr>
        <w:t>Si a la liquidación del negocio se distribuyeren productos en especie, estos conservarán el precio de costo correspondiente al negocio, respecto de los partícipes</w:t>
      </w:r>
      <w:r w:rsidRPr="006823D4">
        <w:rPr>
          <w:rFonts w:eastAsia="Times New Roman" w:cs="Times New Roman"/>
          <w:color w:val="000000"/>
          <w:szCs w:val="24"/>
          <w:lang w:eastAsia="es-CO"/>
        </w:rPr>
        <w:t>.”</w:t>
      </w:r>
    </w:p>
    <w:p w14:paraId="7239A7D7" w14:textId="77777777" w:rsidR="006823D4" w:rsidRPr="006823D4" w:rsidRDefault="006823D4" w:rsidP="006823D4">
      <w:pPr>
        <w:spacing w:after="0" w:line="360" w:lineRule="auto"/>
        <w:jc w:val="both"/>
        <w:rPr>
          <w:rFonts w:eastAsia="Times New Roman" w:cs="Times New Roman"/>
          <w:color w:val="000000"/>
          <w:szCs w:val="24"/>
          <w:lang w:eastAsia="es-CO"/>
        </w:rPr>
      </w:pPr>
      <w:r w:rsidRPr="006823D4">
        <w:rPr>
          <w:rFonts w:eastAsia="Times New Roman" w:cs="Times New Roman"/>
          <w:color w:val="000000"/>
          <w:szCs w:val="24"/>
          <w:lang w:eastAsia="es-CO"/>
        </w:rPr>
        <w:t> </w:t>
      </w:r>
    </w:p>
    <w:p w14:paraId="28E8CD6E" w14:textId="77777777" w:rsidR="006823D4" w:rsidRPr="006823D4" w:rsidRDefault="006823D4" w:rsidP="006823D4">
      <w:pPr>
        <w:spacing w:after="0" w:line="360" w:lineRule="auto"/>
        <w:jc w:val="both"/>
        <w:rPr>
          <w:rFonts w:eastAsia="Times New Roman" w:cs="Times New Roman"/>
          <w:color w:val="000000"/>
          <w:szCs w:val="24"/>
          <w:lang w:eastAsia="es-CO"/>
        </w:rPr>
      </w:pPr>
      <w:r w:rsidRPr="006823D4">
        <w:rPr>
          <w:rFonts w:eastAsia="Times New Roman" w:cs="Times New Roman"/>
          <w:color w:val="000000"/>
          <w:szCs w:val="24"/>
          <w:highlight w:val="green"/>
          <w:lang w:eastAsia="es-CO"/>
        </w:rPr>
        <w:t>La anterior disposición del Decreto 1625 de 2016 corresponde al artículo 50 del Decreto 187 de 1975 y, por supuesto, </w:t>
      </w:r>
      <w:r w:rsidRPr="006823D4">
        <w:rPr>
          <w:rFonts w:eastAsia="Times New Roman" w:cs="Times New Roman"/>
          <w:color w:val="000000"/>
          <w:szCs w:val="24"/>
          <w:highlight w:val="green"/>
          <w:u w:val="single"/>
          <w:lang w:eastAsia="es-CO"/>
        </w:rPr>
        <w:t>debe ser interpretada de conformidad con los cambios introducidos por la Ley 1819 de 2016 al </w:t>
      </w:r>
      <w:hyperlink r:id="rId8" w:tooltip="Estatuto Tributario CETA" w:history="1">
        <w:r w:rsidRPr="006823D4">
          <w:rPr>
            <w:rFonts w:eastAsia="Times New Roman" w:cs="Times New Roman"/>
            <w:color w:val="0089E1"/>
            <w:szCs w:val="24"/>
            <w:highlight w:val="green"/>
            <w:u w:val="single"/>
            <w:lang w:eastAsia="es-CO"/>
          </w:rPr>
          <w:t>artículo 18</w:t>
        </w:r>
      </w:hyperlink>
      <w:r w:rsidRPr="006823D4">
        <w:rPr>
          <w:rFonts w:eastAsia="Times New Roman" w:cs="Times New Roman"/>
          <w:color w:val="000000"/>
          <w:szCs w:val="24"/>
          <w:highlight w:val="green"/>
          <w:u w:val="single"/>
          <w:lang w:eastAsia="es-CO"/>
        </w:rPr>
        <w:t> del Estatuto Tributario</w:t>
      </w:r>
      <w:r w:rsidRPr="006823D4">
        <w:rPr>
          <w:rFonts w:eastAsia="Times New Roman" w:cs="Times New Roman"/>
          <w:color w:val="000000"/>
          <w:szCs w:val="24"/>
          <w:highlight w:val="green"/>
          <w:lang w:eastAsia="es-CO"/>
        </w:rPr>
        <w:t>. Entre otros, este Despacho encuentra que, para efectos tributarios, algunas de las prestaciones realizadas por las partes del contrato de aparcería, califican como un rendimiento garantizado, lo que obliga a que sean tratadas individualmente como la prestación de un servicio.</w:t>
      </w:r>
    </w:p>
    <w:p w14:paraId="061DC537" w14:textId="77777777" w:rsidR="006823D4" w:rsidRPr="006823D4" w:rsidRDefault="006823D4" w:rsidP="006823D4">
      <w:pPr>
        <w:spacing w:after="0" w:line="360" w:lineRule="auto"/>
        <w:jc w:val="both"/>
        <w:rPr>
          <w:rFonts w:eastAsia="Times New Roman" w:cs="Times New Roman"/>
          <w:color w:val="000000"/>
          <w:szCs w:val="24"/>
          <w:lang w:eastAsia="es-CO"/>
        </w:rPr>
      </w:pPr>
      <w:r w:rsidRPr="006823D4">
        <w:rPr>
          <w:rFonts w:eastAsia="Times New Roman" w:cs="Times New Roman"/>
          <w:color w:val="000000"/>
          <w:szCs w:val="24"/>
          <w:lang w:eastAsia="es-CO"/>
        </w:rPr>
        <w:t> </w:t>
      </w:r>
    </w:p>
    <w:p w14:paraId="3F2370B3" w14:textId="77777777" w:rsidR="006823D4" w:rsidRPr="006823D4" w:rsidRDefault="006823D4" w:rsidP="006823D4">
      <w:pPr>
        <w:spacing w:after="0" w:line="360" w:lineRule="auto"/>
        <w:jc w:val="both"/>
        <w:rPr>
          <w:rFonts w:eastAsia="Times New Roman" w:cs="Times New Roman"/>
          <w:color w:val="000000"/>
          <w:sz w:val="36"/>
          <w:szCs w:val="36"/>
          <w:lang w:eastAsia="es-CO"/>
        </w:rPr>
      </w:pPr>
      <w:r w:rsidRPr="006823D4">
        <w:rPr>
          <w:rFonts w:eastAsia="Times New Roman" w:cs="Times New Roman"/>
          <w:color w:val="000000"/>
          <w:sz w:val="36"/>
          <w:szCs w:val="36"/>
          <w:highlight w:val="green"/>
          <w:lang w:eastAsia="es-CO"/>
        </w:rPr>
        <w:t xml:space="preserve">En efecto, aunque existe una mutua colaboración para la explotación de un predio rural (o parte del mismo), para lo cual tanto el propietario como el aparcero realizan diferentes aportes (cfr. artículo 1° de la Ley 6 de 1975), y las utilidades que pueda producir el negocio son distribuidas entre las partes atendiendo </w:t>
      </w:r>
      <w:r w:rsidRPr="006823D4">
        <w:rPr>
          <w:rFonts w:eastAsia="Times New Roman" w:cs="Times New Roman"/>
          <w:color w:val="000000"/>
          <w:sz w:val="36"/>
          <w:szCs w:val="36"/>
          <w:highlight w:val="green"/>
          <w:lang w:eastAsia="es-CO"/>
        </w:rPr>
        <w:lastRenderedPageBreak/>
        <w:t>unos porcentajes (cfr. artículo 8° </w:t>
      </w:r>
      <w:proofErr w:type="spellStart"/>
      <w:r w:rsidRPr="006823D4">
        <w:rPr>
          <w:rFonts w:eastAsia="Times New Roman" w:cs="Times New Roman"/>
          <w:i/>
          <w:iCs/>
          <w:color w:val="000000"/>
          <w:sz w:val="36"/>
          <w:szCs w:val="36"/>
          <w:highlight w:val="green"/>
          <w:lang w:eastAsia="es-CO"/>
        </w:rPr>
        <w:t>ibídem</w:t>
      </w:r>
      <w:proofErr w:type="spellEnd"/>
      <w:r w:rsidRPr="006823D4">
        <w:rPr>
          <w:rFonts w:eastAsia="Times New Roman" w:cs="Times New Roman"/>
          <w:color w:val="000000"/>
          <w:sz w:val="36"/>
          <w:szCs w:val="36"/>
          <w:highlight w:val="green"/>
          <w:lang w:eastAsia="es-CO"/>
        </w:rPr>
        <w:t>), la misma ley se encarga de establecer un rendimiento garantizado a favor del aparcero que – de hecho – es irrenunciable (cfr. artículos 1° y 21 </w:t>
      </w:r>
      <w:proofErr w:type="spellStart"/>
      <w:r w:rsidRPr="006823D4">
        <w:rPr>
          <w:rFonts w:eastAsia="Times New Roman" w:cs="Times New Roman"/>
          <w:i/>
          <w:iCs/>
          <w:color w:val="000000"/>
          <w:sz w:val="36"/>
          <w:szCs w:val="36"/>
          <w:highlight w:val="green"/>
          <w:lang w:eastAsia="es-CO"/>
        </w:rPr>
        <w:t>ibídem</w:t>
      </w:r>
      <w:proofErr w:type="spellEnd"/>
      <w:r w:rsidRPr="006823D4">
        <w:rPr>
          <w:rFonts w:eastAsia="Times New Roman" w:cs="Times New Roman"/>
          <w:color w:val="000000"/>
          <w:sz w:val="36"/>
          <w:szCs w:val="36"/>
          <w:highlight w:val="green"/>
          <w:lang w:eastAsia="es-CO"/>
        </w:rPr>
        <w:t>); a saber, el anticipo, que en ningún caso podrá ser inferior al salario mínimo legal por cada día de trabajo en el cultivo y recolección de la cosecha y que no será objeto de devolución si el contrato no genera utilidades por causas no imputables al aparcero.</w:t>
      </w:r>
    </w:p>
    <w:p w14:paraId="4DA752D3" w14:textId="77777777" w:rsidR="006823D4" w:rsidRPr="006823D4" w:rsidRDefault="006823D4" w:rsidP="006823D4">
      <w:pPr>
        <w:spacing w:after="0" w:line="360" w:lineRule="auto"/>
        <w:jc w:val="both"/>
        <w:rPr>
          <w:rFonts w:eastAsia="Times New Roman" w:cs="Times New Roman"/>
          <w:color w:val="000000"/>
          <w:szCs w:val="24"/>
          <w:lang w:eastAsia="es-CO"/>
        </w:rPr>
      </w:pPr>
      <w:r w:rsidRPr="006823D4">
        <w:rPr>
          <w:rFonts w:eastAsia="Times New Roman" w:cs="Times New Roman"/>
          <w:color w:val="000000"/>
          <w:szCs w:val="24"/>
          <w:lang w:eastAsia="es-CO"/>
        </w:rPr>
        <w:t> </w:t>
      </w:r>
    </w:p>
    <w:p w14:paraId="272153A7" w14:textId="77777777" w:rsidR="006823D4" w:rsidRPr="004205AA" w:rsidRDefault="006823D4" w:rsidP="006823D4">
      <w:pPr>
        <w:spacing w:after="0" w:line="360" w:lineRule="auto"/>
        <w:jc w:val="both"/>
        <w:rPr>
          <w:rFonts w:eastAsia="Times New Roman" w:cs="Times New Roman"/>
          <w:color w:val="000000"/>
          <w:sz w:val="32"/>
          <w:szCs w:val="32"/>
          <w:lang w:eastAsia="es-CO"/>
        </w:rPr>
      </w:pPr>
      <w:r w:rsidRPr="004205AA">
        <w:rPr>
          <w:rFonts w:eastAsia="Times New Roman" w:cs="Times New Roman"/>
          <w:color w:val="000000"/>
          <w:sz w:val="32"/>
          <w:szCs w:val="32"/>
          <w:highlight w:val="cyan"/>
          <w:lang w:eastAsia="es-CO"/>
        </w:rPr>
        <w:t>Del mismo modo, se puede predicar que existe un rendimiento garantizado respecto a los servicios personales que preste el aparcero a quien suministra la parcela en desarrollo del contrato y que impliquen un pago fijo para el primero.</w:t>
      </w:r>
    </w:p>
    <w:p w14:paraId="013398F1" w14:textId="77777777" w:rsidR="006823D4" w:rsidRPr="006823D4" w:rsidRDefault="006823D4" w:rsidP="006823D4">
      <w:pPr>
        <w:spacing w:after="0" w:line="360" w:lineRule="auto"/>
        <w:jc w:val="both"/>
        <w:rPr>
          <w:rFonts w:eastAsia="Times New Roman" w:cs="Times New Roman"/>
          <w:color w:val="000000"/>
          <w:szCs w:val="24"/>
          <w:lang w:eastAsia="es-CO"/>
        </w:rPr>
      </w:pPr>
    </w:p>
    <w:p w14:paraId="08D4CA79" w14:textId="77777777" w:rsidR="006823D4" w:rsidRPr="004205AA" w:rsidRDefault="006823D4" w:rsidP="006823D4">
      <w:pPr>
        <w:spacing w:after="0" w:line="360" w:lineRule="auto"/>
        <w:jc w:val="both"/>
        <w:rPr>
          <w:rFonts w:eastAsia="Times New Roman" w:cs="Times New Roman"/>
          <w:color w:val="000000"/>
          <w:sz w:val="32"/>
          <w:szCs w:val="32"/>
          <w:lang w:eastAsia="es-CO"/>
        </w:rPr>
      </w:pPr>
      <w:r w:rsidRPr="004205AA">
        <w:rPr>
          <w:rFonts w:eastAsia="Times New Roman" w:cs="Times New Roman"/>
          <w:color w:val="000000"/>
          <w:sz w:val="32"/>
          <w:szCs w:val="32"/>
          <w:highlight w:val="cyan"/>
          <w:lang w:eastAsia="es-CO"/>
        </w:rPr>
        <w:t>Respecto de los demás aportes que se realicen en ejecución del contrato de aparcería, se deberá atender lo consagrado en el </w:t>
      </w:r>
      <w:hyperlink r:id="rId9" w:tooltip="Estatuto Tributario CETA" w:history="1">
        <w:r w:rsidRPr="004205AA">
          <w:rPr>
            <w:rFonts w:eastAsia="Times New Roman" w:cs="Times New Roman"/>
            <w:color w:val="0089E1"/>
            <w:sz w:val="32"/>
            <w:szCs w:val="32"/>
            <w:highlight w:val="cyan"/>
            <w:lang w:eastAsia="es-CO"/>
          </w:rPr>
          <w:t>artículo 18</w:t>
        </w:r>
      </w:hyperlink>
      <w:r w:rsidRPr="004205AA">
        <w:rPr>
          <w:rFonts w:eastAsia="Times New Roman" w:cs="Times New Roman"/>
          <w:color w:val="000000"/>
          <w:sz w:val="32"/>
          <w:szCs w:val="32"/>
          <w:highlight w:val="cyan"/>
          <w:lang w:eastAsia="es-CO"/>
        </w:rPr>
        <w:t> del Estatuto Tributario, tal y como se explicó en el punto 2.1. Lo anterior sin perjuicio de las implicaciones tributarias cuando exista una relación laboral entre las partes.</w:t>
      </w:r>
    </w:p>
    <w:p w14:paraId="66684238" w14:textId="77777777" w:rsidR="006823D4" w:rsidRPr="004205AA" w:rsidRDefault="006823D4" w:rsidP="006823D4">
      <w:pPr>
        <w:spacing w:after="0" w:line="360" w:lineRule="auto"/>
        <w:jc w:val="both"/>
        <w:rPr>
          <w:rFonts w:eastAsia="Times New Roman" w:cs="Times New Roman"/>
          <w:color w:val="000000"/>
          <w:sz w:val="32"/>
          <w:szCs w:val="32"/>
          <w:lang w:eastAsia="es-CO"/>
        </w:rPr>
      </w:pPr>
      <w:r w:rsidRPr="004205AA">
        <w:rPr>
          <w:rFonts w:eastAsia="Times New Roman" w:cs="Times New Roman"/>
          <w:color w:val="000000"/>
          <w:sz w:val="32"/>
          <w:szCs w:val="32"/>
          <w:lang w:eastAsia="es-CO"/>
        </w:rPr>
        <w:t> </w:t>
      </w:r>
    </w:p>
    <w:p w14:paraId="0653BA99" w14:textId="0736AC06" w:rsidR="006823D4" w:rsidRPr="006823D4" w:rsidRDefault="006823D4" w:rsidP="006823D4">
      <w:pPr>
        <w:spacing w:after="0" w:line="360" w:lineRule="auto"/>
        <w:jc w:val="both"/>
        <w:rPr>
          <w:rFonts w:eastAsia="Times New Roman" w:cs="Times New Roman"/>
          <w:color w:val="000000"/>
          <w:szCs w:val="24"/>
          <w:lang w:eastAsia="es-CO"/>
        </w:rPr>
      </w:pPr>
      <w:r w:rsidRPr="006823D4">
        <w:rPr>
          <w:rFonts w:eastAsia="Times New Roman" w:cs="Times New Roman"/>
          <w:color w:val="000000"/>
          <w:szCs w:val="24"/>
          <w:lang w:eastAsia="es-CO"/>
        </w:rPr>
        <w:t>Atentamente,</w:t>
      </w:r>
    </w:p>
    <w:p w14:paraId="552A4471" w14:textId="77777777" w:rsidR="006823D4" w:rsidRPr="006823D4" w:rsidRDefault="006823D4" w:rsidP="006823D4">
      <w:pPr>
        <w:spacing w:after="0" w:line="360" w:lineRule="auto"/>
        <w:jc w:val="both"/>
        <w:rPr>
          <w:rFonts w:eastAsia="Times New Roman" w:cs="Times New Roman"/>
          <w:color w:val="000000"/>
          <w:szCs w:val="24"/>
          <w:lang w:eastAsia="es-CO"/>
        </w:rPr>
      </w:pPr>
      <w:r w:rsidRPr="006823D4">
        <w:rPr>
          <w:rFonts w:eastAsia="Times New Roman" w:cs="Times New Roman"/>
          <w:color w:val="000000"/>
          <w:szCs w:val="24"/>
          <w:lang w:eastAsia="es-CO"/>
        </w:rPr>
        <w:t> </w:t>
      </w:r>
    </w:p>
    <w:p w14:paraId="2EA9AD49" w14:textId="4DC14AB2" w:rsidR="006823D4" w:rsidRPr="006823D4" w:rsidRDefault="006823D4" w:rsidP="006823D4">
      <w:pPr>
        <w:spacing w:after="0" w:line="360" w:lineRule="auto"/>
        <w:jc w:val="both"/>
        <w:rPr>
          <w:rFonts w:eastAsia="Times New Roman" w:cs="Times New Roman"/>
          <w:color w:val="000000"/>
          <w:szCs w:val="24"/>
          <w:lang w:eastAsia="es-CO"/>
        </w:rPr>
      </w:pPr>
      <w:r w:rsidRPr="006823D4">
        <w:rPr>
          <w:rFonts w:eastAsia="Times New Roman" w:cs="Times New Roman"/>
          <w:b/>
          <w:bCs/>
          <w:color w:val="000000"/>
          <w:szCs w:val="24"/>
          <w:lang w:eastAsia="es-CO"/>
        </w:rPr>
        <w:t>PABLO EMILIO MENDOZA VELILLA</w:t>
      </w:r>
    </w:p>
    <w:p w14:paraId="3E69A1EF" w14:textId="77777777" w:rsidR="006823D4" w:rsidRPr="006823D4" w:rsidRDefault="006823D4" w:rsidP="006823D4">
      <w:pPr>
        <w:spacing w:after="0" w:line="360" w:lineRule="auto"/>
        <w:jc w:val="both"/>
        <w:rPr>
          <w:rFonts w:eastAsia="Times New Roman" w:cs="Times New Roman"/>
          <w:color w:val="000000"/>
          <w:szCs w:val="24"/>
          <w:lang w:eastAsia="es-CO"/>
        </w:rPr>
      </w:pPr>
      <w:r w:rsidRPr="006823D4">
        <w:rPr>
          <w:rFonts w:eastAsia="Times New Roman" w:cs="Times New Roman"/>
          <w:color w:val="000000"/>
          <w:szCs w:val="24"/>
          <w:lang w:eastAsia="es-CO"/>
        </w:rPr>
        <w:t>Subdirector de Gestión Normativa y Doctrina</w:t>
      </w:r>
    </w:p>
    <w:p w14:paraId="7576348C" w14:textId="77777777" w:rsidR="006823D4" w:rsidRPr="006823D4" w:rsidRDefault="006823D4" w:rsidP="006823D4">
      <w:pPr>
        <w:spacing w:after="0" w:line="360" w:lineRule="auto"/>
        <w:jc w:val="both"/>
        <w:rPr>
          <w:rFonts w:eastAsia="Times New Roman" w:cs="Times New Roman"/>
          <w:color w:val="000000"/>
          <w:szCs w:val="24"/>
          <w:lang w:eastAsia="es-CO"/>
        </w:rPr>
      </w:pPr>
      <w:r w:rsidRPr="006823D4">
        <w:rPr>
          <w:rFonts w:eastAsia="Times New Roman" w:cs="Times New Roman"/>
          <w:color w:val="000000"/>
          <w:szCs w:val="24"/>
          <w:lang w:eastAsia="es-CO"/>
        </w:rPr>
        <w:t>Dirección de Gestión Jurídica</w:t>
      </w:r>
    </w:p>
    <w:p w14:paraId="52CAE02F" w14:textId="0B5B6D14" w:rsidR="006823D4" w:rsidRDefault="006823D4" w:rsidP="006823D4">
      <w:pPr>
        <w:spacing w:after="0" w:line="360" w:lineRule="auto"/>
        <w:jc w:val="both"/>
        <w:rPr>
          <w:rFonts w:eastAsia="Times New Roman" w:cs="Times New Roman"/>
          <w:color w:val="000000"/>
          <w:szCs w:val="24"/>
          <w:lang w:eastAsia="es-CO"/>
        </w:rPr>
      </w:pPr>
      <w:r w:rsidRPr="006823D4">
        <w:rPr>
          <w:rFonts w:eastAsia="Times New Roman" w:cs="Times New Roman"/>
          <w:color w:val="000000"/>
          <w:szCs w:val="24"/>
          <w:lang w:eastAsia="es-CO"/>
        </w:rPr>
        <w:t>UAE-DIAN</w:t>
      </w:r>
    </w:p>
    <w:p w14:paraId="4D7446A5" w14:textId="49B26270" w:rsidR="009A6410" w:rsidRPr="006823D4" w:rsidRDefault="009A6410" w:rsidP="006823D4">
      <w:pPr>
        <w:spacing w:after="0" w:line="360" w:lineRule="auto"/>
        <w:jc w:val="both"/>
        <w:rPr>
          <w:rFonts w:eastAsia="Times New Roman" w:cs="Times New Roman"/>
          <w:color w:val="000000"/>
          <w:szCs w:val="24"/>
          <w:lang w:eastAsia="es-CO"/>
        </w:rPr>
      </w:pPr>
      <w:r>
        <w:rPr>
          <w:rFonts w:eastAsia="Times New Roman" w:cs="Times New Roman"/>
          <w:color w:val="000000"/>
          <w:szCs w:val="24"/>
          <w:lang w:eastAsia="es-CO"/>
        </w:rPr>
        <w:t>_____________________________________________________________________________</w:t>
      </w:r>
    </w:p>
    <w:p w14:paraId="3DDCD627" w14:textId="77777777" w:rsidR="007F5CC8" w:rsidRPr="006823D4" w:rsidRDefault="007F5CC8" w:rsidP="006823D4">
      <w:pPr>
        <w:spacing w:line="360" w:lineRule="auto"/>
        <w:rPr>
          <w:rFonts w:cs="Times New Roman"/>
          <w:szCs w:val="24"/>
        </w:rPr>
      </w:pPr>
    </w:p>
    <w:sectPr w:rsidR="007F5CC8" w:rsidRPr="006823D4"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D4"/>
    <w:rsid w:val="000F3837"/>
    <w:rsid w:val="001E311E"/>
    <w:rsid w:val="004205AA"/>
    <w:rsid w:val="00434AE6"/>
    <w:rsid w:val="006823D4"/>
    <w:rsid w:val="007F5CC8"/>
    <w:rsid w:val="008779BE"/>
    <w:rsid w:val="009A6410"/>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8E23"/>
  <w15:chartTrackingRefBased/>
  <w15:docId w15:val="{71B7896C-687A-4A79-980E-57A9EECD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0517621">
      <w:bodyDiv w:val="1"/>
      <w:marLeft w:val="0"/>
      <w:marRight w:val="0"/>
      <w:marTop w:val="0"/>
      <w:marBottom w:val="0"/>
      <w:divBdr>
        <w:top w:val="none" w:sz="0" w:space="0" w:color="auto"/>
        <w:left w:val="none" w:sz="0" w:space="0" w:color="auto"/>
        <w:bottom w:val="none" w:sz="0" w:space="0" w:color="auto"/>
        <w:right w:val="none" w:sz="0" w:space="0" w:color="auto"/>
      </w:divBdr>
    </w:div>
    <w:div w:id="1104302905">
      <w:bodyDiv w:val="1"/>
      <w:marLeft w:val="0"/>
      <w:marRight w:val="0"/>
      <w:marTop w:val="0"/>
      <w:marBottom w:val="0"/>
      <w:divBdr>
        <w:top w:val="none" w:sz="0" w:space="0" w:color="auto"/>
        <w:left w:val="none" w:sz="0" w:space="0" w:color="auto"/>
        <w:bottom w:val="none" w:sz="0" w:space="0" w:color="auto"/>
        <w:right w:val="none" w:sz="0" w:space="0" w:color="auto"/>
      </w:divBdr>
    </w:div>
    <w:div w:id="1511413661">
      <w:bodyDiv w:val="1"/>
      <w:marLeft w:val="0"/>
      <w:marRight w:val="0"/>
      <w:marTop w:val="0"/>
      <w:marBottom w:val="0"/>
      <w:divBdr>
        <w:top w:val="none" w:sz="0" w:space="0" w:color="auto"/>
        <w:left w:val="none" w:sz="0" w:space="0" w:color="auto"/>
        <w:bottom w:val="none" w:sz="0" w:space="0" w:color="auto"/>
        <w:right w:val="none" w:sz="0" w:space="0" w:color="auto"/>
      </w:divBdr>
    </w:div>
    <w:div w:id="163953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2"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4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42" TargetMode="External"/><Relationship Id="rId11" Type="http://schemas.openxmlformats.org/officeDocument/2006/relationships/theme" Target="theme/theme1.xml"/><Relationship Id="rId5" Type="http://schemas.openxmlformats.org/officeDocument/2006/relationships/hyperlink" Target="https://www.ceta.org.co/html/vista_de_un_articulo.asp?Norma=42" TargetMode="External"/><Relationship Id="rId10" Type="http://schemas.openxmlformats.org/officeDocument/2006/relationships/fontTable" Target="fontTable.xml"/><Relationship Id="rId4" Type="http://schemas.openxmlformats.org/officeDocument/2006/relationships/hyperlink" Target="https://www.ceta.org.co/html/vista_de_un_articulo.asp?Norma=42" TargetMode="External"/><Relationship Id="rId9" Type="http://schemas.openxmlformats.org/officeDocument/2006/relationships/hyperlink" Target="https://www.ceta.org.co/html/vista_de_un_articulo.asp?Norma=4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1767</Words>
  <Characters>9721</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2</cp:revision>
  <dcterms:created xsi:type="dcterms:W3CDTF">2021-03-18T00:00:00Z</dcterms:created>
  <dcterms:modified xsi:type="dcterms:W3CDTF">2021-03-25T00:15:00Z</dcterms:modified>
</cp:coreProperties>
</file>