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2F73" w14:textId="77777777" w:rsidR="00C572FE" w:rsidRPr="00430F88" w:rsidRDefault="00C572FE" w:rsidP="00430F88">
      <w:pPr>
        <w:rPr>
          <w:rFonts w:cs="Times New Roman"/>
          <w:szCs w:val="24"/>
        </w:rPr>
      </w:pPr>
    </w:p>
    <w:p w14:paraId="342E14B0" w14:textId="77777777" w:rsidR="00C572FE" w:rsidRPr="00430F88" w:rsidRDefault="00C572FE" w:rsidP="00430F88">
      <w:pPr>
        <w:rPr>
          <w:rFonts w:cs="Times New Roman"/>
          <w:szCs w:val="24"/>
        </w:rPr>
      </w:pPr>
    </w:p>
    <w:tbl>
      <w:tblPr>
        <w:tblW w:w="0" w:type="auto"/>
        <w:tblCellSpacing w:w="0" w:type="dxa"/>
        <w:tblCellMar>
          <w:left w:w="0" w:type="dxa"/>
          <w:right w:w="0" w:type="dxa"/>
        </w:tblCellMar>
        <w:tblLook w:val="04A0" w:firstRow="1" w:lastRow="0" w:firstColumn="1" w:lastColumn="0" w:noHBand="0" w:noVBand="1"/>
      </w:tblPr>
      <w:tblGrid>
        <w:gridCol w:w="8789"/>
      </w:tblGrid>
      <w:tr w:rsidR="00C572FE" w:rsidRPr="00430F88" w14:paraId="330E467A" w14:textId="77777777" w:rsidTr="00C572FE">
        <w:trPr>
          <w:tblCellSpacing w:w="0" w:type="dxa"/>
        </w:trPr>
        <w:tc>
          <w:tcPr>
            <w:tcW w:w="8789" w:type="dxa"/>
            <w:hideMark/>
          </w:tcPr>
          <w:p w14:paraId="66DC6978" w14:textId="77777777" w:rsidR="00C572FE" w:rsidRPr="00430F88" w:rsidRDefault="00C572FE" w:rsidP="00430F88">
            <w:pPr>
              <w:jc w:val="center"/>
              <w:rPr>
                <w:rFonts w:eastAsia="Times New Roman" w:cs="Times New Roman"/>
                <w:color w:val="000000"/>
                <w:szCs w:val="24"/>
                <w:lang w:val="es-CO"/>
              </w:rPr>
            </w:pPr>
            <w:r w:rsidRPr="00430F88">
              <w:rPr>
                <w:rFonts w:eastAsia="Times New Roman" w:cs="Times New Roman"/>
                <w:b/>
                <w:bCs/>
                <w:color w:val="0000FF"/>
                <w:szCs w:val="24"/>
                <w:lang w:val="es-CO"/>
              </w:rPr>
              <w:t>OFICIO Nº 000704</w:t>
            </w:r>
          </w:p>
          <w:p w14:paraId="30C71003" w14:textId="77777777" w:rsidR="00C572FE" w:rsidRPr="00430F88" w:rsidRDefault="00C572FE" w:rsidP="00430F88">
            <w:pPr>
              <w:jc w:val="center"/>
              <w:rPr>
                <w:rFonts w:eastAsia="Times New Roman" w:cs="Times New Roman"/>
                <w:color w:val="000000"/>
                <w:szCs w:val="24"/>
                <w:lang w:val="es-CO"/>
              </w:rPr>
            </w:pPr>
            <w:r w:rsidRPr="00430F88">
              <w:rPr>
                <w:rFonts w:eastAsia="Times New Roman" w:cs="Times New Roman"/>
                <w:b/>
                <w:bCs/>
                <w:color w:val="0000FF"/>
                <w:szCs w:val="24"/>
                <w:lang w:val="es-CO"/>
              </w:rPr>
              <w:t>08-05-2018</w:t>
            </w:r>
          </w:p>
          <w:p w14:paraId="5FBE20C0" w14:textId="77777777" w:rsidR="00C572FE" w:rsidRPr="00430F88" w:rsidRDefault="00C572FE" w:rsidP="00430F88">
            <w:pPr>
              <w:jc w:val="center"/>
              <w:rPr>
                <w:rFonts w:eastAsia="Times New Roman" w:cs="Times New Roman"/>
                <w:color w:val="000000"/>
                <w:szCs w:val="24"/>
                <w:lang w:val="es-CO"/>
              </w:rPr>
            </w:pPr>
            <w:r w:rsidRPr="00430F88">
              <w:rPr>
                <w:rFonts w:eastAsia="Times New Roman" w:cs="Times New Roman"/>
                <w:b/>
                <w:bCs/>
                <w:color w:val="0000FF"/>
                <w:szCs w:val="24"/>
                <w:lang w:val="es-CO"/>
              </w:rPr>
              <w:t>DIAN</w:t>
            </w:r>
          </w:p>
          <w:p w14:paraId="1BFB418A"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 </w:t>
            </w:r>
          </w:p>
          <w:p w14:paraId="110E122B"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 </w:t>
            </w:r>
          </w:p>
          <w:p w14:paraId="63DBB696"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Subdirección de Gestión Normativa y Doctrina</w:t>
            </w:r>
          </w:p>
          <w:p w14:paraId="7EF896D1"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Bogotá, D.C.</w:t>
            </w:r>
          </w:p>
          <w:p w14:paraId="21BED992"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100208221- 000704</w:t>
            </w:r>
          </w:p>
          <w:p w14:paraId="31AD8371"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 </w:t>
            </w:r>
          </w:p>
          <w:p w14:paraId="689851E0"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Señora</w:t>
            </w:r>
          </w:p>
          <w:p w14:paraId="3689F7AF"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b/>
                <w:bCs/>
                <w:color w:val="000000"/>
                <w:szCs w:val="24"/>
                <w:lang w:val="es-CO"/>
              </w:rPr>
              <w:t>CLAUDIA FRANCO VÉLEZ</w:t>
            </w:r>
          </w:p>
          <w:p w14:paraId="65EFD155"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Gerente General</w:t>
            </w:r>
          </w:p>
          <w:p w14:paraId="3C3EA523"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Asociación Nacional de Música Sinfónica</w:t>
            </w:r>
          </w:p>
          <w:p w14:paraId="4A5201D6" w14:textId="77777777" w:rsidR="00C572FE" w:rsidRPr="00430F88" w:rsidRDefault="00BF6009" w:rsidP="00430F88">
            <w:pPr>
              <w:rPr>
                <w:rFonts w:eastAsia="Times New Roman" w:cs="Times New Roman"/>
                <w:color w:val="000000"/>
                <w:szCs w:val="24"/>
                <w:lang w:val="es-CO"/>
              </w:rPr>
            </w:pPr>
            <w:hyperlink r:id="rId4" w:history="1">
              <w:r w:rsidR="00C572FE" w:rsidRPr="00430F88">
                <w:rPr>
                  <w:rFonts w:eastAsia="Times New Roman" w:cs="Times New Roman"/>
                  <w:color w:val="0089E1"/>
                  <w:szCs w:val="24"/>
                  <w:u w:val="single"/>
                  <w:lang w:val="es-CO"/>
                </w:rPr>
                <w:t>claudia.franco@sinfonica.com.co</w:t>
              </w:r>
            </w:hyperlink>
          </w:p>
          <w:p w14:paraId="471D4B94" w14:textId="77777777" w:rsidR="00C572FE" w:rsidRPr="00430F88" w:rsidRDefault="00BF6009" w:rsidP="00430F88">
            <w:pPr>
              <w:rPr>
                <w:rFonts w:eastAsia="Times New Roman" w:cs="Times New Roman"/>
                <w:color w:val="000000"/>
                <w:szCs w:val="24"/>
                <w:lang w:val="es-CO"/>
              </w:rPr>
            </w:pPr>
            <w:hyperlink r:id="rId5" w:history="1">
              <w:r w:rsidR="00C572FE" w:rsidRPr="00430F88">
                <w:rPr>
                  <w:rFonts w:eastAsia="Times New Roman" w:cs="Times New Roman"/>
                  <w:color w:val="0089E1"/>
                  <w:szCs w:val="24"/>
                  <w:u w:val="single"/>
                  <w:lang w:val="es-CO"/>
                </w:rPr>
                <w:t>deisy.burbano@sinfonica.com.co</w:t>
              </w:r>
            </w:hyperlink>
          </w:p>
          <w:p w14:paraId="49E948A1"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Calle 10 No. 5 – 22</w:t>
            </w:r>
          </w:p>
          <w:p w14:paraId="1594167E"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Bogotá D.C</w:t>
            </w:r>
          </w:p>
          <w:p w14:paraId="6D2F969E"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 </w:t>
            </w:r>
          </w:p>
          <w:p w14:paraId="55B22A1A" w14:textId="77777777" w:rsidR="00C572FE" w:rsidRPr="00430F88" w:rsidRDefault="00C572FE" w:rsidP="00430F88">
            <w:pPr>
              <w:rPr>
                <w:rFonts w:eastAsia="Times New Roman" w:cs="Times New Roman"/>
                <w:color w:val="000000"/>
                <w:szCs w:val="24"/>
                <w:lang w:val="es-CO"/>
              </w:rPr>
            </w:pPr>
            <w:proofErr w:type="spellStart"/>
            <w:r w:rsidRPr="00430F88">
              <w:rPr>
                <w:rFonts w:eastAsia="Times New Roman" w:cs="Times New Roman"/>
                <w:b/>
                <w:bCs/>
                <w:color w:val="000000"/>
                <w:szCs w:val="24"/>
                <w:lang w:val="es-CO"/>
              </w:rPr>
              <w:t>Ref</w:t>
            </w:r>
            <w:proofErr w:type="spellEnd"/>
            <w:r w:rsidRPr="00430F88">
              <w:rPr>
                <w:rFonts w:eastAsia="Times New Roman" w:cs="Times New Roman"/>
                <w:b/>
                <w:bCs/>
                <w:color w:val="000000"/>
                <w:szCs w:val="24"/>
                <w:lang w:val="es-CO"/>
              </w:rPr>
              <w:t>:</w:t>
            </w:r>
            <w:r w:rsidRPr="00430F88">
              <w:rPr>
                <w:rFonts w:eastAsia="Times New Roman" w:cs="Times New Roman"/>
                <w:color w:val="000000"/>
                <w:szCs w:val="24"/>
                <w:lang w:val="es-CO"/>
              </w:rPr>
              <w:t> Radicado 100009893 del 02/03/2018</w:t>
            </w:r>
          </w:p>
          <w:p w14:paraId="2F060748"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 </w:t>
            </w:r>
          </w:p>
          <w:tbl>
            <w:tblPr>
              <w:tblW w:w="0" w:type="auto"/>
              <w:tblCellMar>
                <w:left w:w="0" w:type="dxa"/>
                <w:right w:w="0" w:type="dxa"/>
              </w:tblCellMar>
              <w:tblLook w:val="04A0" w:firstRow="1" w:lastRow="0" w:firstColumn="1" w:lastColumn="0" w:noHBand="0" w:noVBand="1"/>
            </w:tblPr>
            <w:tblGrid>
              <w:gridCol w:w="2116"/>
              <w:gridCol w:w="222"/>
              <w:gridCol w:w="222"/>
              <w:gridCol w:w="3843"/>
            </w:tblGrid>
            <w:tr w:rsidR="00C572FE" w:rsidRPr="00430F88" w14:paraId="576FAA2D" w14:textId="77777777" w:rsidTr="00C572FE">
              <w:tc>
                <w:tcPr>
                  <w:tcW w:w="0" w:type="auto"/>
                  <w:tcBorders>
                    <w:top w:val="nil"/>
                    <w:left w:val="nil"/>
                    <w:bottom w:val="nil"/>
                    <w:right w:val="nil"/>
                  </w:tcBorders>
                  <w:shd w:val="clear" w:color="auto" w:fill="auto"/>
                  <w:tcMar>
                    <w:top w:w="0" w:type="dxa"/>
                    <w:left w:w="108" w:type="dxa"/>
                    <w:bottom w:w="0" w:type="dxa"/>
                    <w:right w:w="108" w:type="dxa"/>
                  </w:tcMar>
                  <w:hideMark/>
                </w:tcPr>
                <w:p w14:paraId="155214D9" w14:textId="77777777" w:rsidR="00C572FE" w:rsidRPr="00430F88" w:rsidRDefault="00C572FE" w:rsidP="00430F88">
                  <w:pPr>
                    <w:rPr>
                      <w:rFonts w:eastAsia="Times New Roman" w:cs="Times New Roman"/>
                      <w:color w:val="auto"/>
                      <w:szCs w:val="24"/>
                      <w:lang w:val="es-CO"/>
                    </w:rPr>
                  </w:pPr>
                  <w:r w:rsidRPr="00430F88">
                    <w:rPr>
                      <w:rFonts w:eastAsia="Times New Roman" w:cs="Times New Roman"/>
                      <w:b/>
                      <w:bCs/>
                      <w:color w:val="auto"/>
                      <w:szCs w:val="24"/>
                      <w:lang w:val="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8F68B72" w14:textId="77777777" w:rsidR="00C572FE" w:rsidRPr="00430F88" w:rsidRDefault="00C572FE" w:rsidP="00430F88">
                  <w:pPr>
                    <w:jc w:val="left"/>
                    <w:rPr>
                      <w:rFonts w:eastAsia="Times New Roman" w:cs="Times New Roman"/>
                      <w:color w:val="auto"/>
                      <w:szCs w:val="24"/>
                      <w:lang w:val="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75505A3F" w14:textId="77777777" w:rsidR="00C572FE" w:rsidRPr="00430F88" w:rsidRDefault="00C572FE" w:rsidP="00430F88">
                  <w:pPr>
                    <w:jc w:val="left"/>
                    <w:rPr>
                      <w:rFonts w:eastAsia="Times New Roman" w:cs="Times New Roman"/>
                      <w:color w:val="auto"/>
                      <w:szCs w:val="24"/>
                      <w:lang w:val="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26A307D1" w14:textId="77777777" w:rsidR="00C572FE" w:rsidRPr="00430F88" w:rsidRDefault="00C572FE" w:rsidP="00430F88">
                  <w:pPr>
                    <w:rPr>
                      <w:rFonts w:eastAsia="Times New Roman" w:cs="Times New Roman"/>
                      <w:color w:val="auto"/>
                      <w:szCs w:val="24"/>
                      <w:lang w:val="es-CO"/>
                    </w:rPr>
                  </w:pPr>
                  <w:r w:rsidRPr="00430F88">
                    <w:rPr>
                      <w:rFonts w:eastAsia="Times New Roman" w:cs="Times New Roman"/>
                      <w:color w:val="auto"/>
                      <w:szCs w:val="24"/>
                      <w:lang w:val="es-CO"/>
                    </w:rPr>
                    <w:t>Retención en la fuente</w:t>
                  </w:r>
                </w:p>
              </w:tc>
            </w:tr>
            <w:tr w:rsidR="00C572FE" w:rsidRPr="00430F88" w14:paraId="42629A11" w14:textId="77777777" w:rsidTr="00C572FE">
              <w:tc>
                <w:tcPr>
                  <w:tcW w:w="0" w:type="auto"/>
                  <w:tcBorders>
                    <w:top w:val="nil"/>
                    <w:left w:val="nil"/>
                    <w:bottom w:val="nil"/>
                    <w:right w:val="nil"/>
                  </w:tcBorders>
                  <w:shd w:val="clear" w:color="auto" w:fill="auto"/>
                  <w:tcMar>
                    <w:top w:w="0" w:type="dxa"/>
                    <w:left w:w="108" w:type="dxa"/>
                    <w:bottom w:w="0" w:type="dxa"/>
                    <w:right w:w="108" w:type="dxa"/>
                  </w:tcMar>
                  <w:hideMark/>
                </w:tcPr>
                <w:p w14:paraId="71E06499" w14:textId="77777777" w:rsidR="00C572FE" w:rsidRPr="00430F88" w:rsidRDefault="00C572FE" w:rsidP="00430F88">
                  <w:pPr>
                    <w:rPr>
                      <w:rFonts w:eastAsia="Times New Roman" w:cs="Times New Roman"/>
                      <w:color w:val="auto"/>
                      <w:szCs w:val="24"/>
                      <w:lang w:val="es-CO"/>
                    </w:rPr>
                  </w:pPr>
                  <w:r w:rsidRPr="00430F88">
                    <w:rPr>
                      <w:rFonts w:eastAsia="Times New Roman" w:cs="Times New Roman"/>
                      <w:b/>
                      <w:bCs/>
                      <w:color w:val="auto"/>
                      <w:szCs w:val="24"/>
                      <w:lang w:val="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8804322" w14:textId="77777777" w:rsidR="00C572FE" w:rsidRPr="00430F88" w:rsidRDefault="00C572FE" w:rsidP="00430F88">
                  <w:pPr>
                    <w:jc w:val="left"/>
                    <w:rPr>
                      <w:rFonts w:eastAsia="Times New Roman" w:cs="Times New Roman"/>
                      <w:color w:val="auto"/>
                      <w:szCs w:val="24"/>
                      <w:lang w:val="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7B9C4B6F" w14:textId="77777777" w:rsidR="00C572FE" w:rsidRPr="00430F88" w:rsidRDefault="00C572FE" w:rsidP="00430F88">
                  <w:pPr>
                    <w:jc w:val="left"/>
                    <w:rPr>
                      <w:rFonts w:eastAsia="Times New Roman" w:cs="Times New Roman"/>
                      <w:color w:val="auto"/>
                      <w:szCs w:val="24"/>
                      <w:lang w:val="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3606EA98" w14:textId="77777777" w:rsidR="00C572FE" w:rsidRPr="00430F88" w:rsidRDefault="00C572FE" w:rsidP="00430F88">
                  <w:pPr>
                    <w:rPr>
                      <w:rFonts w:eastAsia="Times New Roman" w:cs="Times New Roman"/>
                      <w:color w:val="auto"/>
                      <w:szCs w:val="24"/>
                      <w:lang w:val="es-CO"/>
                    </w:rPr>
                  </w:pPr>
                  <w:r w:rsidRPr="00430F88">
                    <w:rPr>
                      <w:rFonts w:eastAsia="Times New Roman" w:cs="Times New Roman"/>
                      <w:color w:val="auto"/>
                      <w:szCs w:val="24"/>
                      <w:lang w:val="es-CO"/>
                    </w:rPr>
                    <w:t>Contratos de Construcción</w:t>
                  </w:r>
                </w:p>
              </w:tc>
            </w:tr>
            <w:tr w:rsidR="00C572FE" w:rsidRPr="00430F88" w14:paraId="75AE911E" w14:textId="77777777" w:rsidTr="00C572FE">
              <w:tc>
                <w:tcPr>
                  <w:tcW w:w="0" w:type="auto"/>
                  <w:tcBorders>
                    <w:top w:val="nil"/>
                    <w:left w:val="nil"/>
                    <w:bottom w:val="nil"/>
                    <w:right w:val="nil"/>
                  </w:tcBorders>
                  <w:shd w:val="clear" w:color="auto" w:fill="auto"/>
                  <w:tcMar>
                    <w:top w:w="0" w:type="dxa"/>
                    <w:left w:w="108" w:type="dxa"/>
                    <w:bottom w:w="0" w:type="dxa"/>
                    <w:right w:w="108" w:type="dxa"/>
                  </w:tcMar>
                  <w:hideMark/>
                </w:tcPr>
                <w:p w14:paraId="5BBD57A4" w14:textId="77777777" w:rsidR="00C572FE" w:rsidRPr="00430F88" w:rsidRDefault="00C572FE" w:rsidP="00430F88">
                  <w:pPr>
                    <w:rPr>
                      <w:rFonts w:eastAsia="Times New Roman" w:cs="Times New Roman"/>
                      <w:color w:val="auto"/>
                      <w:szCs w:val="24"/>
                      <w:lang w:val="es-CO"/>
                    </w:rPr>
                  </w:pPr>
                  <w:r w:rsidRPr="00430F88">
                    <w:rPr>
                      <w:rFonts w:eastAsia="Times New Roman" w:cs="Times New Roman"/>
                      <w:b/>
                      <w:bCs/>
                      <w:color w:val="auto"/>
                      <w:szCs w:val="24"/>
                      <w:lang w:val="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9D803C6" w14:textId="77777777" w:rsidR="00C572FE" w:rsidRPr="00430F88" w:rsidRDefault="00C572FE" w:rsidP="00430F88">
                  <w:pPr>
                    <w:jc w:val="left"/>
                    <w:rPr>
                      <w:rFonts w:eastAsia="Times New Roman" w:cs="Times New Roman"/>
                      <w:color w:val="auto"/>
                      <w:szCs w:val="24"/>
                      <w:lang w:val="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3F158A90" w14:textId="77777777" w:rsidR="00C572FE" w:rsidRPr="00430F88" w:rsidRDefault="00C572FE" w:rsidP="00430F88">
                  <w:pPr>
                    <w:jc w:val="left"/>
                    <w:rPr>
                      <w:rFonts w:eastAsia="Times New Roman" w:cs="Times New Roman"/>
                      <w:color w:val="auto"/>
                      <w:szCs w:val="24"/>
                      <w:lang w:val="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387182AA" w14:textId="77777777" w:rsidR="00C572FE" w:rsidRPr="00430F88" w:rsidRDefault="00C572FE" w:rsidP="00430F88">
                  <w:pPr>
                    <w:rPr>
                      <w:rFonts w:eastAsia="Times New Roman" w:cs="Times New Roman"/>
                      <w:color w:val="auto"/>
                      <w:szCs w:val="24"/>
                      <w:lang w:val="es-CO"/>
                    </w:rPr>
                  </w:pPr>
                  <w:r w:rsidRPr="00430F88">
                    <w:rPr>
                      <w:rFonts w:eastAsia="Times New Roman" w:cs="Times New Roman"/>
                      <w:color w:val="auto"/>
                      <w:szCs w:val="24"/>
                      <w:lang w:val="es-CO"/>
                    </w:rPr>
                    <w:t>Decreto 1625 de 2016 ART. 1.2.4.9.1</w:t>
                  </w:r>
                </w:p>
              </w:tc>
            </w:tr>
          </w:tbl>
          <w:p w14:paraId="4502122D"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 </w:t>
            </w:r>
          </w:p>
          <w:p w14:paraId="7B801FEF"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 </w:t>
            </w:r>
          </w:p>
          <w:p w14:paraId="7D5620FC"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Cordial saludo, señora Claudia:</w:t>
            </w:r>
          </w:p>
          <w:p w14:paraId="6C3C6BD7"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 </w:t>
            </w:r>
          </w:p>
          <w:p w14:paraId="65020087"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14:paraId="18DB2AC4"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 </w:t>
            </w:r>
          </w:p>
          <w:p w14:paraId="2B044E03"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 xml:space="preserve">En el escrito de la referencia expresa que la Asociación Nacional de Música Sinfónica, contrató con una empresa, la fabricación e instalación de una Concha acústica para el Teatro Colón de Bogotá. Afirma que este elemento corresponde a la definición de inmueble por destilación de acuerdo con lo establecido en el artículo 658 del Código Civil. Afirma que </w:t>
            </w:r>
            <w:r w:rsidRPr="00430F88">
              <w:rPr>
                <w:rFonts w:eastAsia="Times New Roman" w:cs="Times New Roman"/>
                <w:color w:val="000000"/>
                <w:szCs w:val="24"/>
                <w:lang w:val="es-CO"/>
              </w:rPr>
              <w:lastRenderedPageBreak/>
              <w:t>esta Concha acústica servirá de manera definitiva única y exclusivamente para el teatro Colón. Expresa que a pesar de que la Concha acústica pueda adaptarse a los diferentes formatos de presentación –coro, grupo de cámara, orquesta completa- es un elemento inherente a la condición del Teatro y tiene con él una dependencia funcional</w:t>
            </w:r>
          </w:p>
          <w:p w14:paraId="5F319464"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 </w:t>
            </w:r>
          </w:p>
          <w:p w14:paraId="0C16AF3A"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Con lo expuesto pregunta:</w:t>
            </w:r>
          </w:p>
          <w:p w14:paraId="5D4CF0F3"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 </w:t>
            </w:r>
          </w:p>
          <w:p w14:paraId="6BC492E9"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¿Cuál es la tarifa de retención en la fuente aplicable a un contrato de construcción de un inmueble por destinación?</w:t>
            </w:r>
          </w:p>
          <w:p w14:paraId="6F44DF6A"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 </w:t>
            </w:r>
          </w:p>
          <w:p w14:paraId="403BDF91"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b/>
                <w:bCs/>
                <w:color w:val="000000"/>
                <w:szCs w:val="24"/>
                <w:lang w:val="es-CO"/>
              </w:rPr>
              <w:t>RESPUESTA</w:t>
            </w:r>
          </w:p>
          <w:p w14:paraId="53FC9378"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 </w:t>
            </w:r>
          </w:p>
          <w:p w14:paraId="1BB23B9C"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Atendiendo la característica del contrato celebrado y si bien no compete a esta Subdirección calificar la naturaleza civil o comercial del contrato celebrado para la fabricación e instalación de la Concha acústica referida, consideramos que da respuesta de manera general a su inquietud lo ya planeado por esta dependencia en anteriores oportunidades, valga citar el Oficio No. 044201 de mayo 29 de 2009, que expresó:</w:t>
            </w:r>
          </w:p>
          <w:p w14:paraId="1FA5A16C" w14:textId="77777777" w:rsidR="00C572FE" w:rsidRPr="00430F88" w:rsidRDefault="00C572FE" w:rsidP="00430F88">
            <w:pPr>
              <w:ind w:left="180"/>
              <w:rPr>
                <w:rFonts w:eastAsia="Times New Roman" w:cs="Times New Roman"/>
                <w:color w:val="000000"/>
                <w:szCs w:val="24"/>
                <w:lang w:val="es-CO"/>
              </w:rPr>
            </w:pPr>
            <w:r w:rsidRPr="00430F88">
              <w:rPr>
                <w:rFonts w:eastAsia="Times New Roman" w:cs="Times New Roman"/>
                <w:color w:val="000000"/>
                <w:szCs w:val="24"/>
                <w:lang w:val="es-CO"/>
              </w:rPr>
              <w:t> </w:t>
            </w:r>
          </w:p>
          <w:p w14:paraId="302E663B" w14:textId="77777777" w:rsidR="00C572FE" w:rsidRPr="00430F88" w:rsidRDefault="00C572FE" w:rsidP="00430F88">
            <w:pPr>
              <w:ind w:left="180"/>
              <w:rPr>
                <w:rFonts w:eastAsia="Times New Roman" w:cs="Times New Roman"/>
                <w:color w:val="000000"/>
                <w:szCs w:val="24"/>
                <w:lang w:val="es-CO"/>
              </w:rPr>
            </w:pPr>
            <w:r w:rsidRPr="00430F88">
              <w:rPr>
                <w:rFonts w:eastAsia="Times New Roman" w:cs="Times New Roman"/>
                <w:i/>
                <w:iCs/>
                <w:color w:val="000000"/>
                <w:szCs w:val="24"/>
                <w:lang w:val="es-CO"/>
              </w:rPr>
              <w:t>“(…) En torno al tema de los contratos de construcción se han emitido, entre otros, el Concepto 00001 de 2003 y el Oficio 029840 de 2006 que destacamos a continuación en sus apartes pertinentes, por contener aspectos tratados de manera regular por esta Oficina y por constituir doctrina vigente de esta Dirección:</w:t>
            </w:r>
          </w:p>
          <w:p w14:paraId="7F14AF89" w14:textId="77777777" w:rsidR="00C572FE" w:rsidRPr="00430F88" w:rsidRDefault="00C572FE" w:rsidP="00430F88">
            <w:pPr>
              <w:ind w:left="180"/>
              <w:rPr>
                <w:rFonts w:eastAsia="Times New Roman" w:cs="Times New Roman"/>
                <w:color w:val="000000"/>
                <w:szCs w:val="24"/>
                <w:lang w:val="es-CO"/>
              </w:rPr>
            </w:pPr>
            <w:r w:rsidRPr="00430F88">
              <w:rPr>
                <w:rFonts w:eastAsia="Times New Roman" w:cs="Times New Roman"/>
                <w:color w:val="000000"/>
                <w:szCs w:val="24"/>
                <w:lang w:val="es-CO"/>
              </w:rPr>
              <w:t> </w:t>
            </w:r>
          </w:p>
          <w:p w14:paraId="579F0D42" w14:textId="77777777" w:rsidR="00C572FE" w:rsidRPr="00430F88" w:rsidRDefault="00C572FE" w:rsidP="00430F88">
            <w:pPr>
              <w:ind w:left="180"/>
              <w:rPr>
                <w:rFonts w:eastAsia="Times New Roman" w:cs="Times New Roman"/>
                <w:color w:val="000000"/>
                <w:szCs w:val="24"/>
                <w:lang w:val="es-CO"/>
              </w:rPr>
            </w:pPr>
            <w:r w:rsidRPr="00430F88">
              <w:rPr>
                <w:rFonts w:eastAsia="Times New Roman" w:cs="Times New Roman"/>
                <w:i/>
                <w:iCs/>
                <w:color w:val="000000"/>
                <w:szCs w:val="24"/>
                <w:lang w:val="es-CO"/>
              </w:rPr>
              <w:t>Oficio 029840 de 2006: “(…) consulta si los contratos de construcción o fabricación de puentes, estaciones de transporte y demás edificaciones, en estructuras metálicas removibles, así como los contratos de fabricación y montaje de tuberías que se incorporan a un inmueble, se pueden considerar como contratos de confección de obra material de acuerdo con lo señalado en el Concepto Unificado del Impuesto sobre las Ventas.</w:t>
            </w:r>
          </w:p>
          <w:p w14:paraId="0BCC8BCD" w14:textId="77777777" w:rsidR="00C572FE" w:rsidRPr="00430F88" w:rsidRDefault="00C572FE" w:rsidP="00430F88">
            <w:pPr>
              <w:ind w:left="180"/>
              <w:rPr>
                <w:rFonts w:eastAsia="Times New Roman" w:cs="Times New Roman"/>
                <w:color w:val="000000"/>
                <w:szCs w:val="24"/>
                <w:lang w:val="es-CO"/>
              </w:rPr>
            </w:pPr>
            <w:r w:rsidRPr="00430F88">
              <w:rPr>
                <w:rFonts w:eastAsia="Times New Roman" w:cs="Times New Roman"/>
                <w:color w:val="000000"/>
                <w:szCs w:val="24"/>
                <w:lang w:val="es-CO"/>
              </w:rPr>
              <w:t> </w:t>
            </w:r>
          </w:p>
          <w:p w14:paraId="411BDD63" w14:textId="77777777" w:rsidR="00C572FE" w:rsidRPr="00430F88" w:rsidRDefault="00C572FE" w:rsidP="00430F88">
            <w:pPr>
              <w:ind w:left="180"/>
              <w:rPr>
                <w:rFonts w:eastAsia="Times New Roman" w:cs="Times New Roman"/>
                <w:color w:val="000000"/>
                <w:szCs w:val="24"/>
                <w:lang w:val="es-CO"/>
              </w:rPr>
            </w:pPr>
            <w:r w:rsidRPr="00430F88">
              <w:rPr>
                <w:rFonts w:eastAsia="Times New Roman" w:cs="Times New Roman"/>
                <w:i/>
                <w:iCs/>
                <w:color w:val="000000"/>
                <w:szCs w:val="24"/>
                <w:highlight w:val="green"/>
                <w:lang w:val="es-CO"/>
              </w:rPr>
              <w:t>Sea lo primero manifestar que el Concepto Unificado de IVA Nº 001 de 2003, en el título IV, capítulo II, numerales 1.3 y 1.4, analiza el tema de los contratos de confección de obra material, para efectos de la aplicación de lo dispuesto en el artículo 3 del Decreto 1372 de 1992, en los siguientes términos:</w:t>
            </w:r>
          </w:p>
          <w:p w14:paraId="6508F55B" w14:textId="77777777" w:rsidR="00C572FE" w:rsidRPr="00430F88" w:rsidRDefault="00C572FE" w:rsidP="00430F88">
            <w:pPr>
              <w:ind w:left="180"/>
              <w:rPr>
                <w:rFonts w:eastAsia="Times New Roman" w:cs="Times New Roman"/>
                <w:color w:val="000000"/>
                <w:szCs w:val="24"/>
                <w:lang w:val="es-CO"/>
              </w:rPr>
            </w:pPr>
            <w:r w:rsidRPr="00430F88">
              <w:rPr>
                <w:rFonts w:eastAsia="Times New Roman" w:cs="Times New Roman"/>
                <w:color w:val="000000"/>
                <w:szCs w:val="24"/>
                <w:lang w:val="es-CO"/>
              </w:rPr>
              <w:t> </w:t>
            </w:r>
          </w:p>
          <w:p w14:paraId="23B98E75" w14:textId="77777777" w:rsidR="00C572FE" w:rsidRPr="00430F88" w:rsidRDefault="00C572FE" w:rsidP="00430F88">
            <w:pPr>
              <w:ind w:left="180"/>
              <w:rPr>
                <w:rFonts w:eastAsia="Times New Roman" w:cs="Times New Roman"/>
                <w:color w:val="000000"/>
                <w:szCs w:val="24"/>
                <w:lang w:val="es-CO"/>
              </w:rPr>
            </w:pPr>
            <w:r w:rsidRPr="00430F88">
              <w:rPr>
                <w:rFonts w:eastAsia="Times New Roman" w:cs="Times New Roman"/>
                <w:b/>
                <w:bCs/>
                <w:i/>
                <w:iCs/>
                <w:color w:val="000000"/>
                <w:szCs w:val="24"/>
                <w:lang w:val="es-CO"/>
              </w:rPr>
              <w:t>1.3. CONFECCIÓN DE OBRA MATERIAL</w:t>
            </w:r>
          </w:p>
          <w:p w14:paraId="209AF5A6" w14:textId="77777777" w:rsidR="00C572FE" w:rsidRPr="00430F88" w:rsidRDefault="00C572FE" w:rsidP="00430F88">
            <w:pPr>
              <w:ind w:left="180"/>
              <w:rPr>
                <w:rFonts w:eastAsia="Times New Roman" w:cs="Times New Roman"/>
                <w:color w:val="000000"/>
                <w:szCs w:val="24"/>
                <w:lang w:val="es-CO"/>
              </w:rPr>
            </w:pPr>
            <w:r w:rsidRPr="00430F88">
              <w:rPr>
                <w:rFonts w:eastAsia="Times New Roman" w:cs="Times New Roman"/>
                <w:color w:val="000000"/>
                <w:szCs w:val="24"/>
                <w:lang w:val="es-CO"/>
              </w:rPr>
              <w:t> </w:t>
            </w:r>
          </w:p>
          <w:p w14:paraId="73CE9E4B" w14:textId="77777777" w:rsidR="00C572FE" w:rsidRPr="00430F88" w:rsidRDefault="00C572FE" w:rsidP="00430F88">
            <w:pPr>
              <w:ind w:left="180"/>
              <w:rPr>
                <w:rFonts w:eastAsia="Times New Roman" w:cs="Times New Roman"/>
                <w:color w:val="000000"/>
                <w:szCs w:val="24"/>
                <w:lang w:val="es-CO"/>
              </w:rPr>
            </w:pPr>
            <w:r w:rsidRPr="00430F88">
              <w:rPr>
                <w:rFonts w:eastAsia="Times New Roman" w:cs="Times New Roman"/>
                <w:i/>
                <w:iCs/>
                <w:color w:val="000000"/>
                <w:szCs w:val="24"/>
                <w:lang w:val="es-CO"/>
              </w:rPr>
              <w:t xml:space="preserve">Los contratos de confección de obra material, son aquellos por los cuales el contratista directa o indirectamente edifica, fabrica, erige o levanta obras, edificios, construcciones </w:t>
            </w:r>
            <w:r w:rsidRPr="00430F88">
              <w:rPr>
                <w:rFonts w:eastAsia="Times New Roman" w:cs="Times New Roman"/>
                <w:i/>
                <w:iCs/>
                <w:color w:val="000000"/>
                <w:szCs w:val="24"/>
                <w:lang w:val="es-CO"/>
              </w:rPr>
              <w:lastRenderedPageBreak/>
              <w:t xml:space="preserve">para residencias o negocios, puentes, carreteras, represas, acueductos y edificaciones en general y las obras inherentes a la construcción en sí, </w:t>
            </w:r>
            <w:r w:rsidRPr="00430F88">
              <w:rPr>
                <w:rFonts w:eastAsia="Times New Roman" w:cs="Times New Roman"/>
                <w:i/>
                <w:iCs/>
                <w:color w:val="000000"/>
                <w:sz w:val="32"/>
                <w:szCs w:val="32"/>
                <w:highlight w:val="green"/>
                <w:lang w:val="es-CO"/>
              </w:rPr>
              <w:t>no constituyendo contratos de construcción las obras o bienes que pueden removerse o retirarse fácilmente </w:t>
            </w:r>
            <w:r w:rsidRPr="00430F88">
              <w:rPr>
                <w:rFonts w:eastAsia="Times New Roman" w:cs="Times New Roman"/>
                <w:i/>
                <w:iCs/>
                <w:color w:val="000000"/>
                <w:sz w:val="32"/>
                <w:szCs w:val="32"/>
                <w:highlight w:val="green"/>
                <w:u w:val="single"/>
                <w:lang w:val="es-CO"/>
              </w:rPr>
              <w:t>sin detrimento del inmueble</w:t>
            </w:r>
            <w:r w:rsidRPr="00430F88">
              <w:rPr>
                <w:rFonts w:eastAsia="Times New Roman" w:cs="Times New Roman"/>
                <w:i/>
                <w:iCs/>
                <w:color w:val="000000"/>
                <w:sz w:val="32"/>
                <w:szCs w:val="32"/>
                <w:highlight w:val="green"/>
                <w:lang w:val="es-CO"/>
              </w:rPr>
              <w:t> como divisiones internas en edificios ya terminados</w:t>
            </w:r>
            <w:r w:rsidRPr="00430F88">
              <w:rPr>
                <w:rFonts w:eastAsia="Times New Roman" w:cs="Times New Roman"/>
                <w:i/>
                <w:iCs/>
                <w:color w:val="000000"/>
                <w:szCs w:val="24"/>
                <w:lang w:val="es-CO"/>
              </w:rPr>
              <w:t>. Por lo tanto y para efectos impositivos, no por el hecho de denominarse en forma diferente varía su naturaleza, en cuanto hay elementos que siendo de su esencia los caracterizan.</w:t>
            </w:r>
          </w:p>
          <w:p w14:paraId="589B9DE7" w14:textId="77777777" w:rsidR="00C572FE" w:rsidRPr="00430F88" w:rsidRDefault="00C572FE" w:rsidP="00430F88">
            <w:pPr>
              <w:ind w:left="180"/>
              <w:rPr>
                <w:rFonts w:eastAsia="Times New Roman" w:cs="Times New Roman"/>
                <w:color w:val="000000"/>
                <w:szCs w:val="24"/>
                <w:lang w:val="es-CO"/>
              </w:rPr>
            </w:pPr>
            <w:r w:rsidRPr="00430F88">
              <w:rPr>
                <w:rFonts w:eastAsia="Times New Roman" w:cs="Times New Roman"/>
                <w:color w:val="000000"/>
                <w:szCs w:val="24"/>
                <w:lang w:val="es-CO"/>
              </w:rPr>
              <w:t> </w:t>
            </w:r>
          </w:p>
          <w:p w14:paraId="65058E18" w14:textId="77777777" w:rsidR="00C572FE" w:rsidRPr="00430F88" w:rsidRDefault="00C572FE" w:rsidP="00430F88">
            <w:pPr>
              <w:ind w:left="180"/>
              <w:rPr>
                <w:rFonts w:eastAsia="Times New Roman" w:cs="Times New Roman"/>
                <w:color w:val="000000"/>
                <w:sz w:val="32"/>
                <w:szCs w:val="32"/>
                <w:lang w:val="es-CO"/>
              </w:rPr>
            </w:pPr>
            <w:r w:rsidRPr="00430F88">
              <w:rPr>
                <w:rFonts w:eastAsia="Times New Roman" w:cs="Times New Roman"/>
                <w:i/>
                <w:iCs/>
                <w:color w:val="000000"/>
                <w:sz w:val="32"/>
                <w:szCs w:val="32"/>
                <w:highlight w:val="green"/>
                <w:lang w:val="es-CO"/>
              </w:rPr>
              <w:t>El artículo 3 del Decreto 1372 de 1992 establece que «en los contratos de construcción de bien inmueble, el impuesto sobre las ventas se genera sobre la parte de los ingresos correspondiente a los honorarios obtenidos por el constructor. Cuando no se pacten honorarios el impuesto se causará sobre la remuneración del servicio que corresponda a la utilidad del constructor. Para estos efectos, en el respectivo contrato se señalará la parte correspondiente a los honorarios o utilidad, la cual en ningún caso podrá ser inferior a la que comercialmente corresponda a contratos iguales o similares.» (….).</w:t>
            </w:r>
          </w:p>
          <w:p w14:paraId="21290D21" w14:textId="77777777" w:rsidR="00C572FE" w:rsidRPr="00430F88" w:rsidRDefault="00C572FE" w:rsidP="00430F88">
            <w:pPr>
              <w:ind w:left="180"/>
              <w:rPr>
                <w:rFonts w:eastAsia="Times New Roman" w:cs="Times New Roman"/>
                <w:color w:val="000000"/>
                <w:szCs w:val="24"/>
                <w:lang w:val="es-CO"/>
              </w:rPr>
            </w:pPr>
            <w:r w:rsidRPr="00430F88">
              <w:rPr>
                <w:rFonts w:eastAsia="Times New Roman" w:cs="Times New Roman"/>
                <w:color w:val="000000"/>
                <w:szCs w:val="24"/>
                <w:lang w:val="es-CO"/>
              </w:rPr>
              <w:t> </w:t>
            </w:r>
          </w:p>
          <w:p w14:paraId="3EE97FBC" w14:textId="77777777" w:rsidR="00C572FE" w:rsidRPr="00430F88" w:rsidRDefault="00C572FE" w:rsidP="00430F88">
            <w:pPr>
              <w:ind w:left="180"/>
              <w:rPr>
                <w:rFonts w:eastAsia="Times New Roman" w:cs="Times New Roman"/>
                <w:color w:val="000000"/>
                <w:szCs w:val="24"/>
                <w:lang w:val="es-CO"/>
              </w:rPr>
            </w:pPr>
            <w:r w:rsidRPr="00430F88">
              <w:rPr>
                <w:rFonts w:eastAsia="Times New Roman" w:cs="Times New Roman"/>
                <w:b/>
                <w:bCs/>
                <w:i/>
                <w:iCs/>
                <w:color w:val="000000"/>
                <w:szCs w:val="24"/>
                <w:lang w:val="es-CO"/>
              </w:rPr>
              <w:t>1.4. SERVICIO DE CONSTRUCCIÓN</w:t>
            </w:r>
          </w:p>
          <w:p w14:paraId="1ED6137C" w14:textId="77777777" w:rsidR="00C572FE" w:rsidRPr="00430F88" w:rsidRDefault="00C572FE" w:rsidP="00430F88">
            <w:pPr>
              <w:ind w:left="180"/>
              <w:rPr>
                <w:rFonts w:eastAsia="Times New Roman" w:cs="Times New Roman"/>
                <w:color w:val="000000"/>
                <w:szCs w:val="24"/>
                <w:lang w:val="es-CO"/>
              </w:rPr>
            </w:pPr>
            <w:r w:rsidRPr="00430F88">
              <w:rPr>
                <w:rFonts w:eastAsia="Times New Roman" w:cs="Times New Roman"/>
                <w:color w:val="000000"/>
                <w:szCs w:val="24"/>
                <w:lang w:val="es-CO"/>
              </w:rPr>
              <w:t> </w:t>
            </w:r>
          </w:p>
          <w:p w14:paraId="15B63AC4" w14:textId="77777777" w:rsidR="00C572FE" w:rsidRPr="00430F88" w:rsidRDefault="00C572FE" w:rsidP="00430F88">
            <w:pPr>
              <w:ind w:left="180"/>
              <w:rPr>
                <w:rFonts w:eastAsia="Times New Roman" w:cs="Times New Roman"/>
                <w:color w:val="000000"/>
                <w:szCs w:val="24"/>
                <w:lang w:val="es-CO"/>
              </w:rPr>
            </w:pPr>
            <w:r w:rsidRPr="00430F88">
              <w:rPr>
                <w:rFonts w:eastAsia="Times New Roman" w:cs="Times New Roman"/>
                <w:i/>
                <w:iCs/>
                <w:color w:val="000000"/>
                <w:szCs w:val="24"/>
                <w:lang w:val="es-CO"/>
              </w:rPr>
              <w:t>Son contratos de </w:t>
            </w:r>
            <w:r w:rsidRPr="00430F88">
              <w:rPr>
                <w:rFonts w:eastAsia="Times New Roman" w:cs="Times New Roman"/>
                <w:b/>
                <w:bCs/>
                <w:i/>
                <w:iCs/>
                <w:color w:val="000000"/>
                <w:szCs w:val="24"/>
                <w:lang w:val="es-CO"/>
              </w:rPr>
              <w:t>construcción </w:t>
            </w:r>
            <w:r w:rsidRPr="00430F88">
              <w:rPr>
                <w:rFonts w:eastAsia="Times New Roman" w:cs="Times New Roman"/>
                <w:i/>
                <w:iCs/>
                <w:color w:val="000000"/>
                <w:szCs w:val="24"/>
                <w:lang w:val="es-CO"/>
              </w:rPr>
              <w:t>y urbanización, y en general de confección de obra material de bien inmueble aquellos por los cuales el contratista directa o indirectamente, edifica, fabrica, erige o levanta las obras, edificios, construcciones para residencias o negocios, puentes, carreteras, represas, acueductos y edificaciones en general y las obras inherentes a la construcción en sí, tales como: Electricidad, plomería, cañería, mampostería, drenajes y todos los elementos que se incorporen a la construcción. </w:t>
            </w:r>
            <w:r w:rsidRPr="00430F88">
              <w:rPr>
                <w:rFonts w:eastAsia="Times New Roman" w:cs="Times New Roman"/>
                <w:b/>
                <w:bCs/>
                <w:i/>
                <w:iCs/>
                <w:color w:val="000000"/>
                <w:szCs w:val="24"/>
                <w:highlight w:val="green"/>
                <w:lang w:val="es-CO"/>
              </w:rPr>
              <w:t>N</w:t>
            </w:r>
            <w:r w:rsidRPr="00430F88">
              <w:rPr>
                <w:rFonts w:eastAsia="Times New Roman" w:cs="Times New Roman"/>
                <w:b/>
                <w:bCs/>
                <w:i/>
                <w:iCs/>
                <w:color w:val="000000"/>
                <w:szCs w:val="24"/>
                <w:lang w:val="es-CO"/>
              </w:rPr>
              <w:t xml:space="preserve">o </w:t>
            </w:r>
            <w:r w:rsidRPr="00430F88">
              <w:rPr>
                <w:rFonts w:eastAsia="Times New Roman" w:cs="Times New Roman"/>
                <w:b/>
                <w:bCs/>
                <w:i/>
                <w:iCs/>
                <w:color w:val="000000"/>
                <w:szCs w:val="24"/>
                <w:highlight w:val="green"/>
                <w:lang w:val="es-CO"/>
              </w:rPr>
              <w:t>constituyen contratos de construcción las obras o bienes que puedan retirarse fácilmente </w:t>
            </w:r>
            <w:r w:rsidRPr="00430F88">
              <w:rPr>
                <w:rFonts w:eastAsia="Times New Roman" w:cs="Times New Roman"/>
                <w:b/>
                <w:bCs/>
                <w:i/>
                <w:iCs/>
                <w:color w:val="000000"/>
                <w:szCs w:val="24"/>
                <w:highlight w:val="green"/>
                <w:u w:val="single"/>
                <w:lang w:val="es-CO"/>
              </w:rPr>
              <w:t>sin detrimento del inmueble</w:t>
            </w:r>
            <w:r w:rsidRPr="00430F88">
              <w:rPr>
                <w:rFonts w:eastAsia="Times New Roman" w:cs="Times New Roman"/>
                <w:b/>
                <w:bCs/>
                <w:i/>
                <w:iCs/>
                <w:color w:val="000000"/>
                <w:szCs w:val="24"/>
                <w:highlight w:val="green"/>
                <w:lang w:val="es-CO"/>
              </w:rPr>
              <w:t> como divisiones internas en edificios ya terminados.” </w:t>
            </w:r>
            <w:r w:rsidRPr="00430F88">
              <w:rPr>
                <w:rFonts w:eastAsia="Times New Roman" w:cs="Times New Roman"/>
                <w:i/>
                <w:iCs/>
                <w:color w:val="000000"/>
                <w:szCs w:val="24"/>
                <w:highlight w:val="green"/>
                <w:lang w:val="es-CO"/>
              </w:rPr>
              <w:t>(.…).</w:t>
            </w:r>
          </w:p>
          <w:p w14:paraId="0AF925F5" w14:textId="77777777" w:rsidR="00C572FE" w:rsidRPr="00430F88" w:rsidRDefault="00C572FE" w:rsidP="00430F88">
            <w:pPr>
              <w:ind w:left="180"/>
              <w:rPr>
                <w:rFonts w:eastAsia="Times New Roman" w:cs="Times New Roman"/>
                <w:color w:val="000000"/>
                <w:szCs w:val="24"/>
                <w:lang w:val="es-CO"/>
              </w:rPr>
            </w:pPr>
            <w:r w:rsidRPr="00430F88">
              <w:rPr>
                <w:rFonts w:eastAsia="Times New Roman" w:cs="Times New Roman"/>
                <w:color w:val="000000"/>
                <w:szCs w:val="24"/>
                <w:lang w:val="es-CO"/>
              </w:rPr>
              <w:t> </w:t>
            </w:r>
          </w:p>
          <w:p w14:paraId="1331D6B0" w14:textId="77777777" w:rsidR="00C572FE" w:rsidRPr="00430F88" w:rsidRDefault="00C572FE" w:rsidP="00430F88">
            <w:pPr>
              <w:ind w:left="180"/>
              <w:rPr>
                <w:rFonts w:eastAsia="Times New Roman" w:cs="Times New Roman"/>
                <w:color w:val="000000"/>
                <w:sz w:val="32"/>
                <w:szCs w:val="32"/>
                <w:lang w:val="es-CO"/>
              </w:rPr>
            </w:pPr>
            <w:r w:rsidRPr="00430F88">
              <w:rPr>
                <w:rFonts w:eastAsia="Times New Roman" w:cs="Times New Roman"/>
                <w:i/>
                <w:iCs/>
                <w:color w:val="000000"/>
                <w:sz w:val="32"/>
                <w:szCs w:val="32"/>
                <w:highlight w:val="green"/>
                <w:lang w:val="es-CO"/>
              </w:rPr>
              <w:t xml:space="preserve">Para una correcta aplicación de lo previsto en el Concepto Unificado, es preciso observar que el mismo, al señalar que no </w:t>
            </w:r>
            <w:r w:rsidRPr="00430F88">
              <w:rPr>
                <w:rFonts w:eastAsia="Times New Roman" w:cs="Times New Roman"/>
                <w:i/>
                <w:iCs/>
                <w:color w:val="000000"/>
                <w:sz w:val="32"/>
                <w:szCs w:val="32"/>
                <w:highlight w:val="green"/>
                <w:lang w:val="es-CO"/>
              </w:rPr>
              <w:lastRenderedPageBreak/>
              <w:t>constituyen contratos de construcción las obras o bienes que pueden removerse o retirarse fácilmente, establece como condición que dicho retiro pueda efectuarse </w:t>
            </w:r>
            <w:r w:rsidRPr="00430F88">
              <w:rPr>
                <w:rFonts w:eastAsia="Times New Roman" w:cs="Times New Roman"/>
                <w:b/>
                <w:bCs/>
                <w:i/>
                <w:iCs/>
                <w:color w:val="000000"/>
                <w:sz w:val="32"/>
                <w:szCs w:val="32"/>
                <w:highlight w:val="green"/>
                <w:lang w:val="es-CO"/>
              </w:rPr>
              <w:t>sin detrimento del inmueble. </w:t>
            </w:r>
            <w:r w:rsidRPr="00430F88">
              <w:rPr>
                <w:rFonts w:eastAsia="Times New Roman" w:cs="Times New Roman"/>
                <w:i/>
                <w:iCs/>
                <w:color w:val="000000"/>
                <w:sz w:val="32"/>
                <w:szCs w:val="32"/>
                <w:highlight w:val="green"/>
                <w:u w:val="single"/>
                <w:lang w:val="es-CO"/>
              </w:rPr>
              <w:t>En estas circunstancias, cuando el concepto indica que no constituyen contrato de construcción las obras o bienes que pueden removerse o retirarse fácilmente, se está refiriendo a aquellas que se agregan a la construcción como accesorios (y por ello cita como ejemplo las divisiones internas en edificios ya terminados), pero no a los elementos estructurales que hacen parte de la construcción en sí</w:t>
            </w:r>
            <w:r w:rsidRPr="00430F88">
              <w:rPr>
                <w:rFonts w:eastAsia="Times New Roman" w:cs="Times New Roman"/>
                <w:i/>
                <w:iCs/>
                <w:color w:val="000000"/>
                <w:sz w:val="32"/>
                <w:szCs w:val="32"/>
                <w:highlight w:val="green"/>
                <w:lang w:val="es-CO"/>
              </w:rPr>
              <w:t>.</w:t>
            </w:r>
          </w:p>
          <w:p w14:paraId="7A05D7A1" w14:textId="77777777" w:rsidR="00C572FE" w:rsidRPr="00430F88" w:rsidRDefault="00C572FE" w:rsidP="00430F88">
            <w:pPr>
              <w:ind w:left="180"/>
              <w:rPr>
                <w:rFonts w:eastAsia="Times New Roman" w:cs="Times New Roman"/>
                <w:color w:val="000000"/>
                <w:szCs w:val="24"/>
                <w:lang w:val="es-CO"/>
              </w:rPr>
            </w:pPr>
            <w:r w:rsidRPr="00430F88">
              <w:rPr>
                <w:rFonts w:eastAsia="Times New Roman" w:cs="Times New Roman"/>
                <w:color w:val="000000"/>
                <w:szCs w:val="24"/>
                <w:lang w:val="es-CO"/>
              </w:rPr>
              <w:t> </w:t>
            </w:r>
          </w:p>
          <w:p w14:paraId="4D2E3672" w14:textId="77777777" w:rsidR="00C572FE" w:rsidRPr="00430F88" w:rsidRDefault="00C572FE" w:rsidP="00430F88">
            <w:pPr>
              <w:ind w:left="180"/>
              <w:rPr>
                <w:rFonts w:eastAsia="Times New Roman" w:cs="Times New Roman"/>
                <w:color w:val="000000"/>
                <w:szCs w:val="24"/>
                <w:lang w:val="es-CO"/>
              </w:rPr>
            </w:pPr>
            <w:r w:rsidRPr="00430F88">
              <w:rPr>
                <w:rFonts w:eastAsia="Times New Roman" w:cs="Times New Roman"/>
                <w:i/>
                <w:iCs/>
                <w:color w:val="000000"/>
                <w:szCs w:val="24"/>
                <w:lang w:val="es-CO"/>
              </w:rPr>
              <w:t>En consecuencia, si se trata de contratos que tienen por objeto la fabricación de edificaciones del tipo de puentes o estaciones de transporte, los mismos se adecúan a la definición de contratos de confección de obra material, independientemente de la tecnología que se utilice para llevar a cabo la construcción. </w:t>
            </w:r>
            <w:r w:rsidRPr="00430F88">
              <w:rPr>
                <w:rFonts w:eastAsia="Times New Roman" w:cs="Times New Roman"/>
                <w:i/>
                <w:iCs/>
                <w:color w:val="000000"/>
                <w:szCs w:val="24"/>
                <w:u w:val="single"/>
                <w:lang w:val="es-CO"/>
              </w:rPr>
              <w:t>El hecho de que se utilicen estructuras metálicas removibles y no, por ejemplo, ladrillo o concreto, no le quita el carácter de construcción a las obras pues, en el evento de que tales estructuras sean removidas, se causa, inevitablemente, un detrimento al inmueble o edificación. En otras palabras, la modernización de las construcciones y el uso de materiales con bajo impacto ambiental, como estructuras de metal, ajustables y removibles, no obsta para que a los respectivos contratos se les dé el tratamiento tributario previsto en la ley</w:t>
            </w:r>
            <w:r w:rsidRPr="00430F88">
              <w:rPr>
                <w:rFonts w:eastAsia="Times New Roman" w:cs="Times New Roman"/>
                <w:i/>
                <w:iCs/>
                <w:color w:val="000000"/>
                <w:szCs w:val="24"/>
                <w:lang w:val="es-CO"/>
              </w:rPr>
              <w:t>.</w:t>
            </w:r>
          </w:p>
          <w:p w14:paraId="00EB901B" w14:textId="77777777" w:rsidR="00C572FE" w:rsidRPr="00430F88" w:rsidRDefault="00C572FE" w:rsidP="00430F88">
            <w:pPr>
              <w:ind w:left="180"/>
              <w:rPr>
                <w:rFonts w:eastAsia="Times New Roman" w:cs="Times New Roman"/>
                <w:color w:val="000000"/>
                <w:szCs w:val="24"/>
                <w:lang w:val="es-CO"/>
              </w:rPr>
            </w:pPr>
            <w:r w:rsidRPr="00430F88">
              <w:rPr>
                <w:rFonts w:eastAsia="Times New Roman" w:cs="Times New Roman"/>
                <w:color w:val="000000"/>
                <w:szCs w:val="24"/>
                <w:lang w:val="es-CO"/>
              </w:rPr>
              <w:t> </w:t>
            </w:r>
          </w:p>
          <w:p w14:paraId="6804035E" w14:textId="77777777" w:rsidR="00C572FE" w:rsidRPr="00430F88" w:rsidRDefault="00C572FE" w:rsidP="00430F88">
            <w:pPr>
              <w:ind w:left="180"/>
              <w:rPr>
                <w:rFonts w:eastAsia="Times New Roman" w:cs="Times New Roman"/>
                <w:color w:val="000000"/>
                <w:szCs w:val="24"/>
                <w:lang w:val="es-CO"/>
              </w:rPr>
            </w:pPr>
            <w:r w:rsidRPr="00430F88">
              <w:rPr>
                <w:rFonts w:eastAsia="Times New Roman" w:cs="Times New Roman"/>
                <w:i/>
                <w:iCs/>
                <w:color w:val="000000"/>
                <w:szCs w:val="24"/>
                <w:lang w:val="es-CO"/>
              </w:rPr>
              <w:t>El mismo planteamiento es válido para los contratos de fabricación y montaje de tuberías que se incorporan a un inmueble ya que como lo señala el Concepto Unificado, son también contratos de construcción y urbanización, y en general de confección de obra material de bien inmueble, aquellos por los cuales el contratista directa o indirectamente fabrica las obras inherentes a la </w:t>
            </w:r>
            <w:r w:rsidRPr="00430F88">
              <w:rPr>
                <w:rFonts w:eastAsia="Times New Roman" w:cs="Times New Roman"/>
                <w:b/>
                <w:bCs/>
                <w:i/>
                <w:iCs/>
                <w:color w:val="000000"/>
                <w:szCs w:val="24"/>
                <w:lang w:val="es-CO"/>
              </w:rPr>
              <w:t>construcción</w:t>
            </w:r>
            <w:r w:rsidRPr="00430F88">
              <w:rPr>
                <w:rFonts w:eastAsia="Times New Roman" w:cs="Times New Roman"/>
                <w:i/>
                <w:iCs/>
                <w:color w:val="000000"/>
                <w:szCs w:val="24"/>
                <w:lang w:val="es-CO"/>
              </w:rPr>
              <w:t> en sí, tales como electricidad,</w:t>
            </w:r>
            <w:r w:rsidRPr="00430F88">
              <w:rPr>
                <w:rFonts w:eastAsia="Times New Roman" w:cs="Times New Roman"/>
                <w:b/>
                <w:bCs/>
                <w:i/>
                <w:iCs/>
                <w:color w:val="000000"/>
                <w:szCs w:val="24"/>
                <w:lang w:val="es-CO"/>
              </w:rPr>
              <w:t> plomería, cañería,</w:t>
            </w:r>
            <w:r w:rsidRPr="00430F88">
              <w:rPr>
                <w:rFonts w:eastAsia="Times New Roman" w:cs="Times New Roman"/>
                <w:i/>
                <w:iCs/>
                <w:color w:val="000000"/>
                <w:szCs w:val="24"/>
                <w:lang w:val="es-CO"/>
              </w:rPr>
              <w:t> mampostería, </w:t>
            </w:r>
            <w:r w:rsidRPr="00430F88">
              <w:rPr>
                <w:rFonts w:eastAsia="Times New Roman" w:cs="Times New Roman"/>
                <w:b/>
                <w:bCs/>
                <w:i/>
                <w:iCs/>
                <w:color w:val="000000"/>
                <w:szCs w:val="24"/>
                <w:lang w:val="es-CO"/>
              </w:rPr>
              <w:t>drenajes y todos los elementos que se incorporen a la construcción.</w:t>
            </w:r>
            <w:r w:rsidRPr="00430F88">
              <w:rPr>
                <w:rFonts w:eastAsia="Times New Roman" w:cs="Times New Roman"/>
                <w:i/>
                <w:iCs/>
                <w:color w:val="000000"/>
                <w:szCs w:val="24"/>
                <w:lang w:val="es-CO"/>
              </w:rPr>
              <w:t> Es claro que si se trata de tuberías que se incorporan a la construcción y que tienen un valor funcional dentro de la misma, su retiro va en detrimento del bien, por lo que, también en este caso, se aplica lo previsto para los contratos de </w:t>
            </w:r>
            <w:r w:rsidRPr="00430F88">
              <w:rPr>
                <w:rFonts w:eastAsia="Times New Roman" w:cs="Times New Roman"/>
                <w:b/>
                <w:bCs/>
                <w:i/>
                <w:iCs/>
                <w:color w:val="000000"/>
                <w:szCs w:val="24"/>
                <w:lang w:val="es-CO"/>
              </w:rPr>
              <w:t>construcción.</w:t>
            </w:r>
            <w:r w:rsidRPr="00430F88">
              <w:rPr>
                <w:rFonts w:eastAsia="Times New Roman" w:cs="Times New Roman"/>
                <w:i/>
                <w:iCs/>
                <w:color w:val="000000"/>
                <w:szCs w:val="24"/>
                <w:lang w:val="es-CO"/>
              </w:rPr>
              <w:t>” (Subrayado y resaltado del texto</w:t>
            </w:r>
            <w:proofErr w:type="gramStart"/>
            <w:r w:rsidRPr="00430F88">
              <w:rPr>
                <w:rFonts w:eastAsia="Times New Roman" w:cs="Times New Roman"/>
                <w:i/>
                <w:iCs/>
                <w:color w:val="000000"/>
                <w:szCs w:val="24"/>
                <w:lang w:val="es-CO"/>
              </w:rPr>
              <w:t>).“</w:t>
            </w:r>
            <w:proofErr w:type="gramEnd"/>
            <w:r w:rsidRPr="00430F88">
              <w:rPr>
                <w:rFonts w:eastAsia="Times New Roman" w:cs="Times New Roman"/>
                <w:i/>
                <w:iCs/>
                <w:color w:val="000000"/>
                <w:szCs w:val="24"/>
                <w:lang w:val="es-CO"/>
              </w:rPr>
              <w:t xml:space="preserve"> últimos subrayados fuera de texto.</w:t>
            </w:r>
          </w:p>
          <w:p w14:paraId="7D0229C0"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 </w:t>
            </w:r>
          </w:p>
          <w:p w14:paraId="5708B90A"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 xml:space="preserve">Como se puede extraer de la doctrina citada, para efectos de determinar si se está frente a un contrato de construcción de obra, deberá en cada evento analizarse la estructura que se incorpora a la construcción pues como allí se expresa el hecho de modernizar los materiales </w:t>
            </w:r>
            <w:r w:rsidRPr="00430F88">
              <w:rPr>
                <w:rFonts w:eastAsia="Times New Roman" w:cs="Times New Roman"/>
                <w:color w:val="000000"/>
                <w:szCs w:val="24"/>
                <w:lang w:val="es-CO"/>
              </w:rPr>
              <w:lastRenderedPageBreak/>
              <w:t xml:space="preserve">y utilizar diferentes estructuras que permitan flexibilidad en la misma puede </w:t>
            </w:r>
            <w:proofErr w:type="gramStart"/>
            <w:r w:rsidRPr="00430F88">
              <w:rPr>
                <w:rFonts w:eastAsia="Times New Roman" w:cs="Times New Roman"/>
                <w:color w:val="000000"/>
                <w:szCs w:val="24"/>
                <w:lang w:val="es-CO"/>
              </w:rPr>
              <w:t>enmarcarse dentro del</w:t>
            </w:r>
            <w:proofErr w:type="gramEnd"/>
            <w:r w:rsidRPr="00430F88">
              <w:rPr>
                <w:rFonts w:eastAsia="Times New Roman" w:cs="Times New Roman"/>
                <w:color w:val="000000"/>
                <w:szCs w:val="24"/>
                <w:lang w:val="es-CO"/>
              </w:rPr>
              <w:t xml:space="preserve"> tipo de contrato de construcción. Como en el caso consultado en donde se señala en la consulta que a pesar de ser ajustable y removible la Concha acústica el teatro sin esta, no podría funcionar para espectáculos artísticos musicales, lo cual permite afirmar que el retirarla si </w:t>
            </w:r>
            <w:proofErr w:type="gramStart"/>
            <w:r w:rsidRPr="00430F88">
              <w:rPr>
                <w:rFonts w:eastAsia="Times New Roman" w:cs="Times New Roman"/>
                <w:color w:val="000000"/>
                <w:szCs w:val="24"/>
                <w:lang w:val="es-CO"/>
              </w:rPr>
              <w:t>ocasionaría</w:t>
            </w:r>
            <w:proofErr w:type="gramEnd"/>
            <w:r w:rsidRPr="00430F88">
              <w:rPr>
                <w:rFonts w:eastAsia="Times New Roman" w:cs="Times New Roman"/>
                <w:color w:val="000000"/>
                <w:szCs w:val="24"/>
                <w:lang w:val="es-CO"/>
              </w:rPr>
              <w:t xml:space="preserve"> un detrimento estructural en el inmueble el cual quedaría en este parte, sin funcionamiento.</w:t>
            </w:r>
          </w:p>
          <w:p w14:paraId="04AF8C14"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 </w:t>
            </w:r>
          </w:p>
          <w:p w14:paraId="5D9D8DC4" w14:textId="77777777" w:rsidR="00C572FE" w:rsidRPr="00430F88" w:rsidRDefault="00C572FE" w:rsidP="00430F88">
            <w:pPr>
              <w:rPr>
                <w:rFonts w:eastAsia="Times New Roman" w:cs="Times New Roman"/>
                <w:color w:val="000000"/>
                <w:szCs w:val="24"/>
                <w:lang w:val="es-CO"/>
              </w:rPr>
            </w:pPr>
            <w:r w:rsidRPr="00430F88">
              <w:rPr>
                <w:rFonts w:eastAsia="Times New Roman" w:cs="Times New Roman"/>
                <w:color w:val="000000"/>
                <w:szCs w:val="24"/>
                <w:lang w:val="es-CO"/>
              </w:rPr>
              <w:t>En consecuencia, bajo los criterios contenidos en la doctrina y lo expuesto debe concluirse que los pagos o abonos en cuenta provenientes de la ejecución de contratos de construcción, se someten a la tarifa de retención en la fuente a títulos del impuesto sobre la renta del 2% sobre el valor total del pago o abono en cuenta conforme al artículo 8º del Decreto 2509 de 1985 compilado por el artículo 1.2.4.9.1. del Decreto 1625 de 2016, Decreto Único Reglamentario en Materia Tributaria.</w:t>
            </w:r>
          </w:p>
          <w:p w14:paraId="00548261" w14:textId="77777777" w:rsidR="00C572FE" w:rsidRPr="00430F88" w:rsidRDefault="00C572FE" w:rsidP="00430F88">
            <w:pPr>
              <w:rPr>
                <w:rFonts w:cs="Times New Roman"/>
                <w:color w:val="000000"/>
                <w:szCs w:val="24"/>
                <w:shd w:val="clear" w:color="auto" w:fill="FFFFFF"/>
                <w:lang w:val="es-CO"/>
              </w:rPr>
            </w:pPr>
          </w:p>
          <w:p w14:paraId="257F62AE" w14:textId="77777777" w:rsidR="00C572FE" w:rsidRPr="00430F88" w:rsidRDefault="00C572FE" w:rsidP="00430F88">
            <w:pPr>
              <w:rPr>
                <w:rFonts w:cs="Times New Roman"/>
                <w:color w:val="000000"/>
                <w:szCs w:val="24"/>
                <w:shd w:val="clear" w:color="auto" w:fill="FFFFFF"/>
                <w:lang w:val="es-CO"/>
              </w:rPr>
            </w:pPr>
            <w:r w:rsidRPr="00430F88">
              <w:rPr>
                <w:rFonts w:cs="Times New Roman"/>
                <w:color w:val="000000"/>
                <w:szCs w:val="24"/>
                <w:shd w:val="clear" w:color="auto" w:fill="FFFFFF"/>
                <w:lang w:val="es-CO"/>
              </w:rPr>
              <w:t>Cordialmente le informamos que tanto la normatividad en materia tributaria, aduanera y cambiaria, como los conceptos emitidos por la Dirección de Gestión Jurídica en estas materias pueden consultarse directamente en nuestra base de datos jurídica ingresando a la página de la DIAN: </w:t>
            </w:r>
            <w:hyperlink r:id="rId6" w:history="1">
              <w:r w:rsidRPr="00430F88">
                <w:rPr>
                  <w:rStyle w:val="Hipervnculo"/>
                  <w:rFonts w:cs="Times New Roman"/>
                  <w:color w:val="0563C1"/>
                  <w:szCs w:val="24"/>
                  <w:shd w:val="clear" w:color="auto" w:fill="FFFFFF"/>
                  <w:lang w:val="es-CO"/>
                </w:rPr>
                <w:t>http://www.dian.gov.co</w:t>
              </w:r>
            </w:hyperlink>
            <w:r w:rsidRPr="00430F88">
              <w:rPr>
                <w:rFonts w:cs="Times New Roman"/>
                <w:color w:val="000000"/>
                <w:szCs w:val="24"/>
                <w:shd w:val="clear" w:color="auto" w:fill="FFFFFF"/>
                <w:lang w:val="es-CO"/>
              </w:rPr>
              <w:t> siguiendo los iconos: “Normatividad”</w:t>
            </w:r>
          </w:p>
          <w:p w14:paraId="22F96868" w14:textId="77777777" w:rsidR="00C572FE" w:rsidRPr="00430F88" w:rsidRDefault="00C572FE" w:rsidP="00430F88">
            <w:pPr>
              <w:rPr>
                <w:rFonts w:cs="Times New Roman"/>
                <w:szCs w:val="24"/>
                <w:lang w:val="es-CO"/>
              </w:rPr>
            </w:pPr>
          </w:p>
          <w:tbl>
            <w:tblPr>
              <w:tblW w:w="11484" w:type="dxa"/>
              <w:tblCellSpacing w:w="0" w:type="dxa"/>
              <w:tblCellMar>
                <w:left w:w="0" w:type="dxa"/>
                <w:right w:w="0" w:type="dxa"/>
              </w:tblCellMar>
              <w:tblLook w:val="04A0" w:firstRow="1" w:lastRow="0" w:firstColumn="1" w:lastColumn="0" w:noHBand="0" w:noVBand="1"/>
            </w:tblPr>
            <w:tblGrid>
              <w:gridCol w:w="11484"/>
            </w:tblGrid>
            <w:tr w:rsidR="00C572FE" w:rsidRPr="00430F88" w14:paraId="69DBD2A8" w14:textId="77777777">
              <w:trPr>
                <w:tblCellSpacing w:w="0" w:type="dxa"/>
              </w:trPr>
              <w:tc>
                <w:tcPr>
                  <w:tcW w:w="0" w:type="auto"/>
                  <w:shd w:val="clear" w:color="auto" w:fill="FFFFFF"/>
                  <w:tcMar>
                    <w:top w:w="30" w:type="dxa"/>
                    <w:left w:w="30" w:type="dxa"/>
                    <w:bottom w:w="30" w:type="dxa"/>
                    <w:right w:w="30" w:type="dxa"/>
                  </w:tcMar>
                  <w:vAlign w:val="center"/>
                  <w:hideMark/>
                </w:tcPr>
                <w:p w14:paraId="59A801CC" w14:textId="11D68D4C" w:rsidR="00C572FE" w:rsidRPr="00430F88" w:rsidRDefault="00C572FE" w:rsidP="00430F88">
                  <w:pPr>
                    <w:rPr>
                      <w:rFonts w:eastAsia="Times New Roman" w:cs="Times New Roman"/>
                      <w:color w:val="auto"/>
                      <w:szCs w:val="24"/>
                      <w:lang w:val="es-CO"/>
                    </w:rPr>
                  </w:pPr>
                  <w:r w:rsidRPr="00430F88">
                    <w:rPr>
                      <w:rFonts w:cs="Times New Roman"/>
                      <w:color w:val="000000"/>
                      <w:szCs w:val="24"/>
                      <w:shd w:val="clear" w:color="auto" w:fill="FFFFFF"/>
                      <w:lang w:val="es-CO"/>
                    </w:rPr>
                    <w:t>Técnica” y seleccionando los vínculos “doctrina” y “Dirección de Gestión Jurídica”.</w:t>
                  </w:r>
                </w:p>
                <w:p w14:paraId="1D59E3ED" w14:textId="77777777" w:rsidR="00C572FE" w:rsidRPr="00430F88" w:rsidRDefault="00C572FE" w:rsidP="00430F88">
                  <w:pPr>
                    <w:rPr>
                      <w:rFonts w:eastAsia="Times New Roman" w:cs="Times New Roman"/>
                      <w:color w:val="auto"/>
                      <w:szCs w:val="24"/>
                      <w:lang w:val="es-CO"/>
                    </w:rPr>
                  </w:pPr>
                </w:p>
                <w:p w14:paraId="1C89B565" w14:textId="77777777" w:rsidR="00C572FE" w:rsidRPr="00430F88" w:rsidRDefault="00C572FE" w:rsidP="00430F88">
                  <w:pPr>
                    <w:rPr>
                      <w:rFonts w:eastAsia="Times New Roman" w:cs="Times New Roman"/>
                      <w:color w:val="auto"/>
                      <w:szCs w:val="24"/>
                      <w:lang w:val="es-CO"/>
                    </w:rPr>
                  </w:pPr>
                </w:p>
                <w:p w14:paraId="6A00A34E" w14:textId="77777777" w:rsidR="00C572FE" w:rsidRPr="00430F88" w:rsidRDefault="00C572FE" w:rsidP="00430F88">
                  <w:pPr>
                    <w:rPr>
                      <w:rFonts w:eastAsia="Times New Roman" w:cs="Times New Roman"/>
                      <w:color w:val="auto"/>
                      <w:szCs w:val="24"/>
                      <w:lang w:val="es-CO"/>
                    </w:rPr>
                  </w:pPr>
                  <w:r w:rsidRPr="00430F88">
                    <w:rPr>
                      <w:rFonts w:eastAsia="Times New Roman" w:cs="Times New Roman"/>
                      <w:color w:val="auto"/>
                      <w:szCs w:val="24"/>
                      <w:lang w:val="es-CO"/>
                    </w:rPr>
                    <w:t>Atentamente,</w:t>
                  </w:r>
                </w:p>
                <w:p w14:paraId="3585C958" w14:textId="77777777" w:rsidR="00C572FE" w:rsidRPr="00430F88" w:rsidRDefault="00C572FE" w:rsidP="00430F88">
                  <w:pPr>
                    <w:rPr>
                      <w:rFonts w:eastAsia="Times New Roman" w:cs="Times New Roman"/>
                      <w:color w:val="auto"/>
                      <w:szCs w:val="24"/>
                      <w:lang w:val="es-CO"/>
                    </w:rPr>
                  </w:pPr>
                  <w:r w:rsidRPr="00430F88">
                    <w:rPr>
                      <w:rFonts w:eastAsia="Times New Roman" w:cs="Times New Roman"/>
                      <w:color w:val="auto"/>
                      <w:szCs w:val="24"/>
                      <w:lang w:val="es-CO"/>
                    </w:rPr>
                    <w:t> </w:t>
                  </w:r>
                </w:p>
                <w:p w14:paraId="6889FEEC" w14:textId="77777777" w:rsidR="00C572FE" w:rsidRPr="00430F88" w:rsidRDefault="00C572FE" w:rsidP="00430F88">
                  <w:pPr>
                    <w:rPr>
                      <w:rFonts w:eastAsia="Times New Roman" w:cs="Times New Roman"/>
                      <w:color w:val="auto"/>
                      <w:szCs w:val="24"/>
                      <w:lang w:val="es-CO"/>
                    </w:rPr>
                  </w:pPr>
                  <w:r w:rsidRPr="00430F88">
                    <w:rPr>
                      <w:rFonts w:eastAsia="Times New Roman" w:cs="Times New Roman"/>
                      <w:color w:val="auto"/>
                      <w:szCs w:val="24"/>
                      <w:lang w:val="es-CO"/>
                    </w:rPr>
                    <w:t> </w:t>
                  </w:r>
                </w:p>
                <w:p w14:paraId="1105884B" w14:textId="77777777" w:rsidR="00C572FE" w:rsidRPr="00430F88" w:rsidRDefault="00C572FE" w:rsidP="00430F88">
                  <w:pPr>
                    <w:rPr>
                      <w:rFonts w:eastAsia="Times New Roman" w:cs="Times New Roman"/>
                      <w:color w:val="auto"/>
                      <w:szCs w:val="24"/>
                      <w:lang w:val="es-CO"/>
                    </w:rPr>
                  </w:pPr>
                  <w:r w:rsidRPr="00430F88">
                    <w:rPr>
                      <w:rFonts w:eastAsia="Times New Roman" w:cs="Times New Roman"/>
                      <w:b/>
                      <w:bCs/>
                      <w:color w:val="auto"/>
                      <w:szCs w:val="24"/>
                      <w:lang w:val="es-CO"/>
                    </w:rPr>
                    <w:t>PEDRO PABLO CONTRERAS CAMARGO</w:t>
                  </w:r>
                </w:p>
                <w:p w14:paraId="1C4A4F95" w14:textId="77777777" w:rsidR="00C572FE" w:rsidRPr="00430F88" w:rsidRDefault="00C572FE" w:rsidP="00430F88">
                  <w:pPr>
                    <w:rPr>
                      <w:rFonts w:eastAsia="Times New Roman" w:cs="Times New Roman"/>
                      <w:color w:val="auto"/>
                      <w:szCs w:val="24"/>
                      <w:lang w:val="es-CO"/>
                    </w:rPr>
                  </w:pPr>
                  <w:r w:rsidRPr="00430F88">
                    <w:rPr>
                      <w:rFonts w:eastAsia="Times New Roman" w:cs="Times New Roman"/>
                      <w:color w:val="auto"/>
                      <w:szCs w:val="24"/>
                      <w:lang w:val="es-CO"/>
                    </w:rPr>
                    <w:t>Subdirector de Gestión Normativa y Doctrina</w:t>
                  </w:r>
                </w:p>
              </w:tc>
            </w:tr>
          </w:tbl>
          <w:p w14:paraId="312D5478" w14:textId="77777777" w:rsidR="00C572FE" w:rsidRPr="00430F88" w:rsidRDefault="00C572FE" w:rsidP="00430F88">
            <w:pPr>
              <w:jc w:val="left"/>
              <w:rPr>
                <w:rFonts w:eastAsia="Times New Roman" w:cs="Times New Roman"/>
                <w:color w:val="auto"/>
                <w:szCs w:val="24"/>
                <w:lang w:val="es-CO"/>
              </w:rPr>
            </w:pPr>
          </w:p>
        </w:tc>
      </w:tr>
    </w:tbl>
    <w:p w14:paraId="45B289B7" w14:textId="77777777" w:rsidR="00C572FE" w:rsidRPr="00430F88" w:rsidRDefault="00C572FE" w:rsidP="00430F88">
      <w:pPr>
        <w:jc w:val="left"/>
        <w:rPr>
          <w:rFonts w:eastAsia="Times New Roman" w:cs="Times New Roman"/>
          <w:vanish/>
          <w:color w:val="auto"/>
          <w:szCs w:val="24"/>
        </w:rPr>
      </w:pPr>
    </w:p>
    <w:tbl>
      <w:tblPr>
        <w:tblW w:w="0" w:type="auto"/>
        <w:tblCellSpacing w:w="0" w:type="dxa"/>
        <w:tblCellMar>
          <w:left w:w="0" w:type="dxa"/>
          <w:right w:w="0" w:type="dxa"/>
        </w:tblCellMar>
        <w:tblLook w:val="04A0" w:firstRow="1" w:lastRow="0" w:firstColumn="1" w:lastColumn="0" w:noHBand="0" w:noVBand="1"/>
      </w:tblPr>
      <w:tblGrid>
        <w:gridCol w:w="120"/>
      </w:tblGrid>
      <w:tr w:rsidR="00C572FE" w:rsidRPr="00430F88" w14:paraId="55722309" w14:textId="77777777" w:rsidTr="00C572FE">
        <w:trPr>
          <w:trHeight w:val="444"/>
          <w:tblCellSpacing w:w="0" w:type="dxa"/>
        </w:trPr>
        <w:tc>
          <w:tcPr>
            <w:tcW w:w="96" w:type="dxa"/>
            <w:shd w:val="clear" w:color="auto" w:fill="FFFFFF"/>
            <w:hideMark/>
          </w:tcPr>
          <w:p w14:paraId="6D5A11B0" w14:textId="77777777" w:rsidR="00C572FE" w:rsidRPr="00430F88" w:rsidRDefault="00C572FE" w:rsidP="00430F88">
            <w:pPr>
              <w:jc w:val="left"/>
              <w:rPr>
                <w:rFonts w:eastAsia="Times New Roman" w:cs="Times New Roman"/>
                <w:color w:val="000000"/>
                <w:szCs w:val="24"/>
              </w:rPr>
            </w:pPr>
            <w:r w:rsidRPr="00430F88">
              <w:rPr>
                <w:rFonts w:eastAsia="Times New Roman" w:cs="Times New Roman"/>
                <w:noProof/>
                <w:color w:val="000000"/>
                <w:szCs w:val="24"/>
              </w:rPr>
              <w:drawing>
                <wp:inline distT="0" distB="0" distL="0" distR="0" wp14:anchorId="065376E7" wp14:editId="4B052F2B">
                  <wp:extent cx="76200" cy="7620"/>
                  <wp:effectExtent l="0" t="0" r="0" b="0"/>
                  <wp:docPr id="2" name="Imagen 2" descr="https://www.ceta.org.co/assets/images/autogen/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eta.org.co/assets/images/autogen/clear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33656F78" w14:textId="77777777" w:rsidR="00C572FE" w:rsidRPr="00430F88" w:rsidRDefault="00C572FE" w:rsidP="00430F88">
            <w:pPr>
              <w:jc w:val="left"/>
              <w:rPr>
                <w:rFonts w:eastAsia="Times New Roman" w:cs="Times New Roman"/>
                <w:color w:val="auto"/>
                <w:szCs w:val="24"/>
              </w:rPr>
            </w:pPr>
            <w:r w:rsidRPr="00430F88">
              <w:rPr>
                <w:rFonts w:eastAsia="Times New Roman" w:cs="Times New Roman"/>
                <w:color w:val="auto"/>
                <w:szCs w:val="24"/>
              </w:rPr>
              <w:br/>
            </w:r>
          </w:p>
        </w:tc>
      </w:tr>
    </w:tbl>
    <w:p w14:paraId="16B7054F" w14:textId="77777777" w:rsidR="00147980" w:rsidRPr="00430F88" w:rsidRDefault="00147980" w:rsidP="00430F88">
      <w:pPr>
        <w:rPr>
          <w:rFonts w:cs="Times New Roman"/>
          <w:szCs w:val="24"/>
        </w:rPr>
      </w:pPr>
    </w:p>
    <w:p w14:paraId="4226F736" w14:textId="77777777" w:rsidR="00430F88" w:rsidRPr="00430F88" w:rsidRDefault="00430F88">
      <w:pPr>
        <w:rPr>
          <w:rFonts w:cs="Times New Roman"/>
          <w:szCs w:val="24"/>
        </w:rPr>
      </w:pPr>
    </w:p>
    <w:sectPr w:rsidR="00430F88" w:rsidRPr="00430F88"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2FE"/>
    <w:rsid w:val="00147980"/>
    <w:rsid w:val="00430F88"/>
    <w:rsid w:val="00B66046"/>
    <w:rsid w:val="00BF6009"/>
    <w:rsid w:val="00C5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1681"/>
  <w15:chartTrackingRefBased/>
  <w15:docId w15:val="{44C09EC4-D814-4930-B6EB-CDEAF20D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572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68516">
      <w:bodyDiv w:val="1"/>
      <w:marLeft w:val="0"/>
      <w:marRight w:val="0"/>
      <w:marTop w:val="0"/>
      <w:marBottom w:val="0"/>
      <w:divBdr>
        <w:top w:val="none" w:sz="0" w:space="0" w:color="auto"/>
        <w:left w:val="none" w:sz="0" w:space="0" w:color="auto"/>
        <w:bottom w:val="none" w:sz="0" w:space="0" w:color="auto"/>
        <w:right w:val="none" w:sz="0" w:space="0" w:color="auto"/>
      </w:divBdr>
    </w:div>
    <w:div w:id="1622300969">
      <w:bodyDiv w:val="1"/>
      <w:marLeft w:val="0"/>
      <w:marRight w:val="0"/>
      <w:marTop w:val="0"/>
      <w:marBottom w:val="0"/>
      <w:divBdr>
        <w:top w:val="none" w:sz="0" w:space="0" w:color="auto"/>
        <w:left w:val="none" w:sz="0" w:space="0" w:color="auto"/>
        <w:bottom w:val="none" w:sz="0" w:space="0" w:color="auto"/>
        <w:right w:val="none" w:sz="0" w:space="0" w:color="auto"/>
      </w:divBdr>
    </w:div>
    <w:div w:id="1769542490">
      <w:bodyDiv w:val="1"/>
      <w:marLeft w:val="0"/>
      <w:marRight w:val="0"/>
      <w:marTop w:val="0"/>
      <w:marBottom w:val="0"/>
      <w:divBdr>
        <w:top w:val="none" w:sz="0" w:space="0" w:color="auto"/>
        <w:left w:val="none" w:sz="0" w:space="0" w:color="auto"/>
        <w:bottom w:val="none" w:sz="0" w:space="0" w:color="auto"/>
        <w:right w:val="none" w:sz="0" w:space="0" w:color="auto"/>
      </w:divBdr>
    </w:div>
    <w:div w:id="212064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an.gov.co/" TargetMode="External"/><Relationship Id="rId5" Type="http://schemas.openxmlformats.org/officeDocument/2006/relationships/hyperlink" Target="mailto:deisy.burbano@sinfonica.com.co" TargetMode="External"/><Relationship Id="rId4" Type="http://schemas.openxmlformats.org/officeDocument/2006/relationships/hyperlink" Target="mailto:claudia.franco@sinfonica.com.co"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1467</Words>
  <Characters>8073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Guillermo Alzate Duque</cp:lastModifiedBy>
  <cp:revision>2</cp:revision>
  <dcterms:created xsi:type="dcterms:W3CDTF">2021-07-09T15:30:00Z</dcterms:created>
  <dcterms:modified xsi:type="dcterms:W3CDTF">2021-07-09T15:30:00Z</dcterms:modified>
</cp:coreProperties>
</file>