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EE85" w14:textId="77777777" w:rsidR="00B83E45" w:rsidRPr="00A12BF4" w:rsidRDefault="00B83E45" w:rsidP="003E1C67">
      <w:pPr>
        <w:jc w:val="center"/>
        <w:rPr>
          <w:rFonts w:eastAsia="Times New Roman"/>
          <w:szCs w:val="24"/>
          <w:lang w:eastAsia="es-CO"/>
        </w:rPr>
      </w:pPr>
      <w:r w:rsidRPr="00A12BF4">
        <w:rPr>
          <w:rFonts w:eastAsia="Times New Roman"/>
          <w:b/>
          <w:bCs/>
          <w:szCs w:val="24"/>
          <w:lang w:eastAsia="es-CO"/>
        </w:rPr>
        <w:t>CONCEPTO N° 048258</w:t>
      </w:r>
    </w:p>
    <w:p w14:paraId="5AA9408D" w14:textId="77777777" w:rsidR="00B83E45" w:rsidRPr="00A12BF4" w:rsidRDefault="00B83E45" w:rsidP="003E1C67">
      <w:pPr>
        <w:jc w:val="center"/>
        <w:rPr>
          <w:rFonts w:eastAsia="Times New Roman"/>
          <w:szCs w:val="24"/>
          <w:lang w:eastAsia="es-CO"/>
        </w:rPr>
      </w:pPr>
      <w:r w:rsidRPr="00A12BF4">
        <w:rPr>
          <w:rFonts w:eastAsia="Times New Roman"/>
          <w:b/>
          <w:bCs/>
          <w:szCs w:val="24"/>
          <w:lang w:eastAsia="es-CO"/>
        </w:rPr>
        <w:t>11-08-2014</w:t>
      </w:r>
    </w:p>
    <w:p w14:paraId="2A1E5211" w14:textId="77777777" w:rsidR="00B83E45" w:rsidRPr="00A12BF4" w:rsidRDefault="00B83E45" w:rsidP="003E1C67">
      <w:pPr>
        <w:jc w:val="center"/>
        <w:rPr>
          <w:rFonts w:eastAsia="Times New Roman"/>
          <w:szCs w:val="24"/>
          <w:lang w:eastAsia="es-CO"/>
        </w:rPr>
      </w:pPr>
      <w:r w:rsidRPr="00A12BF4">
        <w:rPr>
          <w:rFonts w:eastAsia="Times New Roman"/>
          <w:b/>
          <w:bCs/>
          <w:szCs w:val="24"/>
          <w:lang w:eastAsia="es-CO"/>
        </w:rPr>
        <w:t>DIAN</w:t>
      </w:r>
    </w:p>
    <w:p w14:paraId="683F1EC7"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 </w:t>
      </w:r>
    </w:p>
    <w:p w14:paraId="588CB8DE"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 </w:t>
      </w:r>
    </w:p>
    <w:p w14:paraId="299D112A" w14:textId="77777777" w:rsidR="00B83E45" w:rsidRPr="00A12BF4" w:rsidRDefault="00B83E45" w:rsidP="003E1C67">
      <w:pPr>
        <w:rPr>
          <w:rFonts w:eastAsia="Times New Roman"/>
          <w:szCs w:val="24"/>
          <w:lang w:eastAsia="es-CO"/>
        </w:rPr>
      </w:pPr>
      <w:r w:rsidRPr="00A12BF4">
        <w:rPr>
          <w:rFonts w:eastAsia="Times New Roman"/>
          <w:szCs w:val="24"/>
          <w:lang w:eastAsia="es-CO"/>
        </w:rPr>
        <w:t>Dirección de Gestión Jurídica</w:t>
      </w:r>
    </w:p>
    <w:p w14:paraId="09A83D0C" w14:textId="77777777" w:rsidR="00B83E45" w:rsidRPr="00A12BF4" w:rsidRDefault="00B83E45" w:rsidP="003E1C67">
      <w:pPr>
        <w:rPr>
          <w:rFonts w:eastAsia="Times New Roman"/>
          <w:szCs w:val="24"/>
          <w:lang w:eastAsia="es-CO"/>
        </w:rPr>
      </w:pPr>
      <w:r w:rsidRPr="00A12BF4">
        <w:rPr>
          <w:rFonts w:eastAsia="Times New Roman"/>
          <w:szCs w:val="24"/>
          <w:lang w:eastAsia="es-CO"/>
        </w:rPr>
        <w:t>Bogotá, D.C.</w:t>
      </w:r>
    </w:p>
    <w:p w14:paraId="163A9F19" w14:textId="77777777" w:rsidR="00B83E45" w:rsidRPr="00A12BF4" w:rsidRDefault="00B83E45" w:rsidP="003E1C67">
      <w:pPr>
        <w:rPr>
          <w:rFonts w:eastAsia="Times New Roman"/>
          <w:szCs w:val="24"/>
          <w:lang w:eastAsia="es-CO"/>
        </w:rPr>
      </w:pPr>
      <w:r w:rsidRPr="00A12BF4">
        <w:rPr>
          <w:rFonts w:eastAsia="Times New Roman"/>
          <w:szCs w:val="24"/>
          <w:lang w:eastAsia="es-CO"/>
        </w:rPr>
        <w:t>100202208 – 920</w:t>
      </w:r>
    </w:p>
    <w:p w14:paraId="61F63C3A"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3E71551D"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CONCEPTO No.</w:t>
      </w:r>
    </w:p>
    <w:p w14:paraId="1CDAFD6C"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ÁREA: Tributaria</w:t>
      </w:r>
    </w:p>
    <w:p w14:paraId="1838E171"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 </w:t>
      </w:r>
    </w:p>
    <w:p w14:paraId="592D7149" w14:textId="77777777" w:rsidR="00B83E45" w:rsidRPr="00A12BF4" w:rsidRDefault="00B83E45" w:rsidP="003E1C67">
      <w:pPr>
        <w:rPr>
          <w:rFonts w:eastAsia="Times New Roman"/>
          <w:szCs w:val="24"/>
          <w:lang w:eastAsia="es-CO"/>
        </w:rPr>
      </w:pPr>
      <w:r w:rsidRPr="00A12BF4">
        <w:rPr>
          <w:rFonts w:eastAsia="Times New Roman"/>
          <w:szCs w:val="24"/>
          <w:lang w:eastAsia="es-CO"/>
        </w:rPr>
        <w:t>Señor</w:t>
      </w:r>
    </w:p>
    <w:p w14:paraId="3F5FD111"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GUILLERMO LEÓN TREJO PÉREZ</w:t>
      </w:r>
    </w:p>
    <w:p w14:paraId="59E440F5" w14:textId="77777777" w:rsidR="00B83E45" w:rsidRPr="00A12BF4" w:rsidRDefault="003E1C67" w:rsidP="003E1C67">
      <w:pPr>
        <w:rPr>
          <w:rFonts w:eastAsia="Times New Roman"/>
          <w:szCs w:val="24"/>
          <w:lang w:eastAsia="es-CO"/>
        </w:rPr>
      </w:pPr>
      <w:hyperlink r:id="rId4" w:history="1">
        <w:r w:rsidR="00B83E45" w:rsidRPr="00A12BF4">
          <w:rPr>
            <w:rFonts w:eastAsia="Times New Roman"/>
            <w:szCs w:val="24"/>
            <w:lang w:eastAsia="es-CO"/>
          </w:rPr>
          <w:t>guilletre01@hotmail.com</w:t>
        </w:r>
      </w:hyperlink>
    </w:p>
    <w:p w14:paraId="249CD14B"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2F15FF5E" w14:textId="77777777" w:rsidR="00B83E45" w:rsidRPr="00A12BF4" w:rsidRDefault="00B83E45" w:rsidP="003E1C67">
      <w:pPr>
        <w:rPr>
          <w:rFonts w:eastAsia="Times New Roman"/>
          <w:szCs w:val="24"/>
          <w:lang w:eastAsia="es-CO"/>
        </w:rPr>
      </w:pPr>
      <w:proofErr w:type="spellStart"/>
      <w:r w:rsidRPr="00A12BF4">
        <w:rPr>
          <w:rFonts w:eastAsia="Times New Roman"/>
          <w:b/>
          <w:bCs/>
          <w:szCs w:val="24"/>
          <w:lang w:eastAsia="es-CO"/>
        </w:rPr>
        <w:t>Ref</w:t>
      </w:r>
      <w:proofErr w:type="spellEnd"/>
      <w:r w:rsidRPr="00A12BF4">
        <w:rPr>
          <w:rFonts w:eastAsia="Times New Roman"/>
          <w:b/>
          <w:bCs/>
          <w:szCs w:val="24"/>
          <w:lang w:eastAsia="es-CO"/>
        </w:rPr>
        <w:t>: </w:t>
      </w:r>
      <w:r w:rsidRPr="00A12BF4">
        <w:rPr>
          <w:rFonts w:eastAsia="Times New Roman"/>
          <w:szCs w:val="24"/>
          <w:lang w:eastAsia="es-CO"/>
        </w:rPr>
        <w:t>Radicado 02754 del 17/10/2013</w:t>
      </w:r>
    </w:p>
    <w:p w14:paraId="79F279CF"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6637F109" w14:textId="77777777" w:rsidR="00B83E45" w:rsidRPr="00A12BF4" w:rsidRDefault="00B83E45" w:rsidP="003E1C67">
      <w:pPr>
        <w:rPr>
          <w:rFonts w:eastAsia="Times New Roman"/>
          <w:szCs w:val="24"/>
          <w:lang w:eastAsia="es-CO"/>
        </w:rPr>
      </w:pPr>
      <w:r w:rsidRPr="00A12BF4">
        <w:rPr>
          <w:rFonts w:eastAsia="Times New Roman"/>
          <w:szCs w:val="24"/>
          <w:lang w:eastAsia="es-CO"/>
        </w:rPr>
        <w:t>De conformidad con el artículo 19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14:paraId="0B26C369"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69233E27"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Tema </w:t>
      </w:r>
      <w:r w:rsidRPr="00A12BF4">
        <w:rPr>
          <w:rFonts w:eastAsia="Times New Roman"/>
          <w:szCs w:val="24"/>
          <w:lang w:eastAsia="es-CO"/>
        </w:rPr>
        <w:t>Impuesto sobre la Renta y Complementarios</w:t>
      </w:r>
    </w:p>
    <w:p w14:paraId="0814420D"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Descriptores </w:t>
      </w:r>
      <w:r w:rsidRPr="00A12BF4">
        <w:rPr>
          <w:rFonts w:eastAsia="Times New Roman"/>
          <w:szCs w:val="24"/>
          <w:lang w:eastAsia="es-CO"/>
        </w:rPr>
        <w:t>Deducción de Aportes Parafiscales</w:t>
      </w:r>
    </w:p>
    <w:p w14:paraId="0C36A512"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Fuentes formales </w:t>
      </w:r>
      <w:r w:rsidRPr="00A12BF4">
        <w:rPr>
          <w:rFonts w:eastAsia="Times New Roman"/>
          <w:szCs w:val="24"/>
          <w:lang w:eastAsia="es-CO"/>
        </w:rPr>
        <w:t>Estatuto Tributario, </w:t>
      </w:r>
      <w:hyperlink r:id="rId5" w:tooltip="Estatuto Tributario CETA" w:history="1">
        <w:r w:rsidRPr="00A12BF4">
          <w:rPr>
            <w:rFonts w:eastAsia="Times New Roman"/>
            <w:szCs w:val="24"/>
            <w:lang w:eastAsia="es-CO"/>
          </w:rPr>
          <w:t>art. 108</w:t>
        </w:r>
      </w:hyperlink>
      <w:r w:rsidRPr="00A12BF4">
        <w:rPr>
          <w:rFonts w:eastAsia="Times New Roman"/>
          <w:szCs w:val="24"/>
          <w:lang w:eastAsia="es-CO"/>
        </w:rPr>
        <w:t>; Ley 100 de 1993, arts. 8°, 15, 157; Decreto Ley 1295 de 1994, art. 13; Ley 797 de 2003, art. 3°; Ley 1393 de 2010, arts. 26 y 27; Ley 1562 de 2012, art. 2°; Decreto Reglamentario 1406 de 1999, art. 16; Decreto Reglamentario 1703 de 2002, art. 23; Decreto Reglamentario 510 de 2003, art. 1°; Decreto Reglamentario 1070 de 2013, art. 3°; Decreto Reglamentario 3032 de 2013, arts. 1° y 9°</w:t>
      </w:r>
    </w:p>
    <w:p w14:paraId="27676DCB"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5EBDECF"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04CF91C8" w14:textId="77777777" w:rsidR="00B83E45" w:rsidRPr="00D71BFD" w:rsidRDefault="00B83E45" w:rsidP="003E1C67">
      <w:pPr>
        <w:rPr>
          <w:rFonts w:eastAsia="Times New Roman"/>
          <w:szCs w:val="24"/>
          <w:highlight w:val="green"/>
          <w:lang w:eastAsia="es-CO"/>
        </w:rPr>
      </w:pPr>
      <w:r w:rsidRPr="00D71BFD">
        <w:rPr>
          <w:rFonts w:eastAsia="Times New Roman"/>
          <w:b/>
          <w:bCs/>
          <w:szCs w:val="24"/>
          <w:highlight w:val="green"/>
          <w:lang w:eastAsia="es-CO"/>
        </w:rPr>
        <w:t>PROBLEMA JURÍDICO:</w:t>
      </w:r>
    </w:p>
    <w:p w14:paraId="2A184C52" w14:textId="77777777" w:rsidR="00B83E45" w:rsidRPr="00D71BFD" w:rsidRDefault="00B83E45" w:rsidP="003E1C67">
      <w:pPr>
        <w:rPr>
          <w:rFonts w:eastAsia="Times New Roman"/>
          <w:szCs w:val="24"/>
          <w:highlight w:val="green"/>
          <w:lang w:eastAsia="es-CO"/>
        </w:rPr>
      </w:pPr>
      <w:r w:rsidRPr="00D71BFD">
        <w:rPr>
          <w:rFonts w:eastAsia="Times New Roman"/>
          <w:b/>
          <w:bCs/>
          <w:szCs w:val="24"/>
          <w:highlight w:val="green"/>
          <w:lang w:eastAsia="es-CO"/>
        </w:rPr>
        <w:t> </w:t>
      </w:r>
    </w:p>
    <w:p w14:paraId="0134B524" w14:textId="77777777" w:rsidR="00B83E45" w:rsidRPr="007C2957" w:rsidRDefault="00B83E45" w:rsidP="003E1C67">
      <w:pPr>
        <w:rPr>
          <w:rFonts w:eastAsia="Times New Roman"/>
          <w:b/>
          <w:szCs w:val="24"/>
          <w:lang w:eastAsia="es-CO"/>
        </w:rPr>
      </w:pPr>
      <w:r w:rsidRPr="00D71BFD">
        <w:rPr>
          <w:rFonts w:eastAsia="Times New Roman"/>
          <w:b/>
          <w:szCs w:val="24"/>
          <w:highlight w:val="green"/>
          <w:lang w:eastAsia="es-CO"/>
        </w:rPr>
        <w:t xml:space="preserve">Para la procedencia de la deducción por concepto de alquileres pagados a una persona natural propietaria de locales comerciales, el arrendatario debe verificar la afiliación </w:t>
      </w:r>
      <w:r w:rsidRPr="00D71BFD">
        <w:rPr>
          <w:rFonts w:eastAsia="Times New Roman"/>
          <w:b/>
          <w:szCs w:val="24"/>
          <w:highlight w:val="green"/>
          <w:lang w:eastAsia="es-CO"/>
        </w:rPr>
        <w:lastRenderedPageBreak/>
        <w:t>y el pago de las cotizaciones y aportes al Sistema General de Seguridad Social que le correspondan al arrendador según la ley?</w:t>
      </w:r>
    </w:p>
    <w:p w14:paraId="5E15E744" w14:textId="77777777" w:rsidR="00B83E45" w:rsidRPr="007C2957" w:rsidRDefault="00B83E45" w:rsidP="003E1C67">
      <w:pPr>
        <w:rPr>
          <w:rFonts w:eastAsia="Times New Roman"/>
          <w:b/>
          <w:szCs w:val="24"/>
          <w:lang w:eastAsia="es-CO"/>
        </w:rPr>
      </w:pPr>
      <w:r w:rsidRPr="007C2957">
        <w:rPr>
          <w:rFonts w:eastAsia="Times New Roman"/>
          <w:b/>
          <w:szCs w:val="24"/>
          <w:lang w:eastAsia="es-CO"/>
        </w:rPr>
        <w:t> </w:t>
      </w:r>
    </w:p>
    <w:p w14:paraId="0955F699"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TESIS JURÍDICA:</w:t>
      </w:r>
    </w:p>
    <w:p w14:paraId="41E1F0D2"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 </w:t>
      </w:r>
    </w:p>
    <w:p w14:paraId="13E08CB2" w14:textId="77777777" w:rsidR="00B83E45" w:rsidRPr="00A12BF4" w:rsidRDefault="00B83E45" w:rsidP="003E1C67">
      <w:pPr>
        <w:rPr>
          <w:rFonts w:eastAsia="Times New Roman"/>
          <w:szCs w:val="24"/>
          <w:lang w:eastAsia="es-CO"/>
        </w:rPr>
      </w:pPr>
      <w:r w:rsidRPr="00A12BF4">
        <w:rPr>
          <w:rFonts w:eastAsia="Times New Roman"/>
          <w:szCs w:val="24"/>
          <w:lang w:eastAsia="es-CO"/>
        </w:rPr>
        <w:t>En los contratos sean civiles, comerciales o administrativos en donde esté involucrada la prestación de un servicio por una persona natural en favor de una persona natural o jurídica de derecho público o privado, indistintamente de la forma en que se pacte el servicio, de la denominación de la remuneración, o de los elementos o maquinaria utilizada para su prestación, la parte contratante deberá verificar la afiliación y el pago de aportes al Sistema de Seguridad Social Integral que le correspondan al contratista según la ley.</w:t>
      </w:r>
    </w:p>
    <w:p w14:paraId="28824B6D"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2994685F" w14:textId="77777777" w:rsidR="00B83E45" w:rsidRPr="00A12BF4" w:rsidRDefault="00B83E45" w:rsidP="003E1C67">
      <w:pPr>
        <w:rPr>
          <w:rFonts w:eastAsia="Times New Roman"/>
          <w:szCs w:val="24"/>
          <w:lang w:eastAsia="es-CO"/>
        </w:rPr>
      </w:pPr>
      <w:r w:rsidRPr="00A12BF4">
        <w:rPr>
          <w:rFonts w:eastAsia="Times New Roman"/>
          <w:szCs w:val="24"/>
          <w:lang w:eastAsia="es-CO"/>
        </w:rPr>
        <w:t>A contrario sensu, en los contratos que no impliquen la prestación de un servicio personal, no resulta aplicable la verificación prevista en el artículo 3° del Decreto 1070 de 2013.</w:t>
      </w:r>
    </w:p>
    <w:p w14:paraId="3D74BAD6"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23071AB"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INTERPRETACIÓN JURÍDICA:</w:t>
      </w:r>
    </w:p>
    <w:p w14:paraId="5785835D"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 </w:t>
      </w:r>
    </w:p>
    <w:p w14:paraId="380D633F" w14:textId="77777777" w:rsidR="00B83E45" w:rsidRPr="00A12BF4" w:rsidRDefault="00B83E45" w:rsidP="003E1C67">
      <w:pPr>
        <w:rPr>
          <w:rFonts w:eastAsia="Times New Roman"/>
          <w:szCs w:val="24"/>
          <w:lang w:eastAsia="es-CO"/>
        </w:rPr>
      </w:pPr>
      <w:r w:rsidRPr="003E1C67">
        <w:rPr>
          <w:rFonts w:eastAsia="Times New Roman"/>
          <w:szCs w:val="24"/>
          <w:highlight w:val="green"/>
          <w:lang w:eastAsia="es-CO"/>
        </w:rPr>
        <w:t>En primer lugar es necesario señalar que el artículo 3° del Decreto 1070 de 2013, fue modificado por el artículo 9° del Decreto 3032 de 2013, circunscribiendo su aplicación a los contratos de prestación de servicios, en los siguientes términos:</w:t>
      </w:r>
    </w:p>
    <w:p w14:paraId="74A54744"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03AC04AD"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3°. Contribuciones al Sistema General de Seguridad Social. </w:t>
      </w:r>
      <w:r w:rsidRPr="00A12BF4">
        <w:rPr>
          <w:rFonts w:eastAsia="Times New Roman"/>
          <w:i/>
          <w:iCs/>
          <w:szCs w:val="24"/>
          <w:lang w:eastAsia="es-CO"/>
        </w:rPr>
        <w:t>De acuerdo con lo previsto en el artículo 26 de la Ley 1393 de 2010 y el artículo 108 del Estatuto Tributario, la disminución de la base de retención para </w:t>
      </w:r>
      <w:r w:rsidRPr="00A12BF4">
        <w:rPr>
          <w:rFonts w:eastAsia="Times New Roman"/>
          <w:i/>
          <w:iCs/>
          <w:szCs w:val="24"/>
          <w:u w:val="single"/>
          <w:lang w:eastAsia="es-CO"/>
        </w:rPr>
        <w:t>las personas naturales residentes cuyos ingresos no provengan de una relación laboral, o legal y reglamentaria</w:t>
      </w:r>
      <w:r w:rsidRPr="00A12BF4">
        <w:rPr>
          <w:rFonts w:eastAsia="Times New Roman"/>
          <w:i/>
          <w:iCs/>
          <w:szCs w:val="24"/>
          <w:lang w:eastAsia="es-CO"/>
        </w:rPr>
        <w:t>, por concepto de contribuciones al Sistema General de Seguridad Social, </w:t>
      </w:r>
      <w:r w:rsidRPr="00A12BF4">
        <w:rPr>
          <w:rFonts w:eastAsia="Times New Roman"/>
          <w:i/>
          <w:iCs/>
          <w:szCs w:val="24"/>
          <w:u w:val="single"/>
          <w:lang w:eastAsia="es-CO"/>
        </w:rPr>
        <w:t>pertenezcan o no a la categoría de empleados</w:t>
      </w:r>
      <w:r w:rsidRPr="00A12BF4">
        <w:rPr>
          <w:rFonts w:eastAsia="Times New Roman"/>
          <w:i/>
          <w:iCs/>
          <w:szCs w:val="24"/>
          <w:lang w:eastAsia="es-CO"/>
        </w:rPr>
        <w:t>, estará condicionada a su liquidación y pago en lo relacionado con las sumas que son objeto del contrato, para lo cual se adjuntará a la respectiva factura o documento equivalente copia de la planilla o documento de pago.</w:t>
      </w:r>
    </w:p>
    <w:p w14:paraId="793C15D2"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111E033E"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Para la procedencia de la deducción en el impuesto sobre la renta de </w:t>
      </w:r>
      <w:r w:rsidRPr="00A12BF4">
        <w:rPr>
          <w:rFonts w:eastAsia="Times New Roman"/>
          <w:i/>
          <w:iCs/>
          <w:szCs w:val="24"/>
          <w:u w:val="single"/>
          <w:lang w:eastAsia="es-CO"/>
        </w:rPr>
        <w:t>los pagos realizados a las personas mencionadas en el inciso anterior por concepto de contratos de prestación de servicios</w:t>
      </w:r>
      <w:r w:rsidRPr="00A12BF4">
        <w:rPr>
          <w:rFonts w:eastAsia="Times New Roman"/>
          <w:i/>
          <w:iCs/>
          <w:szCs w:val="24"/>
          <w:lang w:eastAsia="es-CO"/>
        </w:rPr>
        <w:t>, el contratante deberá verificar que los aportes al Sistema General de Seguridad Social estén realizados de acuerdo con los ingresos obtenidos en el contrato respectivo, en los términos del artículo 18 de la Ley 1122 de 2007, los </w:t>
      </w:r>
      <w:r w:rsidRPr="00A12BF4">
        <w:rPr>
          <w:rFonts w:eastAsia="Times New Roman"/>
          <w:i/>
          <w:iCs/>
          <w:szCs w:val="24"/>
          <w:u w:val="single"/>
          <w:lang w:eastAsia="es-CO"/>
        </w:rPr>
        <w:t>Decretos números 1703 de 2002 y 510 de 2003</w:t>
      </w:r>
      <w:r w:rsidRPr="00A12BF4">
        <w:rPr>
          <w:rFonts w:eastAsia="Times New Roman"/>
          <w:i/>
          <w:iCs/>
          <w:szCs w:val="24"/>
          <w:lang w:eastAsia="es-CO"/>
        </w:rPr>
        <w:t>, las demás normas vigentes sobre la materia, así como aquellas disposiciones que las adicionen, modifiquen o sustituyan.</w:t>
      </w:r>
    </w:p>
    <w:p w14:paraId="476F0F01"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0A9F7D06"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lastRenderedPageBreak/>
        <w:t>Parágrafo. </w:t>
      </w:r>
      <w:r w:rsidRPr="00A12BF4">
        <w:rPr>
          <w:rFonts w:eastAsia="Times New Roman"/>
          <w:i/>
          <w:iCs/>
          <w:szCs w:val="24"/>
          <w:lang w:eastAsia="es-CO"/>
        </w:rPr>
        <w:t xml:space="preserve">Esta obligación no será aplicable cuando la totalidad de los pagos mensuales sean inferiores a un salario mínimo legal mensual vigente (1 </w:t>
      </w:r>
      <w:proofErr w:type="spellStart"/>
      <w:r w:rsidRPr="00A12BF4">
        <w:rPr>
          <w:rFonts w:eastAsia="Times New Roman"/>
          <w:i/>
          <w:iCs/>
          <w:szCs w:val="24"/>
          <w:lang w:eastAsia="es-CO"/>
        </w:rPr>
        <w:t>smlmv</w:t>
      </w:r>
      <w:proofErr w:type="spellEnd"/>
      <w:r w:rsidRPr="00A12BF4">
        <w:rPr>
          <w:rFonts w:eastAsia="Times New Roman"/>
          <w:i/>
          <w:iCs/>
          <w:szCs w:val="24"/>
          <w:lang w:eastAsia="es-CO"/>
        </w:rPr>
        <w:t>)”. </w:t>
      </w:r>
      <w:r w:rsidRPr="00A12BF4">
        <w:rPr>
          <w:rFonts w:eastAsia="Times New Roman"/>
          <w:szCs w:val="24"/>
          <w:lang w:eastAsia="es-CO"/>
        </w:rPr>
        <w:t>(subrayado fuera de texto).</w:t>
      </w:r>
    </w:p>
    <w:p w14:paraId="238BF29F"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AE79461" w14:textId="77777777" w:rsidR="00B83E45" w:rsidRPr="00A12BF4" w:rsidRDefault="00B83E45" w:rsidP="003E1C67">
      <w:pPr>
        <w:rPr>
          <w:rFonts w:eastAsia="Times New Roman"/>
          <w:szCs w:val="24"/>
          <w:lang w:eastAsia="es-CO"/>
        </w:rPr>
      </w:pPr>
      <w:r w:rsidRPr="00A12BF4">
        <w:rPr>
          <w:rFonts w:eastAsia="Times New Roman"/>
          <w:szCs w:val="24"/>
          <w:lang w:eastAsia="es-CO"/>
        </w:rPr>
        <w:t>A su turno, las normas reglamentadas de la Ley 1393 de 2010, establecen:</w:t>
      </w:r>
    </w:p>
    <w:p w14:paraId="3134262E"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38A97D7D"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26. </w:t>
      </w:r>
      <w:r w:rsidRPr="00A12BF4">
        <w:rPr>
          <w:rFonts w:eastAsia="Times New Roman"/>
          <w:i/>
          <w:iCs/>
          <w:szCs w:val="24"/>
          <w:lang w:eastAsia="es-CO"/>
        </w:rPr>
        <w:t>La celebración y cumplimiento de las obligaciones derivadas de </w:t>
      </w:r>
      <w:r w:rsidRPr="003E1C67">
        <w:rPr>
          <w:rFonts w:eastAsia="Times New Roman"/>
          <w:i/>
          <w:iCs/>
          <w:szCs w:val="24"/>
          <w:highlight w:val="yellow"/>
          <w:u w:val="single"/>
          <w:lang w:eastAsia="es-CO"/>
        </w:rPr>
        <w:t>contratos de prestación de servicios</w:t>
      </w:r>
      <w:r w:rsidRPr="00A12BF4">
        <w:rPr>
          <w:rFonts w:eastAsia="Times New Roman"/>
          <w:i/>
          <w:iCs/>
          <w:szCs w:val="24"/>
          <w:lang w:eastAsia="es-CO"/>
        </w:rPr>
        <w:t> estará condicionada a la verificación por parte del contratante de la afiliación y pago de los aportes al sistema de protección social, conforme a la reglamentación que para tal efecto expida el Gobierno Nacional.</w:t>
      </w:r>
    </w:p>
    <w:p w14:paraId="594008E3"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08A1DC90"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El Gobierno Nacional podrá adoptar mecanismos de retención para el cumplimiento de estas obligaciones, así como de devolución de saldos a favor.</w:t>
      </w:r>
    </w:p>
    <w:p w14:paraId="44972999"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7623AFA4"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27. </w:t>
      </w:r>
      <w:r w:rsidRPr="00A12BF4">
        <w:rPr>
          <w:rFonts w:eastAsia="Times New Roman"/>
          <w:i/>
          <w:iCs/>
          <w:szCs w:val="24"/>
          <w:lang w:eastAsia="es-CO"/>
        </w:rPr>
        <w:t>Adiciónese el </w:t>
      </w:r>
      <w:hyperlink r:id="rId6" w:tooltip="Estatuto Tributario CETA" w:history="1">
        <w:r w:rsidRPr="00A12BF4">
          <w:rPr>
            <w:rFonts w:eastAsia="Times New Roman"/>
            <w:i/>
            <w:iCs/>
            <w:szCs w:val="24"/>
            <w:lang w:eastAsia="es-CO"/>
          </w:rPr>
          <w:t>artículo 108</w:t>
        </w:r>
      </w:hyperlink>
      <w:r w:rsidRPr="00A12BF4">
        <w:rPr>
          <w:rFonts w:eastAsia="Times New Roman"/>
          <w:i/>
          <w:iCs/>
          <w:szCs w:val="24"/>
          <w:lang w:eastAsia="es-CO"/>
        </w:rPr>
        <w:t> del Estatuto Tributario con el siguiente parágrafo:</w:t>
      </w:r>
    </w:p>
    <w:p w14:paraId="52161758"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348A730C"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“Parágrafo 2°. </w:t>
      </w:r>
      <w:r w:rsidRPr="00A12BF4">
        <w:rPr>
          <w:rFonts w:eastAsia="Times New Roman"/>
          <w:i/>
          <w:iCs/>
          <w:szCs w:val="24"/>
          <w:lang w:eastAsia="es-CO"/>
        </w:rPr>
        <w:t>Para efectos de la deducción por salarios de que trata el presente artículo se entenderá que tales aportes parafiscales deben efectuarse de acuerdo con lo establecido en las normas vigentes. Igualmente, </w:t>
      </w:r>
      <w:r w:rsidRPr="00A12BF4">
        <w:rPr>
          <w:rFonts w:eastAsia="Times New Roman"/>
          <w:i/>
          <w:iCs/>
          <w:szCs w:val="24"/>
          <w:u w:val="single"/>
          <w:lang w:eastAsia="es-CO"/>
        </w:rPr>
        <w:t>para la procedencia de la deducción por pagos a trabajadores independientes</w:t>
      </w:r>
      <w:r w:rsidRPr="00A12BF4">
        <w:rPr>
          <w:rFonts w:eastAsia="Times New Roman"/>
          <w:i/>
          <w:iCs/>
          <w:szCs w:val="24"/>
          <w:lang w:eastAsia="es-CO"/>
        </w:rPr>
        <w:t>,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 </w:t>
      </w:r>
      <w:r w:rsidRPr="00A12BF4">
        <w:rPr>
          <w:rFonts w:eastAsia="Times New Roman"/>
          <w:szCs w:val="24"/>
          <w:lang w:eastAsia="es-CO"/>
        </w:rPr>
        <w:t>(subrayado fuera de texto).</w:t>
      </w:r>
    </w:p>
    <w:p w14:paraId="3E6C524D" w14:textId="77777777" w:rsidR="00B83E45" w:rsidRPr="003E1C67" w:rsidRDefault="00B83E45" w:rsidP="003E1C67">
      <w:pPr>
        <w:rPr>
          <w:rFonts w:eastAsia="Times New Roman"/>
          <w:sz w:val="32"/>
          <w:szCs w:val="32"/>
          <w:lang w:eastAsia="es-CO"/>
        </w:rPr>
      </w:pPr>
      <w:r w:rsidRPr="003E1C67">
        <w:rPr>
          <w:rFonts w:eastAsia="Times New Roman"/>
          <w:sz w:val="32"/>
          <w:szCs w:val="32"/>
          <w:lang w:eastAsia="es-CO"/>
        </w:rPr>
        <w:t> </w:t>
      </w:r>
    </w:p>
    <w:p w14:paraId="5C9E1DA0" w14:textId="77777777" w:rsidR="00B83E45" w:rsidRPr="003E1C67" w:rsidRDefault="00B83E45" w:rsidP="003E1C67">
      <w:pPr>
        <w:rPr>
          <w:rFonts w:eastAsia="Times New Roman"/>
          <w:b/>
          <w:sz w:val="32"/>
          <w:szCs w:val="32"/>
          <w:lang w:eastAsia="es-CO"/>
        </w:rPr>
      </w:pPr>
      <w:r w:rsidRPr="003E1C67">
        <w:rPr>
          <w:rFonts w:eastAsia="Times New Roman"/>
          <w:b/>
          <w:sz w:val="32"/>
          <w:szCs w:val="32"/>
          <w:highlight w:val="green"/>
          <w:lang w:eastAsia="es-CO"/>
        </w:rPr>
        <w:t>Así las cosas, la doctrina de este Despacho sobre el alcance de las nociones de trabajador independiente y de prestación de servicios, recobra vigencia con ocasión de la expedición del Decreto 3032 del 27 de diciembre de 2013 que modificó el Decreto 1070 de 2013 y aporta elementos de juicio en el caso planteado.</w:t>
      </w:r>
    </w:p>
    <w:p w14:paraId="38E3722B"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089FBCCF" w14:textId="77777777" w:rsidR="00B83E45" w:rsidRPr="003E1C67" w:rsidRDefault="00B83E45" w:rsidP="003E1C67">
      <w:pPr>
        <w:rPr>
          <w:rFonts w:eastAsia="Times New Roman"/>
          <w:b/>
          <w:sz w:val="32"/>
          <w:szCs w:val="32"/>
          <w:lang w:eastAsia="es-CO"/>
        </w:rPr>
      </w:pPr>
      <w:r w:rsidRPr="003E1C67">
        <w:rPr>
          <w:rFonts w:eastAsia="Times New Roman"/>
          <w:b/>
          <w:sz w:val="32"/>
          <w:szCs w:val="32"/>
          <w:highlight w:val="green"/>
          <w:lang w:eastAsia="es-CO"/>
        </w:rPr>
        <w:t xml:space="preserve">En efecto, en el Oficio No. 050629 del 10 de agosto de 2012 se manifiesta que para efectos fiscales el legislador no se ha ocupado de definir expresamente qué se entiende por trabajador </w:t>
      </w:r>
      <w:r w:rsidRPr="003E1C67">
        <w:rPr>
          <w:rFonts w:eastAsia="Times New Roman"/>
          <w:b/>
          <w:sz w:val="32"/>
          <w:szCs w:val="32"/>
          <w:highlight w:val="green"/>
          <w:lang w:eastAsia="es-CO"/>
        </w:rPr>
        <w:lastRenderedPageBreak/>
        <w:t>independiente, y de acuerdo con el compendio de la doctrina vigente, se considera como tal a la persona natural que sin tener un vínculo laboral con un empleador o una relación legal o reglamentaria, presta un servicio personal y recibe como contraprestación una remuneración que bien puede corresponder al concepto de honorarios, comisiones o servicios o cualquier otra compensación dependiendo de la naturaleza y calificación del servicio, en los términos del </w:t>
      </w:r>
      <w:hyperlink r:id="rId7" w:tooltip="Estatuto Tributario CETA" w:history="1">
        <w:r w:rsidRPr="003E1C67">
          <w:rPr>
            <w:rFonts w:eastAsia="Times New Roman"/>
            <w:b/>
            <w:sz w:val="32"/>
            <w:szCs w:val="32"/>
            <w:highlight w:val="green"/>
            <w:lang w:eastAsia="es-CO"/>
          </w:rPr>
          <w:t>artículo 103</w:t>
        </w:r>
      </w:hyperlink>
      <w:r w:rsidRPr="003E1C67">
        <w:rPr>
          <w:rFonts w:eastAsia="Times New Roman"/>
          <w:b/>
          <w:sz w:val="32"/>
          <w:szCs w:val="32"/>
          <w:highlight w:val="green"/>
          <w:lang w:eastAsia="es-CO"/>
        </w:rPr>
        <w:t> del Estatuto Tributario.</w:t>
      </w:r>
    </w:p>
    <w:p w14:paraId="731AF4DD"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6C30ADCE" w14:textId="77777777" w:rsidR="00B83E45" w:rsidRPr="003E1C67" w:rsidRDefault="00B83E45" w:rsidP="003E1C67">
      <w:pPr>
        <w:rPr>
          <w:rFonts w:eastAsia="Times New Roman"/>
          <w:b/>
          <w:sz w:val="32"/>
          <w:szCs w:val="32"/>
          <w:lang w:eastAsia="es-CO"/>
        </w:rPr>
      </w:pPr>
      <w:r w:rsidRPr="003E1C67">
        <w:rPr>
          <w:rFonts w:eastAsia="Times New Roman"/>
          <w:b/>
          <w:sz w:val="32"/>
          <w:szCs w:val="32"/>
          <w:highlight w:val="yellow"/>
          <w:lang w:eastAsia="es-CO"/>
        </w:rPr>
        <w:t xml:space="preserve">Así mismo, el citado oficio, concluye que en términos generales la prestación de </w:t>
      </w:r>
      <w:proofErr w:type="gramStart"/>
      <w:r w:rsidRPr="003E1C67">
        <w:rPr>
          <w:rFonts w:eastAsia="Times New Roman"/>
          <w:b/>
          <w:sz w:val="32"/>
          <w:szCs w:val="32"/>
          <w:highlight w:val="yellow"/>
          <w:lang w:eastAsia="es-CO"/>
        </w:rPr>
        <w:t>servicios,</w:t>
      </w:r>
      <w:proofErr w:type="gramEnd"/>
      <w:r w:rsidRPr="003E1C67">
        <w:rPr>
          <w:rFonts w:eastAsia="Times New Roman"/>
          <w:b/>
          <w:sz w:val="32"/>
          <w:szCs w:val="32"/>
          <w:highlight w:val="yellow"/>
          <w:lang w:eastAsia="es-CO"/>
        </w:rPr>
        <w:t xml:space="preserve"> se concreta en una obligación de hacer por una persona natural sin que medie una relación laboral con quien la contrata y por lo tanto comprende los servicios calificados y los no calificados. (Concepto No. 015454 del 10 de marzo de 1998).</w:t>
      </w:r>
    </w:p>
    <w:p w14:paraId="2288AADA" w14:textId="77777777" w:rsidR="00B83E45" w:rsidRPr="007C2957" w:rsidRDefault="00B83E45" w:rsidP="003E1C67">
      <w:pPr>
        <w:rPr>
          <w:rFonts w:eastAsia="Times New Roman"/>
          <w:b/>
          <w:szCs w:val="24"/>
          <w:lang w:eastAsia="es-CO"/>
        </w:rPr>
      </w:pPr>
      <w:r w:rsidRPr="007C2957">
        <w:rPr>
          <w:rFonts w:eastAsia="Times New Roman"/>
          <w:b/>
          <w:szCs w:val="24"/>
          <w:lang w:eastAsia="es-CO"/>
        </w:rPr>
        <w:t> </w:t>
      </w:r>
    </w:p>
    <w:p w14:paraId="700F4023" w14:textId="77777777" w:rsidR="00B83E45" w:rsidRPr="003E1C67" w:rsidRDefault="00B83E45" w:rsidP="003E1C67">
      <w:pPr>
        <w:rPr>
          <w:rFonts w:eastAsia="Times New Roman"/>
          <w:sz w:val="32"/>
          <w:szCs w:val="32"/>
          <w:highlight w:val="green"/>
          <w:lang w:eastAsia="es-CO"/>
        </w:rPr>
      </w:pPr>
      <w:r w:rsidRPr="003E1C67">
        <w:rPr>
          <w:rFonts w:eastAsia="Times New Roman"/>
          <w:sz w:val="32"/>
          <w:szCs w:val="32"/>
          <w:highlight w:val="green"/>
          <w:lang w:eastAsia="es-CO"/>
        </w:rPr>
        <w:t>Consecuente con lo antes mencionado, el artículo 1° del Decreto Reglamentario 3032 de 2013, trae la siguiente definición de servicio personal, para efectos de la clasificación en la categoría tributaria de empleado:</w:t>
      </w:r>
    </w:p>
    <w:p w14:paraId="141C81D8" w14:textId="77777777" w:rsidR="00B83E45" w:rsidRPr="003E1C67" w:rsidRDefault="00B83E45" w:rsidP="003E1C67">
      <w:pPr>
        <w:ind w:left="284"/>
        <w:rPr>
          <w:rFonts w:eastAsia="Times New Roman"/>
          <w:sz w:val="32"/>
          <w:szCs w:val="32"/>
          <w:highlight w:val="green"/>
          <w:lang w:eastAsia="es-CO"/>
        </w:rPr>
      </w:pPr>
      <w:r w:rsidRPr="003E1C67">
        <w:rPr>
          <w:rFonts w:eastAsia="Times New Roman"/>
          <w:sz w:val="32"/>
          <w:szCs w:val="32"/>
          <w:highlight w:val="green"/>
          <w:lang w:eastAsia="es-CO"/>
        </w:rPr>
        <w:t> </w:t>
      </w:r>
    </w:p>
    <w:p w14:paraId="24ADEA27" w14:textId="77777777" w:rsidR="00B83E45" w:rsidRPr="003E1C67" w:rsidRDefault="00B83E45" w:rsidP="003E1C67">
      <w:pPr>
        <w:ind w:left="284"/>
        <w:rPr>
          <w:rFonts w:eastAsia="Times New Roman"/>
          <w:sz w:val="32"/>
          <w:szCs w:val="32"/>
          <w:lang w:eastAsia="es-CO"/>
        </w:rPr>
      </w:pPr>
      <w:r w:rsidRPr="003E1C67">
        <w:rPr>
          <w:rFonts w:eastAsia="Times New Roman"/>
          <w:b/>
          <w:bCs/>
          <w:i/>
          <w:iCs/>
          <w:sz w:val="32"/>
          <w:szCs w:val="32"/>
          <w:highlight w:val="green"/>
          <w:lang w:eastAsia="es-CO"/>
        </w:rPr>
        <w:t>“Servicio personal: </w:t>
      </w:r>
      <w:r w:rsidRPr="003E1C67">
        <w:rPr>
          <w:rFonts w:eastAsia="Times New Roman"/>
          <w:i/>
          <w:iCs/>
          <w:sz w:val="32"/>
          <w:szCs w:val="32"/>
          <w:highlight w:val="green"/>
          <w:lang w:eastAsia="es-CO"/>
        </w:rPr>
        <w:t>Se considera servicio personal toda actividad, labor o trabajo prestado directamente por una persona natural, que se concreta en una obligación de hacer, sin importar que en la misma predomine el factor material o intelectual, y que genera una contraprestación en dinero o en especie, independientemente de su denominación o forma de remuneración.”</w:t>
      </w:r>
    </w:p>
    <w:p w14:paraId="3EFC93DD" w14:textId="77777777" w:rsidR="00B83E45" w:rsidRPr="003E1C67" w:rsidRDefault="00B83E45" w:rsidP="003E1C67">
      <w:pPr>
        <w:rPr>
          <w:rFonts w:eastAsia="Times New Roman"/>
          <w:sz w:val="32"/>
          <w:szCs w:val="32"/>
          <w:lang w:eastAsia="es-CO"/>
        </w:rPr>
      </w:pPr>
      <w:r w:rsidRPr="003E1C67">
        <w:rPr>
          <w:rFonts w:eastAsia="Times New Roman"/>
          <w:i/>
          <w:iCs/>
          <w:sz w:val="32"/>
          <w:szCs w:val="32"/>
          <w:lang w:eastAsia="es-CO"/>
        </w:rPr>
        <w:t> </w:t>
      </w:r>
    </w:p>
    <w:p w14:paraId="7AC159E0" w14:textId="77777777" w:rsidR="00B83E45" w:rsidRPr="00A12BF4" w:rsidRDefault="00B83E45" w:rsidP="003E1C67">
      <w:pPr>
        <w:rPr>
          <w:rFonts w:eastAsia="Times New Roman"/>
          <w:szCs w:val="24"/>
          <w:lang w:eastAsia="es-CO"/>
        </w:rPr>
      </w:pPr>
      <w:r w:rsidRPr="00A12BF4">
        <w:rPr>
          <w:rFonts w:eastAsia="Times New Roman"/>
          <w:szCs w:val="24"/>
          <w:lang w:eastAsia="es-CO"/>
        </w:rPr>
        <w:lastRenderedPageBreak/>
        <w:t>Sin perjuicio de lo anterior, el artículo 3° del Decreto Reglamentario 1070 de 2013, debe interpretarse primordialmente en el contexto del Sistema General de Seguridad Social.</w:t>
      </w:r>
    </w:p>
    <w:p w14:paraId="66A1E959"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6C81E8A6" w14:textId="77777777" w:rsidR="00B83E45" w:rsidRPr="00A12BF4" w:rsidRDefault="00B83E45" w:rsidP="003E1C67">
      <w:pPr>
        <w:rPr>
          <w:rFonts w:eastAsia="Times New Roman"/>
          <w:szCs w:val="24"/>
          <w:lang w:eastAsia="es-CO"/>
        </w:rPr>
      </w:pPr>
      <w:r w:rsidRPr="00A12BF4">
        <w:rPr>
          <w:rFonts w:eastAsia="Times New Roman"/>
          <w:szCs w:val="24"/>
          <w:lang w:eastAsia="es-CO"/>
        </w:rPr>
        <w:t>El aludido Sistema de Seguridad Social Integral, según las voces del artículo 8° de la Ley 100 de 1993, está conformado por los regímenes generales establecidos para pensiones, salud, riesgos profesionales (hoy laborales) y los servicios sociales complementarios que se definen en dicha ley.</w:t>
      </w:r>
    </w:p>
    <w:p w14:paraId="4EC72908"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97DF425" w14:textId="77777777" w:rsidR="00B83E45" w:rsidRPr="00A12BF4" w:rsidRDefault="00B83E45" w:rsidP="003E1C67">
      <w:pPr>
        <w:rPr>
          <w:rFonts w:eastAsia="Times New Roman"/>
          <w:szCs w:val="24"/>
          <w:lang w:eastAsia="es-CO"/>
        </w:rPr>
      </w:pPr>
      <w:r w:rsidRPr="00A12BF4">
        <w:rPr>
          <w:rFonts w:eastAsia="Times New Roman"/>
          <w:szCs w:val="24"/>
          <w:lang w:eastAsia="es-CO"/>
        </w:rPr>
        <w:t>En consonancia con las disposiciones anteriores, el Decreto 1406 de 1999 por el cual se reglamenta la Ley 100 de 1993, dispone en su artículo 16 “Clases de aportantes”, que para efectos de dicho decreto los aportantes del Sistema de Seguridad Social Integral serán de tres (3) clases: a) Grandes Aportantes, b) Pequeños Aportantes y c) Trabajadores Independientes. Según la misma norma, se clasifica como trabajador independiente a aquel que no se encuentre vinculado laboralmente a un empleador, mediante contrato de trabajo o a través de una relación legal y reglamentaria.</w:t>
      </w:r>
    </w:p>
    <w:p w14:paraId="000BF9ED"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667F9B56" w14:textId="77777777" w:rsidR="00B83E45" w:rsidRPr="00A12BF4" w:rsidRDefault="00B83E45" w:rsidP="003E1C67">
      <w:pPr>
        <w:rPr>
          <w:rFonts w:eastAsia="Times New Roman"/>
          <w:szCs w:val="24"/>
          <w:lang w:eastAsia="es-CO"/>
        </w:rPr>
      </w:pPr>
      <w:r w:rsidRPr="00A12BF4">
        <w:rPr>
          <w:rFonts w:eastAsia="Times New Roman"/>
          <w:szCs w:val="24"/>
          <w:lang w:eastAsia="es-CO"/>
        </w:rPr>
        <w:t>A su vez, el artículo 15 de la Ley 100 de 1993, modificado por el artículo 3° de la Ley 797 de 2003, señala que serán afiliados al Sistema General de Pensiones en forma obligatoria:</w:t>
      </w:r>
    </w:p>
    <w:p w14:paraId="487732D2"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1FE57E14"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“Todas aquellas personas vinculadas mediante contrato de trabajo o como servidores públicos. Así mismo, </w:t>
      </w:r>
      <w:r w:rsidRPr="00A12BF4">
        <w:rPr>
          <w:rFonts w:eastAsia="Times New Roman"/>
          <w:i/>
          <w:iCs/>
          <w:szCs w:val="24"/>
          <w:u w:val="single"/>
          <w:lang w:eastAsia="es-CO"/>
        </w:rPr>
        <w:t>las personas naturales que presten directamente servicios al Estado o a las entidades o empresas del sector privado, bajo la modalidad de contratos de prestación de servicios, o cualquier otra modalidad de servicios que adopten, los trabajadores independientes</w:t>
      </w:r>
      <w:r w:rsidRPr="00A12BF4">
        <w:rPr>
          <w:rFonts w:eastAsia="Times New Roman"/>
          <w:i/>
          <w:iCs/>
          <w:szCs w:val="24"/>
          <w:lang w:eastAsia="es-CO"/>
        </w:rPr>
        <w:t> y los grupos de población que por sus características o condiciones socioeconómicas sean elegidos para ser beneficiarios de subsidios a través del Fondo de Solidaridad Pensional, de acuerdo con las disponibilidades presupuestales.” </w:t>
      </w:r>
      <w:r w:rsidRPr="00A12BF4">
        <w:rPr>
          <w:rFonts w:eastAsia="Times New Roman"/>
          <w:szCs w:val="24"/>
          <w:lang w:eastAsia="es-CO"/>
        </w:rPr>
        <w:t>(subrayado fuera de texto).</w:t>
      </w:r>
    </w:p>
    <w:p w14:paraId="42228C4C"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26D20F1" w14:textId="77777777" w:rsidR="00B83E45" w:rsidRPr="00A12BF4" w:rsidRDefault="00B83E45" w:rsidP="003E1C67">
      <w:pPr>
        <w:rPr>
          <w:rFonts w:eastAsia="Times New Roman"/>
          <w:szCs w:val="24"/>
          <w:lang w:eastAsia="es-CO"/>
        </w:rPr>
      </w:pPr>
      <w:r w:rsidRPr="00A12BF4">
        <w:rPr>
          <w:rFonts w:eastAsia="Times New Roman"/>
          <w:szCs w:val="24"/>
          <w:lang w:eastAsia="es-CO"/>
        </w:rPr>
        <w:t>Concordante con lo anterior, el artículo 1° del Decreto Reglamentario 510 de 2003, al que remite expresamente el artículo 3° del Decreto 1070 de 2013, indica:</w:t>
      </w:r>
    </w:p>
    <w:p w14:paraId="6F959584"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5895CC3B"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1°. </w:t>
      </w:r>
      <w:r w:rsidRPr="00A12BF4">
        <w:rPr>
          <w:rFonts w:eastAsia="Times New Roman"/>
          <w:i/>
          <w:iCs/>
          <w:szCs w:val="24"/>
          <w:lang w:eastAsia="es-CO"/>
        </w:rPr>
        <w:t>De conformidad con lo previsto por el artículo 15 de la Ley 100 de 1993, modificado por el artículo 3° de la Ley 797 de 2003, </w:t>
      </w:r>
      <w:r w:rsidRPr="00A12BF4">
        <w:rPr>
          <w:rFonts w:eastAsia="Times New Roman"/>
          <w:i/>
          <w:iCs/>
          <w:szCs w:val="24"/>
          <w:u w:val="single"/>
          <w:lang w:eastAsia="es-CO"/>
        </w:rPr>
        <w:t>las personas naturales que presten directamente servicios al Estado o a las entidades o empresas del sector privado bajo la modalidad de contratos de prestación de servicios o cualquier otra modalidad de servicios que adopten</w:t>
      </w:r>
      <w:r w:rsidRPr="00A12BF4">
        <w:rPr>
          <w:rFonts w:eastAsia="Times New Roman"/>
          <w:i/>
          <w:iCs/>
          <w:szCs w:val="24"/>
          <w:lang w:eastAsia="es-CO"/>
        </w:rPr>
        <w:t>, deberán estar afiliados al Sistema General de Pensiones y…” </w:t>
      </w:r>
      <w:r w:rsidRPr="00A12BF4">
        <w:rPr>
          <w:rFonts w:eastAsia="Times New Roman"/>
          <w:szCs w:val="24"/>
          <w:lang w:eastAsia="es-CO"/>
        </w:rPr>
        <w:t>(subrayado fuera de texto).</w:t>
      </w:r>
    </w:p>
    <w:p w14:paraId="05C8E734"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075A5B5C" w14:textId="77777777" w:rsidR="00B83E45" w:rsidRPr="00A12BF4" w:rsidRDefault="00B83E45" w:rsidP="003E1C67">
      <w:pPr>
        <w:rPr>
          <w:rFonts w:eastAsia="Times New Roman"/>
          <w:szCs w:val="24"/>
          <w:lang w:eastAsia="es-CO"/>
        </w:rPr>
      </w:pPr>
      <w:r w:rsidRPr="00A12BF4">
        <w:rPr>
          <w:rFonts w:eastAsia="Times New Roman"/>
          <w:szCs w:val="24"/>
          <w:lang w:eastAsia="es-CO"/>
        </w:rPr>
        <w:lastRenderedPageBreak/>
        <w:t>Por su parte, el artículo 157 de la Ley 100 de 1993, señala que los afiliados al Sistema General de Seguridad Social en Salud mediante el régimen contributivo son las personas vinculadas a través de contrato de trabajo, los servidores públicos, los pensionados y jubilados y los trabajadores independientes con capacidad de pago.</w:t>
      </w:r>
    </w:p>
    <w:p w14:paraId="306F8501"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14E5420" w14:textId="77777777" w:rsidR="00B83E45" w:rsidRPr="00A12BF4" w:rsidRDefault="00B83E45" w:rsidP="003E1C67">
      <w:pPr>
        <w:rPr>
          <w:rFonts w:eastAsia="Times New Roman"/>
          <w:szCs w:val="24"/>
          <w:lang w:eastAsia="es-CO"/>
        </w:rPr>
      </w:pPr>
      <w:r w:rsidRPr="00A12BF4">
        <w:rPr>
          <w:rFonts w:eastAsia="Times New Roman"/>
          <w:szCs w:val="24"/>
          <w:lang w:eastAsia="es-CO"/>
        </w:rPr>
        <w:t>Ahora bien, el inciso primero del artículo 23 del Decreto 1703 de 2002, al que remite expresamente el artículo 3° del Decreto 1070 de 2013, señala:</w:t>
      </w:r>
    </w:p>
    <w:p w14:paraId="74FE2484"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54CBD470"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23. Cotizaciones en contratación no laboral. </w:t>
      </w:r>
      <w:r w:rsidRPr="00A12BF4">
        <w:rPr>
          <w:rFonts w:eastAsia="Times New Roman"/>
          <w:i/>
          <w:iCs/>
          <w:szCs w:val="24"/>
          <w:lang w:eastAsia="es-CO"/>
        </w:rPr>
        <w:t>Para efectos de lo establecido en el artículo 271 de la Ley 100 de 1993, </w:t>
      </w:r>
      <w:r w:rsidRPr="00A12BF4">
        <w:rPr>
          <w:rFonts w:eastAsia="Times New Roman"/>
          <w:i/>
          <w:iCs/>
          <w:szCs w:val="24"/>
          <w:u w:val="single"/>
          <w:lang w:eastAsia="es-CO"/>
        </w:rPr>
        <w:t>en los contratos en donde esté involucrada la ejecución de un servicio por una persona natural</w:t>
      </w:r>
      <w:r w:rsidRPr="00A12BF4">
        <w:rPr>
          <w:rFonts w:eastAsia="Times New Roman"/>
          <w:i/>
          <w:iCs/>
          <w:szCs w:val="24"/>
          <w:lang w:eastAsia="es-CO"/>
        </w:rPr>
        <w:t> en favor de una persona natural o jurídica de derecho público o privado, tales como contratos de obra, de arrendamiento de servicios, de prestación de servicios, consultoría, asesoría y cuya duración sea superior a tres (3) meses, la parte contratante deberá verificar la afiliación y pago de aportes al Sistema General de Seguridad Social en Salud.” </w:t>
      </w:r>
      <w:r w:rsidRPr="00A12BF4">
        <w:rPr>
          <w:rFonts w:eastAsia="Times New Roman"/>
          <w:szCs w:val="24"/>
          <w:lang w:eastAsia="es-CO"/>
        </w:rPr>
        <w:t>(subrayado fuera de texto).</w:t>
      </w:r>
    </w:p>
    <w:p w14:paraId="2AA1A986"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16F1558B" w14:textId="77777777" w:rsidR="00B83E45" w:rsidRPr="00A12BF4" w:rsidRDefault="00B83E45" w:rsidP="003E1C67">
      <w:pPr>
        <w:rPr>
          <w:rFonts w:eastAsia="Times New Roman"/>
          <w:szCs w:val="24"/>
          <w:lang w:eastAsia="es-CO"/>
        </w:rPr>
      </w:pPr>
      <w:r w:rsidRPr="00A12BF4">
        <w:rPr>
          <w:rFonts w:eastAsia="Times New Roman"/>
          <w:szCs w:val="24"/>
          <w:lang w:eastAsia="es-CO"/>
        </w:rPr>
        <w:t>En cuanto al Sistema General de Riesgos Laborales, el artículo 13 del Decreto Ley 1295 de 1994, modificado por el artículo 2° de la Ley 1562 de 2012, ordena:</w:t>
      </w:r>
    </w:p>
    <w:p w14:paraId="436B837F" w14:textId="77777777" w:rsidR="00B83E45" w:rsidRPr="00A12BF4" w:rsidRDefault="00B83E45" w:rsidP="003E1C67">
      <w:pPr>
        <w:ind w:left="284"/>
        <w:rPr>
          <w:rFonts w:eastAsia="Times New Roman"/>
          <w:szCs w:val="24"/>
          <w:lang w:eastAsia="es-CO"/>
        </w:rPr>
      </w:pPr>
      <w:r w:rsidRPr="00A12BF4">
        <w:rPr>
          <w:rFonts w:eastAsia="Times New Roman"/>
          <w:szCs w:val="24"/>
          <w:lang w:eastAsia="es-CO"/>
        </w:rPr>
        <w:t> </w:t>
      </w:r>
    </w:p>
    <w:p w14:paraId="0EA07C5A" w14:textId="77777777" w:rsidR="00B83E45" w:rsidRPr="00A12BF4" w:rsidRDefault="00B83E45" w:rsidP="003E1C67">
      <w:pPr>
        <w:ind w:left="284"/>
        <w:rPr>
          <w:rFonts w:eastAsia="Times New Roman"/>
          <w:szCs w:val="24"/>
          <w:lang w:eastAsia="es-CO"/>
        </w:rPr>
      </w:pPr>
      <w:r w:rsidRPr="00A12BF4">
        <w:rPr>
          <w:rFonts w:eastAsia="Times New Roman"/>
          <w:b/>
          <w:bCs/>
          <w:i/>
          <w:iCs/>
          <w:szCs w:val="24"/>
          <w:lang w:eastAsia="es-CO"/>
        </w:rPr>
        <w:t>“Artículo 13. Afiliados. </w:t>
      </w:r>
      <w:r w:rsidRPr="00A12BF4">
        <w:rPr>
          <w:rFonts w:eastAsia="Times New Roman"/>
          <w:i/>
          <w:iCs/>
          <w:szCs w:val="24"/>
          <w:lang w:eastAsia="es-CO"/>
        </w:rPr>
        <w:t>Son afiliados al Sistema General de Riesgos Laborales:</w:t>
      </w:r>
    </w:p>
    <w:p w14:paraId="3DCF3AAC"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520AB83E"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a) En forma obligatoria:</w:t>
      </w:r>
    </w:p>
    <w:p w14:paraId="004B019D"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p>
    <w:p w14:paraId="58898467"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1. Los trabajadores dependientes nacionales o extranjeros, vinculados mediante contrato de trabajo escrito o verbal y los servidores públicos; </w:t>
      </w:r>
      <w:r w:rsidRPr="00A12BF4">
        <w:rPr>
          <w:rFonts w:eastAsia="Times New Roman"/>
          <w:i/>
          <w:iCs/>
          <w:szCs w:val="24"/>
          <w:u w:val="single"/>
          <w:lang w:eastAsia="es-CO"/>
        </w:rPr>
        <w:t>las personas vinculadas a través de un contrato formal de prestación de servicios con entidades o instituciones públicas o privadas, tales como contratos civiles, comerciales o administrativos</w:t>
      </w:r>
      <w:r w:rsidRPr="00A12BF4">
        <w:rPr>
          <w:rFonts w:eastAsia="Times New Roman"/>
          <w:i/>
          <w:iCs/>
          <w:szCs w:val="24"/>
          <w:lang w:eastAsia="es-CO"/>
        </w:rPr>
        <w:t>, con una duración superior a un mes y con precisión de las situaciones de tiempo, modo y lugar en que se realiza dicha prestación.</w:t>
      </w:r>
    </w:p>
    <w:p w14:paraId="2EA94F3E" w14:textId="77777777" w:rsidR="00B83E45" w:rsidRPr="00A12BF4" w:rsidRDefault="00B83E45" w:rsidP="003E1C67">
      <w:pPr>
        <w:ind w:left="284"/>
        <w:rPr>
          <w:rFonts w:eastAsia="Times New Roman"/>
          <w:szCs w:val="24"/>
          <w:lang w:eastAsia="es-CO"/>
        </w:rPr>
      </w:pPr>
      <w:r w:rsidRPr="00A12BF4">
        <w:rPr>
          <w:rFonts w:eastAsia="Times New Roman"/>
          <w:i/>
          <w:iCs/>
          <w:szCs w:val="24"/>
          <w:lang w:eastAsia="es-CO"/>
        </w:rPr>
        <w:t>…” </w:t>
      </w:r>
      <w:r w:rsidRPr="00A12BF4">
        <w:rPr>
          <w:rFonts w:eastAsia="Times New Roman"/>
          <w:szCs w:val="24"/>
          <w:lang w:eastAsia="es-CO"/>
        </w:rPr>
        <w:t>(subrayado fuera de texto).</w:t>
      </w:r>
    </w:p>
    <w:p w14:paraId="3051CDFF"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4D588C9F" w14:textId="77777777" w:rsidR="00B83E45" w:rsidRPr="003E1C67" w:rsidRDefault="00B83E45" w:rsidP="003E1C67">
      <w:pPr>
        <w:rPr>
          <w:rFonts w:eastAsia="Times New Roman"/>
          <w:b/>
          <w:sz w:val="32"/>
          <w:szCs w:val="32"/>
          <w:u w:val="single"/>
          <w:lang w:eastAsia="es-CO"/>
        </w:rPr>
      </w:pPr>
      <w:r w:rsidRPr="003E1C67">
        <w:rPr>
          <w:rFonts w:eastAsia="Times New Roman"/>
          <w:b/>
          <w:sz w:val="32"/>
          <w:szCs w:val="32"/>
          <w:highlight w:val="green"/>
          <w:lang w:eastAsia="es-CO"/>
        </w:rPr>
        <w:t xml:space="preserve">En este contexto, se colige que por regla general, en los contratos sean civiles, comerciales o administrativos en donde esté involucrada la prestación de un servicio por una persona natural en favor de una persona natural o jurídica de derecho público o privado, indistintamente de la forma en que se pacte el servicio, </w:t>
      </w:r>
      <w:r w:rsidRPr="003E1C67">
        <w:rPr>
          <w:rFonts w:eastAsia="Times New Roman"/>
          <w:b/>
          <w:sz w:val="32"/>
          <w:szCs w:val="32"/>
          <w:highlight w:val="green"/>
          <w:lang w:eastAsia="es-CO"/>
        </w:rPr>
        <w:lastRenderedPageBreak/>
        <w:t xml:space="preserve">de la denominación de la remuneración, o de los elementos o maquinaria utilizada para su prestación (Oficio No. 072394 del 13 de noviembre de 2013), </w:t>
      </w:r>
      <w:r w:rsidRPr="003E1C67">
        <w:rPr>
          <w:rFonts w:eastAsia="Times New Roman"/>
          <w:b/>
          <w:sz w:val="32"/>
          <w:szCs w:val="32"/>
          <w:highlight w:val="green"/>
          <w:u w:val="single"/>
          <w:lang w:eastAsia="es-CO"/>
        </w:rPr>
        <w:t>la parte contratante deberá verificar la afiliación y el pago de aportes al Sistema de Seguridad Social Integral que le correspondan al contratista según la ley.</w:t>
      </w:r>
    </w:p>
    <w:p w14:paraId="5917998F" w14:textId="77777777" w:rsidR="00B83E45" w:rsidRPr="007C2957" w:rsidRDefault="00B83E45" w:rsidP="003E1C67">
      <w:pPr>
        <w:rPr>
          <w:rFonts w:eastAsia="Times New Roman"/>
          <w:b/>
          <w:szCs w:val="24"/>
          <w:lang w:eastAsia="es-CO"/>
        </w:rPr>
      </w:pPr>
      <w:r w:rsidRPr="007C2957">
        <w:rPr>
          <w:rFonts w:eastAsia="Times New Roman"/>
          <w:b/>
          <w:szCs w:val="24"/>
          <w:lang w:eastAsia="es-CO"/>
        </w:rPr>
        <w:t> </w:t>
      </w:r>
    </w:p>
    <w:p w14:paraId="796AEF11" w14:textId="77777777" w:rsidR="00B83E45" w:rsidRPr="00133970" w:rsidRDefault="00B83E45" w:rsidP="003E1C67">
      <w:pPr>
        <w:rPr>
          <w:rFonts w:eastAsia="Times New Roman"/>
          <w:b/>
          <w:sz w:val="32"/>
          <w:szCs w:val="32"/>
          <w:u w:val="single"/>
          <w:lang w:eastAsia="es-CO"/>
        </w:rPr>
      </w:pPr>
      <w:r w:rsidRPr="003E1C67">
        <w:rPr>
          <w:rFonts w:eastAsia="Times New Roman"/>
          <w:b/>
          <w:sz w:val="32"/>
          <w:szCs w:val="32"/>
          <w:highlight w:val="yellow"/>
          <w:u w:val="single"/>
          <w:lang w:eastAsia="es-CO"/>
        </w:rPr>
        <w:t>A contrario sensu, en los contratos que no impliquen la prestación de un servicio personal, tales como los contratos de arrendamiento de bienes inmuebles, no resulta aplicable la verificación prevista en el artículo 3° del Decreto 1070 de 2013, modificado por el artículo 9° del Decreto 3032 de 2013.</w:t>
      </w:r>
    </w:p>
    <w:p w14:paraId="16626381" w14:textId="77777777" w:rsidR="00B83E45" w:rsidRPr="00A12BF4" w:rsidRDefault="00B83E45" w:rsidP="003E1C67">
      <w:pPr>
        <w:rPr>
          <w:rFonts w:eastAsia="Times New Roman"/>
          <w:szCs w:val="24"/>
          <w:lang w:eastAsia="es-CO"/>
        </w:rPr>
      </w:pPr>
      <w:r w:rsidRPr="00A12BF4">
        <w:rPr>
          <w:rFonts w:eastAsia="Times New Roman"/>
          <w:szCs w:val="24"/>
          <w:lang w:eastAsia="es-CO"/>
        </w:rPr>
        <w:t> </w:t>
      </w:r>
    </w:p>
    <w:p w14:paraId="578FF6F2" w14:textId="77777777" w:rsidR="00B83E45" w:rsidRPr="003E1C67" w:rsidRDefault="00B83E45" w:rsidP="003E1C67">
      <w:pPr>
        <w:rPr>
          <w:rFonts w:eastAsia="Times New Roman"/>
          <w:sz w:val="36"/>
          <w:szCs w:val="36"/>
          <w:lang w:eastAsia="es-CO"/>
        </w:rPr>
      </w:pPr>
      <w:r w:rsidRPr="003E1C67">
        <w:rPr>
          <w:rFonts w:eastAsia="Times New Roman"/>
          <w:sz w:val="36"/>
          <w:szCs w:val="36"/>
          <w:highlight w:val="yellow"/>
          <w:lang w:eastAsia="es-CO"/>
        </w:rPr>
        <w:t>En mérito de lo expuesto se revocan los conceptos que sean contrarios a la presente doctrina.</w:t>
      </w:r>
    </w:p>
    <w:p w14:paraId="49018CC3" w14:textId="77777777" w:rsidR="00B83E45" w:rsidRPr="003E1C67" w:rsidRDefault="00B83E45" w:rsidP="003E1C67">
      <w:pPr>
        <w:rPr>
          <w:rFonts w:eastAsia="Times New Roman"/>
          <w:sz w:val="36"/>
          <w:szCs w:val="36"/>
          <w:lang w:eastAsia="es-CO"/>
        </w:rPr>
      </w:pPr>
      <w:r w:rsidRPr="003E1C67">
        <w:rPr>
          <w:rFonts w:eastAsia="Times New Roman"/>
          <w:sz w:val="36"/>
          <w:szCs w:val="36"/>
          <w:lang w:eastAsia="es-CO"/>
        </w:rPr>
        <w:t> </w:t>
      </w:r>
    </w:p>
    <w:p w14:paraId="5B81EF6D" w14:textId="77777777" w:rsidR="00B83E45" w:rsidRPr="00A12BF4" w:rsidRDefault="00B83E45" w:rsidP="003E1C67">
      <w:pPr>
        <w:rPr>
          <w:rFonts w:eastAsia="Times New Roman"/>
          <w:szCs w:val="24"/>
          <w:lang w:eastAsia="es-CO"/>
        </w:rPr>
      </w:pPr>
      <w:r w:rsidRPr="00A12BF4">
        <w:rPr>
          <w:rFonts w:eastAsia="Times New Roman"/>
          <w:szCs w:val="24"/>
          <w:lang w:eastAsia="es-CO"/>
        </w:rPr>
        <w:t>Atentamente,</w:t>
      </w:r>
    </w:p>
    <w:p w14:paraId="22CB1997" w14:textId="77777777" w:rsidR="00B83E45" w:rsidRPr="00A12BF4" w:rsidRDefault="00B83E45" w:rsidP="003E1C67">
      <w:pPr>
        <w:rPr>
          <w:rFonts w:eastAsia="Times New Roman"/>
          <w:szCs w:val="24"/>
          <w:lang w:eastAsia="es-CO"/>
        </w:rPr>
      </w:pPr>
      <w:r w:rsidRPr="00A12BF4">
        <w:rPr>
          <w:rFonts w:eastAsia="Times New Roman"/>
          <w:b/>
          <w:bCs/>
          <w:szCs w:val="24"/>
          <w:lang w:eastAsia="es-CO"/>
        </w:rPr>
        <w:t>DALILA ASTRID HERNÁNDEZ CORZO</w:t>
      </w:r>
    </w:p>
    <w:p w14:paraId="64A18C65" w14:textId="77777777" w:rsidR="00B83E45" w:rsidRDefault="00B83E45" w:rsidP="003E1C67">
      <w:pPr>
        <w:rPr>
          <w:rFonts w:eastAsia="Times New Roman"/>
          <w:szCs w:val="24"/>
          <w:lang w:eastAsia="es-CO"/>
        </w:rPr>
      </w:pPr>
      <w:r w:rsidRPr="00A12BF4">
        <w:rPr>
          <w:rFonts w:eastAsia="Times New Roman"/>
          <w:szCs w:val="24"/>
          <w:lang w:eastAsia="es-CO"/>
        </w:rPr>
        <w:t>Directora de Gestión Jurídica</w:t>
      </w:r>
    </w:p>
    <w:p w14:paraId="2493F707" w14:textId="77777777" w:rsidR="007C2957" w:rsidRPr="00A12BF4" w:rsidRDefault="007C2957" w:rsidP="003E1C67">
      <w:pPr>
        <w:rPr>
          <w:rFonts w:eastAsia="Times New Roman"/>
          <w:szCs w:val="24"/>
          <w:lang w:eastAsia="es-CO"/>
        </w:rPr>
      </w:pPr>
      <w:r>
        <w:rPr>
          <w:rFonts w:eastAsia="Times New Roman"/>
          <w:szCs w:val="24"/>
          <w:lang w:eastAsia="es-CO"/>
        </w:rPr>
        <w:t>_________________________________________________________________________</w:t>
      </w:r>
    </w:p>
    <w:sectPr w:rsidR="007C2957" w:rsidRPr="00A12BF4"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45"/>
    <w:rsid w:val="00133970"/>
    <w:rsid w:val="003E1C67"/>
    <w:rsid w:val="004947D1"/>
    <w:rsid w:val="007C2957"/>
    <w:rsid w:val="00A067C7"/>
    <w:rsid w:val="00A12BF4"/>
    <w:rsid w:val="00B51D80"/>
    <w:rsid w:val="00B83E45"/>
    <w:rsid w:val="00C227C1"/>
    <w:rsid w:val="00D71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5128"/>
  <w15:docId w15:val="{3E94F758-FFED-4FA8-850B-20C7372F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ta.org.co/html/vista_de_un_articulo.asp?Norma=1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156" TargetMode="External"/><Relationship Id="rId5" Type="http://schemas.openxmlformats.org/officeDocument/2006/relationships/hyperlink" Target="http://www.ceta.org.co/html/vista_de_un_articulo.asp?Norma=156" TargetMode="External"/><Relationship Id="rId4" Type="http://schemas.openxmlformats.org/officeDocument/2006/relationships/hyperlink" Target="mailto:guilletre01@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Guillermo Alzate Duque</cp:lastModifiedBy>
  <cp:revision>3</cp:revision>
  <dcterms:created xsi:type="dcterms:W3CDTF">2019-04-30T17:55:00Z</dcterms:created>
  <dcterms:modified xsi:type="dcterms:W3CDTF">2021-06-01T00:52:00Z</dcterms:modified>
</cp:coreProperties>
</file>