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3B179" w14:textId="77777777" w:rsidR="007707DB" w:rsidRPr="004A3E58" w:rsidRDefault="007707DB" w:rsidP="004A3E58">
      <w:pPr>
        <w:jc w:val="center"/>
        <w:rPr>
          <w:rFonts w:eastAsia="Times New Roman" w:cs="Times New Roman"/>
          <w:color w:val="auto"/>
          <w:sz w:val="32"/>
          <w:szCs w:val="32"/>
          <w:highlight w:val="green"/>
          <w:lang w:val="es-CO"/>
        </w:rPr>
      </w:pPr>
      <w:r w:rsidRPr="004A3E58">
        <w:rPr>
          <w:rFonts w:eastAsia="Times New Roman" w:cs="Times New Roman"/>
          <w:b/>
          <w:bCs/>
          <w:color w:val="auto"/>
          <w:sz w:val="32"/>
          <w:szCs w:val="32"/>
          <w:highlight w:val="green"/>
          <w:lang w:val="es-CO"/>
        </w:rPr>
        <w:t>CONCEPTO GENERAL Nº 008537</w:t>
      </w:r>
    </w:p>
    <w:p w14:paraId="45AC5682" w14:textId="77777777" w:rsidR="007707DB" w:rsidRPr="004A3E58" w:rsidRDefault="007707DB" w:rsidP="004A3E58">
      <w:pPr>
        <w:jc w:val="center"/>
        <w:rPr>
          <w:rFonts w:eastAsia="Times New Roman" w:cs="Times New Roman"/>
          <w:color w:val="auto"/>
          <w:sz w:val="32"/>
          <w:szCs w:val="32"/>
          <w:highlight w:val="green"/>
          <w:lang w:val="es-CO"/>
        </w:rPr>
      </w:pPr>
      <w:r w:rsidRPr="004A3E58">
        <w:rPr>
          <w:rFonts w:eastAsia="Times New Roman" w:cs="Times New Roman"/>
          <w:b/>
          <w:bCs/>
          <w:color w:val="auto"/>
          <w:sz w:val="32"/>
          <w:szCs w:val="32"/>
          <w:highlight w:val="green"/>
          <w:lang w:val="es-CO"/>
        </w:rPr>
        <w:t>09-04-2018</w:t>
      </w:r>
    </w:p>
    <w:p w14:paraId="7F7F941C" w14:textId="77777777" w:rsidR="007707DB" w:rsidRPr="004A3E58" w:rsidRDefault="007707DB" w:rsidP="004A3E58">
      <w:pPr>
        <w:jc w:val="center"/>
        <w:rPr>
          <w:rFonts w:eastAsia="Times New Roman" w:cs="Times New Roman"/>
          <w:color w:val="auto"/>
          <w:sz w:val="32"/>
          <w:szCs w:val="32"/>
          <w:highlight w:val="green"/>
          <w:lang w:val="es-CO"/>
        </w:rPr>
      </w:pPr>
      <w:r w:rsidRPr="004A3E58">
        <w:rPr>
          <w:rFonts w:eastAsia="Times New Roman" w:cs="Times New Roman"/>
          <w:b/>
          <w:bCs/>
          <w:color w:val="auto"/>
          <w:sz w:val="32"/>
          <w:szCs w:val="32"/>
          <w:highlight w:val="green"/>
          <w:lang w:val="es-CO"/>
        </w:rPr>
        <w:t>DIAN</w:t>
      </w:r>
    </w:p>
    <w:p w14:paraId="5C620309" w14:textId="77777777" w:rsidR="007707DB" w:rsidRPr="004A3E58" w:rsidRDefault="007707DB" w:rsidP="004A3E58">
      <w:pPr>
        <w:rPr>
          <w:rFonts w:eastAsia="Times New Roman" w:cs="Times New Roman"/>
          <w:color w:val="auto"/>
          <w:sz w:val="32"/>
          <w:szCs w:val="32"/>
          <w:highlight w:val="green"/>
          <w:lang w:val="es-CO"/>
        </w:rPr>
      </w:pPr>
      <w:r w:rsidRPr="004A3E58">
        <w:rPr>
          <w:rFonts w:eastAsia="Times New Roman" w:cs="Times New Roman"/>
          <w:b/>
          <w:bCs/>
          <w:color w:val="auto"/>
          <w:sz w:val="32"/>
          <w:szCs w:val="32"/>
          <w:highlight w:val="green"/>
          <w:lang w:val="es-CO"/>
        </w:rPr>
        <w:t> </w:t>
      </w:r>
    </w:p>
    <w:p w14:paraId="371B5CB1" w14:textId="77777777" w:rsidR="007707DB" w:rsidRPr="004A3E58" w:rsidRDefault="007707DB" w:rsidP="004A3E58">
      <w:pPr>
        <w:rPr>
          <w:rFonts w:eastAsia="Times New Roman" w:cs="Times New Roman"/>
          <w:color w:val="auto"/>
          <w:sz w:val="32"/>
          <w:szCs w:val="32"/>
          <w:highlight w:val="green"/>
          <w:lang w:val="es-CO"/>
        </w:rPr>
      </w:pPr>
      <w:r w:rsidRPr="004A3E58">
        <w:rPr>
          <w:rFonts w:eastAsia="Times New Roman" w:cs="Times New Roman"/>
          <w:b/>
          <w:bCs/>
          <w:color w:val="auto"/>
          <w:sz w:val="32"/>
          <w:szCs w:val="32"/>
          <w:highlight w:val="green"/>
          <w:lang w:val="es-CO"/>
        </w:rPr>
        <w:t> </w:t>
      </w:r>
    </w:p>
    <w:p w14:paraId="2FBFC5C6" w14:textId="77777777" w:rsidR="007707DB" w:rsidRPr="004A3E58" w:rsidRDefault="007707DB" w:rsidP="004A3E58">
      <w:pPr>
        <w:rPr>
          <w:rFonts w:eastAsia="Times New Roman" w:cs="Times New Roman"/>
          <w:color w:val="auto"/>
          <w:sz w:val="32"/>
          <w:szCs w:val="32"/>
          <w:highlight w:val="green"/>
          <w:lang w:val="es-CO"/>
        </w:rPr>
      </w:pPr>
      <w:r w:rsidRPr="004A3E58">
        <w:rPr>
          <w:rFonts w:eastAsia="Times New Roman" w:cs="Times New Roman"/>
          <w:color w:val="auto"/>
          <w:sz w:val="32"/>
          <w:szCs w:val="32"/>
          <w:highlight w:val="green"/>
          <w:lang w:val="es-CO"/>
        </w:rPr>
        <w:t>Bogotá D.C.</w:t>
      </w:r>
    </w:p>
    <w:p w14:paraId="6B12FDBE" w14:textId="77777777" w:rsidR="007707DB" w:rsidRPr="004A3E58" w:rsidRDefault="007707DB" w:rsidP="004A3E58">
      <w:pPr>
        <w:rPr>
          <w:rFonts w:eastAsia="Times New Roman" w:cs="Times New Roman"/>
          <w:color w:val="auto"/>
          <w:sz w:val="32"/>
          <w:szCs w:val="32"/>
          <w:highlight w:val="green"/>
          <w:lang w:val="es-CO"/>
        </w:rPr>
      </w:pPr>
      <w:r w:rsidRPr="004A3E58">
        <w:rPr>
          <w:rFonts w:eastAsia="Times New Roman" w:cs="Times New Roman"/>
          <w:color w:val="auto"/>
          <w:sz w:val="32"/>
          <w:szCs w:val="32"/>
          <w:highlight w:val="green"/>
          <w:lang w:val="es-CO"/>
        </w:rPr>
        <w:t>100202208- 0376</w:t>
      </w:r>
    </w:p>
    <w:p w14:paraId="529D406F" w14:textId="77777777" w:rsidR="007707DB" w:rsidRPr="004A3E58" w:rsidRDefault="007707DB" w:rsidP="004A3E58">
      <w:pPr>
        <w:rPr>
          <w:rFonts w:eastAsia="Times New Roman" w:cs="Times New Roman"/>
          <w:color w:val="auto"/>
          <w:sz w:val="32"/>
          <w:szCs w:val="32"/>
          <w:highlight w:val="green"/>
          <w:lang w:val="es-CO"/>
        </w:rPr>
      </w:pPr>
      <w:r w:rsidRPr="004A3E58">
        <w:rPr>
          <w:rFonts w:eastAsia="Times New Roman" w:cs="Times New Roman"/>
          <w:color w:val="auto"/>
          <w:sz w:val="32"/>
          <w:szCs w:val="32"/>
          <w:highlight w:val="green"/>
          <w:lang w:val="es-CO"/>
        </w:rPr>
        <w:t> </w:t>
      </w:r>
    </w:p>
    <w:p w14:paraId="75BDB711" w14:textId="77777777" w:rsidR="007707DB" w:rsidRPr="004A3E58" w:rsidRDefault="007707DB" w:rsidP="004A3E58">
      <w:pPr>
        <w:rPr>
          <w:rFonts w:eastAsia="Times New Roman" w:cs="Times New Roman"/>
          <w:color w:val="auto"/>
          <w:sz w:val="32"/>
          <w:szCs w:val="32"/>
          <w:highlight w:val="green"/>
          <w:lang w:val="es-CO"/>
        </w:rPr>
      </w:pPr>
      <w:r w:rsidRPr="004A3E58">
        <w:rPr>
          <w:rFonts w:eastAsia="Times New Roman" w:cs="Times New Roman"/>
          <w:color w:val="auto"/>
          <w:sz w:val="32"/>
          <w:szCs w:val="32"/>
          <w:highlight w:val="green"/>
          <w:lang w:val="es-CO"/>
        </w:rPr>
        <w:t>Señores</w:t>
      </w:r>
    </w:p>
    <w:p w14:paraId="0A24F1BA" w14:textId="77777777" w:rsidR="007707DB" w:rsidRPr="004A3E58" w:rsidRDefault="007707DB" w:rsidP="004A3E58">
      <w:pPr>
        <w:rPr>
          <w:rFonts w:eastAsia="Times New Roman" w:cs="Times New Roman"/>
          <w:color w:val="auto"/>
          <w:sz w:val="32"/>
          <w:szCs w:val="32"/>
          <w:highlight w:val="green"/>
          <w:lang w:val="es-CO"/>
        </w:rPr>
      </w:pPr>
      <w:r w:rsidRPr="004A3E58">
        <w:rPr>
          <w:rFonts w:eastAsia="Times New Roman" w:cs="Times New Roman"/>
          <w:b/>
          <w:bCs/>
          <w:color w:val="auto"/>
          <w:sz w:val="32"/>
          <w:szCs w:val="32"/>
          <w:highlight w:val="green"/>
          <w:lang w:val="es-CO"/>
        </w:rPr>
        <w:t>CONTRIBUYENTES</w:t>
      </w:r>
    </w:p>
    <w:p w14:paraId="465A2B6F" w14:textId="77777777" w:rsidR="007707DB" w:rsidRPr="004A3E58" w:rsidRDefault="007707DB" w:rsidP="004A3E58">
      <w:pPr>
        <w:rPr>
          <w:rFonts w:eastAsia="Times New Roman" w:cs="Times New Roman"/>
          <w:color w:val="auto"/>
          <w:sz w:val="32"/>
          <w:szCs w:val="32"/>
          <w:highlight w:val="green"/>
          <w:lang w:val="es-CO"/>
        </w:rPr>
      </w:pPr>
      <w:r w:rsidRPr="004A3E58">
        <w:rPr>
          <w:rFonts w:eastAsia="Times New Roman" w:cs="Times New Roman"/>
          <w:color w:val="auto"/>
          <w:sz w:val="32"/>
          <w:szCs w:val="32"/>
          <w:highlight w:val="green"/>
          <w:lang w:val="es-CO"/>
        </w:rPr>
        <w:t>Ciudad</w:t>
      </w:r>
    </w:p>
    <w:p w14:paraId="0C412A61" w14:textId="77777777" w:rsidR="007707DB" w:rsidRPr="004A3E58" w:rsidRDefault="007707DB" w:rsidP="004A3E58">
      <w:pPr>
        <w:rPr>
          <w:rFonts w:eastAsia="Times New Roman" w:cs="Times New Roman"/>
          <w:color w:val="auto"/>
          <w:sz w:val="32"/>
          <w:szCs w:val="32"/>
          <w:highlight w:val="green"/>
          <w:lang w:val="es-CO"/>
        </w:rPr>
      </w:pPr>
      <w:r w:rsidRPr="004A3E58">
        <w:rPr>
          <w:rFonts w:eastAsia="Times New Roman" w:cs="Times New Roman"/>
          <w:color w:val="auto"/>
          <w:sz w:val="32"/>
          <w:szCs w:val="32"/>
          <w:highlight w:val="green"/>
          <w:lang w:val="es-CO"/>
        </w:rPr>
        <w:t> </w:t>
      </w:r>
    </w:p>
    <w:p w14:paraId="3B0371AD" w14:textId="77777777" w:rsidR="007707DB" w:rsidRPr="004A3E58" w:rsidRDefault="007707DB" w:rsidP="004A3E58">
      <w:pPr>
        <w:rPr>
          <w:rFonts w:eastAsia="Times New Roman" w:cs="Times New Roman"/>
          <w:color w:val="auto"/>
          <w:sz w:val="32"/>
          <w:szCs w:val="32"/>
          <w:lang w:val="es-CO"/>
        </w:rPr>
      </w:pPr>
      <w:r w:rsidRPr="004A3E58">
        <w:rPr>
          <w:rFonts w:eastAsia="Times New Roman" w:cs="Times New Roman"/>
          <w:b/>
          <w:bCs/>
          <w:color w:val="auto"/>
          <w:sz w:val="32"/>
          <w:szCs w:val="32"/>
          <w:highlight w:val="green"/>
          <w:lang w:val="es-CO"/>
        </w:rPr>
        <w:t>Ref.:</w:t>
      </w:r>
      <w:r w:rsidRPr="004A3E58">
        <w:rPr>
          <w:rFonts w:eastAsia="Times New Roman" w:cs="Times New Roman"/>
          <w:color w:val="auto"/>
          <w:sz w:val="32"/>
          <w:szCs w:val="32"/>
          <w:highlight w:val="green"/>
          <w:lang w:val="es-CO"/>
        </w:rPr>
        <w:t> Concepto General sobre el tratamiento tributario – Contratos de cuentas en participación.</w:t>
      </w:r>
    </w:p>
    <w:p w14:paraId="0E2CDAA9"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69CD2C94"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7F3429E4"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De conformidad con el artículo 19 del Decreto 4048 de 2008, en ejercicio de funciones relacionadas con la interpretación y aplicación de las normas tributarias de competencia de la DIAN y en aras de precisar aspectos concernientes a los contratos de cuentas en participación, se emite el presente concepto.</w:t>
      </w:r>
    </w:p>
    <w:p w14:paraId="0F3800E6"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72872EC6"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El concepto se desarrollará en el siguiente orden: (I) Consideraciones preliminares, (II) El contrato de cuentas en participación con la entrada en vigencia de la Ley 1819 de 2016, y (III) Alcance de la modificación introducida por la Ley 1819 de 2016.</w:t>
      </w:r>
    </w:p>
    <w:p w14:paraId="471A5D1D"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5972ECB0"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b/>
          <w:bCs/>
          <w:color w:val="auto"/>
          <w:szCs w:val="24"/>
          <w:lang w:val="es-CO"/>
        </w:rPr>
        <w:t>I. </w:t>
      </w:r>
      <w:r w:rsidRPr="007707DB">
        <w:rPr>
          <w:rFonts w:eastAsia="Times New Roman" w:cs="Times New Roman"/>
          <w:b/>
          <w:bCs/>
          <w:color w:val="auto"/>
          <w:szCs w:val="24"/>
          <w:u w:val="single"/>
          <w:lang w:val="es-CO"/>
        </w:rPr>
        <w:t>Consideraciones preliminares</w:t>
      </w:r>
      <w:r w:rsidRPr="007707DB">
        <w:rPr>
          <w:rFonts w:eastAsia="Times New Roman" w:cs="Times New Roman"/>
          <w:b/>
          <w:bCs/>
          <w:color w:val="auto"/>
          <w:szCs w:val="24"/>
          <w:lang w:val="es-CO"/>
        </w:rPr>
        <w:t>.</w:t>
      </w:r>
    </w:p>
    <w:p w14:paraId="28EEFCE5"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7368B8AD" w14:textId="77777777" w:rsidR="007707DB" w:rsidRPr="007707DB" w:rsidRDefault="007707DB" w:rsidP="004A3E58">
      <w:pPr>
        <w:rPr>
          <w:rFonts w:eastAsia="Times New Roman" w:cs="Times New Roman"/>
          <w:color w:val="auto"/>
          <w:szCs w:val="24"/>
          <w:lang w:val="es-CO"/>
        </w:rPr>
      </w:pPr>
      <w:r w:rsidRPr="004A3E58">
        <w:rPr>
          <w:rFonts w:eastAsia="Times New Roman" w:cs="Times New Roman"/>
          <w:color w:val="auto"/>
          <w:szCs w:val="24"/>
          <w:highlight w:val="green"/>
          <w:lang w:val="es-CO"/>
        </w:rPr>
        <w:t>El contrato de cuentas en participación se encuentra regulado en los artículos 507 a 514 del Código de Comercio, en los cuales se establece que:</w:t>
      </w:r>
    </w:p>
    <w:p w14:paraId="1381BCBC"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733243BF" w14:textId="77777777" w:rsidR="007707DB" w:rsidRPr="001F1606" w:rsidRDefault="007707DB" w:rsidP="004A3E58">
      <w:pPr>
        <w:pStyle w:val="Prrafodelista"/>
        <w:numPr>
          <w:ilvl w:val="0"/>
          <w:numId w:val="1"/>
        </w:numPr>
        <w:rPr>
          <w:rFonts w:eastAsia="Times New Roman" w:cs="Times New Roman"/>
          <w:color w:val="auto"/>
          <w:szCs w:val="24"/>
          <w:lang w:val="es-CO"/>
        </w:rPr>
      </w:pPr>
      <w:r w:rsidRPr="001F1606">
        <w:rPr>
          <w:rFonts w:eastAsia="Times New Roman" w:cs="Times New Roman"/>
          <w:color w:val="auto"/>
          <w:szCs w:val="24"/>
          <w:lang w:val="es-CO"/>
        </w:rPr>
        <w:t>Los partícipes –tanto el gestor como el oculto- toman interés en una o varias operaciones mercantiles.</w:t>
      </w:r>
    </w:p>
    <w:p w14:paraId="6A5DF337" w14:textId="77777777" w:rsidR="007707DB" w:rsidRPr="007707DB" w:rsidRDefault="007707DB" w:rsidP="004A3E58">
      <w:pPr>
        <w:ind w:left="450" w:hanging="270"/>
        <w:rPr>
          <w:rFonts w:eastAsia="Times New Roman" w:cs="Times New Roman"/>
          <w:color w:val="auto"/>
          <w:szCs w:val="24"/>
          <w:lang w:val="es-CO"/>
        </w:rPr>
      </w:pPr>
    </w:p>
    <w:p w14:paraId="31487680" w14:textId="77777777" w:rsidR="007707DB" w:rsidRPr="001F1606" w:rsidRDefault="007707DB" w:rsidP="004A3E58">
      <w:pPr>
        <w:pStyle w:val="Prrafodelista"/>
        <w:numPr>
          <w:ilvl w:val="0"/>
          <w:numId w:val="1"/>
        </w:numPr>
        <w:rPr>
          <w:rFonts w:eastAsia="Times New Roman" w:cs="Times New Roman"/>
          <w:color w:val="auto"/>
          <w:szCs w:val="24"/>
          <w:lang w:val="es-CO"/>
        </w:rPr>
      </w:pPr>
      <w:r w:rsidRPr="001F1606">
        <w:rPr>
          <w:rFonts w:eastAsia="Times New Roman" w:cs="Times New Roman"/>
          <w:color w:val="auto"/>
          <w:szCs w:val="24"/>
          <w:lang w:val="es-CO"/>
        </w:rPr>
        <w:lastRenderedPageBreak/>
        <w:t>El partícipe gestor deberá ejecutar la operación mercantil en su solo nombre y bajo su crédito personal, con cargo de rendir cuenta y dividir con sus partícipes las ganancias o pérdidas en la proporción convenida.</w:t>
      </w:r>
    </w:p>
    <w:p w14:paraId="43F6C718" w14:textId="77777777" w:rsidR="007707DB" w:rsidRPr="007707DB" w:rsidRDefault="007707DB" w:rsidP="004A3E58">
      <w:pPr>
        <w:ind w:left="450" w:hanging="270"/>
        <w:rPr>
          <w:rFonts w:eastAsia="Times New Roman" w:cs="Times New Roman"/>
          <w:color w:val="auto"/>
          <w:szCs w:val="24"/>
          <w:lang w:val="es-CO"/>
        </w:rPr>
      </w:pPr>
    </w:p>
    <w:p w14:paraId="6D40BF34" w14:textId="77777777" w:rsidR="007707DB" w:rsidRPr="001F1606" w:rsidRDefault="007707DB" w:rsidP="004A3E58">
      <w:pPr>
        <w:pStyle w:val="Prrafodelista"/>
        <w:numPr>
          <w:ilvl w:val="0"/>
          <w:numId w:val="1"/>
        </w:numPr>
        <w:rPr>
          <w:rFonts w:eastAsia="Times New Roman" w:cs="Times New Roman"/>
          <w:color w:val="auto"/>
          <w:szCs w:val="24"/>
          <w:lang w:val="es-CO"/>
        </w:rPr>
      </w:pPr>
      <w:r w:rsidRPr="001F1606">
        <w:rPr>
          <w:rFonts w:eastAsia="Times New Roman" w:cs="Times New Roman"/>
          <w:color w:val="auto"/>
          <w:szCs w:val="24"/>
          <w:lang w:val="es-CO"/>
        </w:rPr>
        <w:t>Existe libertad contractual en cuanto a la fijación de las condiciones del contrato y en cuanto a las solemnidades relativas a su formación.</w:t>
      </w:r>
    </w:p>
    <w:p w14:paraId="67F425C6" w14:textId="77777777" w:rsidR="007707DB" w:rsidRPr="007707DB" w:rsidRDefault="007707DB" w:rsidP="004A3E58">
      <w:pPr>
        <w:ind w:left="450" w:hanging="270"/>
        <w:rPr>
          <w:rFonts w:eastAsia="Times New Roman" w:cs="Times New Roman"/>
          <w:color w:val="auto"/>
          <w:szCs w:val="24"/>
          <w:lang w:val="es-CO"/>
        </w:rPr>
      </w:pPr>
    </w:p>
    <w:p w14:paraId="1C5A0EC0" w14:textId="77777777" w:rsidR="007707DB" w:rsidRPr="001F1606" w:rsidRDefault="007707DB" w:rsidP="004A3E58">
      <w:pPr>
        <w:pStyle w:val="Prrafodelista"/>
        <w:numPr>
          <w:ilvl w:val="0"/>
          <w:numId w:val="1"/>
        </w:numPr>
        <w:rPr>
          <w:rFonts w:eastAsia="Times New Roman" w:cs="Times New Roman"/>
          <w:color w:val="auto"/>
          <w:szCs w:val="24"/>
          <w:lang w:val="es-CO"/>
        </w:rPr>
      </w:pPr>
      <w:r w:rsidRPr="001F1606">
        <w:rPr>
          <w:rFonts w:eastAsia="Times New Roman" w:cs="Times New Roman"/>
          <w:color w:val="auto"/>
          <w:szCs w:val="24"/>
          <w:lang w:val="es-CO"/>
        </w:rPr>
        <w:t>El contrato de cuentas en participación no constituirá una persona jurídica.</w:t>
      </w:r>
    </w:p>
    <w:p w14:paraId="45F48BDB" w14:textId="77777777" w:rsidR="007707DB" w:rsidRPr="007707DB" w:rsidRDefault="007707DB" w:rsidP="004A3E58">
      <w:pPr>
        <w:ind w:left="450" w:hanging="270"/>
        <w:rPr>
          <w:rFonts w:eastAsia="Times New Roman" w:cs="Times New Roman"/>
          <w:color w:val="auto"/>
          <w:szCs w:val="24"/>
          <w:lang w:val="es-CO"/>
        </w:rPr>
      </w:pPr>
    </w:p>
    <w:p w14:paraId="51A61B90" w14:textId="77777777" w:rsidR="007707DB" w:rsidRPr="001F1606" w:rsidRDefault="007707DB" w:rsidP="004A3E58">
      <w:pPr>
        <w:pStyle w:val="Prrafodelista"/>
        <w:numPr>
          <w:ilvl w:val="0"/>
          <w:numId w:val="1"/>
        </w:numPr>
        <w:rPr>
          <w:rFonts w:eastAsia="Times New Roman" w:cs="Times New Roman"/>
          <w:color w:val="auto"/>
          <w:szCs w:val="24"/>
          <w:lang w:val="es-CO"/>
        </w:rPr>
      </w:pPr>
      <w:r w:rsidRPr="001F1606">
        <w:rPr>
          <w:rFonts w:eastAsia="Times New Roman" w:cs="Times New Roman"/>
          <w:color w:val="auto"/>
          <w:szCs w:val="24"/>
          <w:lang w:val="es-CO"/>
        </w:rPr>
        <w:t>El gestor será reputado único dueño del negocio en las relaciones externas de la participación.</w:t>
      </w:r>
    </w:p>
    <w:p w14:paraId="6C7C3655" w14:textId="77777777" w:rsidR="007707DB" w:rsidRPr="007707DB" w:rsidRDefault="007707DB" w:rsidP="004A3E58">
      <w:pPr>
        <w:ind w:left="450" w:hanging="270"/>
        <w:rPr>
          <w:rFonts w:eastAsia="Times New Roman" w:cs="Times New Roman"/>
          <w:color w:val="auto"/>
          <w:szCs w:val="24"/>
          <w:lang w:val="es-CO"/>
        </w:rPr>
      </w:pPr>
    </w:p>
    <w:p w14:paraId="743D3E9B" w14:textId="77777777" w:rsidR="007707DB" w:rsidRPr="001F1606" w:rsidRDefault="007707DB" w:rsidP="004A3E58">
      <w:pPr>
        <w:pStyle w:val="Prrafodelista"/>
        <w:numPr>
          <w:ilvl w:val="0"/>
          <w:numId w:val="1"/>
        </w:numPr>
        <w:rPr>
          <w:rFonts w:eastAsia="Times New Roman" w:cs="Times New Roman"/>
          <w:color w:val="auto"/>
          <w:szCs w:val="24"/>
          <w:lang w:val="es-CO"/>
        </w:rPr>
      </w:pPr>
      <w:r w:rsidRPr="001F1606">
        <w:rPr>
          <w:rFonts w:eastAsia="Times New Roman" w:cs="Times New Roman"/>
          <w:color w:val="auto"/>
          <w:szCs w:val="24"/>
          <w:lang w:val="es-CO"/>
        </w:rPr>
        <w:t>La responsabilidad del partícipe oculto se limitará al valor de su aportación; salvo que revele o autorice que se revele su calidad, caso en el cual responderá de forma solidaria.</w:t>
      </w:r>
    </w:p>
    <w:p w14:paraId="6C97B784" w14:textId="77777777" w:rsidR="007707DB" w:rsidRPr="001F1606" w:rsidRDefault="007707DB" w:rsidP="004A3E58">
      <w:pPr>
        <w:pStyle w:val="Prrafodelista"/>
        <w:numPr>
          <w:ilvl w:val="0"/>
          <w:numId w:val="1"/>
        </w:numPr>
        <w:rPr>
          <w:rFonts w:eastAsia="Times New Roman" w:cs="Times New Roman"/>
          <w:color w:val="auto"/>
          <w:szCs w:val="24"/>
          <w:lang w:val="es-CO"/>
        </w:rPr>
      </w:pPr>
      <w:r w:rsidRPr="001F1606">
        <w:rPr>
          <w:rFonts w:eastAsia="Times New Roman" w:cs="Times New Roman"/>
          <w:color w:val="auto"/>
          <w:szCs w:val="24"/>
          <w:lang w:val="es-CO"/>
        </w:rPr>
        <w:t>El partícipe oculto tendrá derecho a revisar todos los documentos de la participación y a que el gestor le rinda cuentas de su gestión.</w:t>
      </w:r>
    </w:p>
    <w:p w14:paraId="136842DC" w14:textId="77777777" w:rsidR="007707DB" w:rsidRPr="007707DB" w:rsidRDefault="007707DB" w:rsidP="004A3E58">
      <w:pPr>
        <w:ind w:left="450" w:hanging="270"/>
        <w:rPr>
          <w:rFonts w:eastAsia="Times New Roman" w:cs="Times New Roman"/>
          <w:color w:val="auto"/>
          <w:szCs w:val="24"/>
          <w:lang w:val="es-CO"/>
        </w:rPr>
      </w:pPr>
    </w:p>
    <w:p w14:paraId="21D9A7CC" w14:textId="77777777" w:rsidR="007707DB" w:rsidRPr="001F1606" w:rsidRDefault="007707DB" w:rsidP="004A3E58">
      <w:pPr>
        <w:pStyle w:val="Prrafodelista"/>
        <w:numPr>
          <w:ilvl w:val="0"/>
          <w:numId w:val="1"/>
        </w:numPr>
        <w:rPr>
          <w:rFonts w:eastAsia="Times New Roman" w:cs="Times New Roman"/>
          <w:color w:val="auto"/>
          <w:szCs w:val="24"/>
          <w:lang w:val="es-CO"/>
        </w:rPr>
      </w:pPr>
      <w:r w:rsidRPr="001F1606">
        <w:rPr>
          <w:rFonts w:eastAsia="Times New Roman" w:cs="Times New Roman"/>
          <w:color w:val="auto"/>
          <w:szCs w:val="24"/>
          <w:lang w:val="es-CO"/>
        </w:rPr>
        <w:t>En lo no previsto, la relación entre los partícipes se rige por las normas aplicables a la sociedad en comandita simple.</w:t>
      </w:r>
    </w:p>
    <w:p w14:paraId="36070797"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46BAF476" w14:textId="77777777" w:rsidR="007707DB" w:rsidRPr="007707DB" w:rsidRDefault="007707DB" w:rsidP="004A3E58">
      <w:pPr>
        <w:rPr>
          <w:rFonts w:eastAsia="Times New Roman" w:cs="Times New Roman"/>
          <w:color w:val="auto"/>
          <w:szCs w:val="24"/>
          <w:lang w:val="es-CO"/>
        </w:rPr>
      </w:pPr>
      <w:r w:rsidRPr="004A3E58">
        <w:rPr>
          <w:rFonts w:eastAsia="Times New Roman" w:cs="Times New Roman"/>
          <w:b/>
          <w:bCs/>
          <w:color w:val="auto"/>
          <w:szCs w:val="24"/>
          <w:highlight w:val="green"/>
          <w:lang w:val="es-CO"/>
        </w:rPr>
        <w:t>II. </w:t>
      </w:r>
      <w:r w:rsidRPr="004A3E58">
        <w:rPr>
          <w:rFonts w:eastAsia="Times New Roman" w:cs="Times New Roman"/>
          <w:b/>
          <w:bCs/>
          <w:color w:val="auto"/>
          <w:szCs w:val="24"/>
          <w:highlight w:val="green"/>
          <w:u w:val="single"/>
          <w:lang w:val="es-CO"/>
        </w:rPr>
        <w:t>El contrato de cuentas en participación con la entrada en vigencia de la Ley 1819 de 2016</w:t>
      </w:r>
      <w:r w:rsidRPr="004A3E58">
        <w:rPr>
          <w:rFonts w:eastAsia="Times New Roman" w:cs="Times New Roman"/>
          <w:b/>
          <w:bCs/>
          <w:color w:val="auto"/>
          <w:szCs w:val="24"/>
          <w:highlight w:val="green"/>
          <w:lang w:val="es-CO"/>
        </w:rPr>
        <w:t>.</w:t>
      </w:r>
    </w:p>
    <w:p w14:paraId="0D412D16"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186B4CC8"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Antes de la Ley 1819 el contrato de cuentas en participación no tenía regulación expresa en el Estatuto Tributario (ET). Sin embargo, con la reciente Reforma Tributaria se modificó el </w:t>
      </w:r>
      <w:hyperlink r:id="rId5" w:tooltip="Estatuto Tributario CETA" w:history="1">
        <w:r w:rsidRPr="007707DB">
          <w:rPr>
            <w:rFonts w:eastAsia="Times New Roman" w:cs="Times New Roman"/>
            <w:color w:val="auto"/>
            <w:szCs w:val="24"/>
            <w:u w:val="single"/>
            <w:lang w:val="es-CO"/>
          </w:rPr>
          <w:t>artículo 18</w:t>
        </w:r>
      </w:hyperlink>
      <w:r w:rsidRPr="007707DB">
        <w:rPr>
          <w:rFonts w:eastAsia="Times New Roman" w:cs="Times New Roman"/>
          <w:color w:val="auto"/>
          <w:szCs w:val="24"/>
          <w:lang w:val="es-CO"/>
        </w:rPr>
        <w:t> ET en el sentido de incluir expresamente a los contratos de colaboración, concretamente, el contrato de cuentas en participación.</w:t>
      </w:r>
    </w:p>
    <w:p w14:paraId="676D5970"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690D1426"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Así las cosas, el nuevo artículo dispone lo siguiente:</w:t>
      </w:r>
    </w:p>
    <w:p w14:paraId="35CAD650" w14:textId="77777777" w:rsidR="007707DB" w:rsidRPr="007707DB" w:rsidRDefault="007707DB" w:rsidP="004A3E58">
      <w:pPr>
        <w:ind w:left="180"/>
        <w:rPr>
          <w:rFonts w:eastAsia="Times New Roman" w:cs="Times New Roman"/>
          <w:color w:val="auto"/>
          <w:szCs w:val="24"/>
          <w:lang w:val="es-CO"/>
        </w:rPr>
      </w:pPr>
      <w:r w:rsidRPr="007707DB">
        <w:rPr>
          <w:rFonts w:eastAsia="Times New Roman" w:cs="Times New Roman"/>
          <w:i/>
          <w:iCs/>
          <w:color w:val="auto"/>
          <w:szCs w:val="24"/>
          <w:lang w:val="es-CO"/>
        </w:rPr>
        <w:t> </w:t>
      </w:r>
    </w:p>
    <w:p w14:paraId="418C931A" w14:textId="77777777" w:rsidR="007707DB" w:rsidRPr="007707DB" w:rsidRDefault="007707DB" w:rsidP="004A3E58">
      <w:pPr>
        <w:ind w:left="180"/>
        <w:rPr>
          <w:rFonts w:eastAsia="Times New Roman" w:cs="Times New Roman"/>
          <w:color w:val="auto"/>
          <w:szCs w:val="24"/>
          <w:lang w:val="es-CO"/>
        </w:rPr>
      </w:pPr>
      <w:r w:rsidRPr="007707DB">
        <w:rPr>
          <w:rFonts w:eastAsia="Times New Roman" w:cs="Times New Roman"/>
          <w:i/>
          <w:iCs/>
          <w:color w:val="auto"/>
          <w:szCs w:val="24"/>
          <w:lang w:val="es-CO"/>
        </w:rPr>
        <w:t xml:space="preserve">“Los contratos de colaboración empresarial tales como consorcios, uniones temporales, </w:t>
      </w:r>
      <w:proofErr w:type="spellStart"/>
      <w:r w:rsidRPr="007707DB">
        <w:rPr>
          <w:rFonts w:eastAsia="Times New Roman" w:cs="Times New Roman"/>
          <w:i/>
          <w:iCs/>
          <w:color w:val="auto"/>
          <w:szCs w:val="24"/>
          <w:lang w:val="es-CO"/>
        </w:rPr>
        <w:t>joint</w:t>
      </w:r>
      <w:proofErr w:type="spellEnd"/>
      <w:r w:rsidRPr="007707DB">
        <w:rPr>
          <w:rFonts w:eastAsia="Times New Roman" w:cs="Times New Roman"/>
          <w:i/>
          <w:iCs/>
          <w:color w:val="auto"/>
          <w:szCs w:val="24"/>
          <w:lang w:val="es-CO"/>
        </w:rPr>
        <w:t xml:space="preserve"> </w:t>
      </w:r>
      <w:proofErr w:type="spellStart"/>
      <w:r w:rsidRPr="007707DB">
        <w:rPr>
          <w:rFonts w:eastAsia="Times New Roman" w:cs="Times New Roman"/>
          <w:i/>
          <w:iCs/>
          <w:color w:val="auto"/>
          <w:szCs w:val="24"/>
          <w:lang w:val="es-CO"/>
        </w:rPr>
        <w:t>ventures</w:t>
      </w:r>
      <w:proofErr w:type="spellEnd"/>
      <w:r w:rsidRPr="007707DB">
        <w:rPr>
          <w:rFonts w:eastAsia="Times New Roman" w:cs="Times New Roman"/>
          <w:i/>
          <w:iCs/>
          <w:color w:val="auto"/>
          <w:szCs w:val="24"/>
          <w:lang w:val="es-CO"/>
        </w:rPr>
        <w:t xml:space="preserve"> </w:t>
      </w:r>
      <w:r w:rsidRPr="004A3E58">
        <w:rPr>
          <w:rFonts w:eastAsia="Times New Roman" w:cs="Times New Roman"/>
          <w:i/>
          <w:iCs/>
          <w:color w:val="auto"/>
          <w:szCs w:val="24"/>
          <w:highlight w:val="green"/>
          <w:lang w:val="es-CO"/>
        </w:rPr>
        <w:t>y cuentas en participación</w:t>
      </w:r>
      <w:r w:rsidRPr="007707DB">
        <w:rPr>
          <w:rFonts w:eastAsia="Times New Roman" w:cs="Times New Roman"/>
          <w:i/>
          <w:iCs/>
          <w:color w:val="auto"/>
          <w:szCs w:val="24"/>
          <w:lang w:val="es-CO"/>
        </w:rPr>
        <w:t>, no son contribuyentes del impuesto sobre la renta y complementarios. </w:t>
      </w:r>
      <w:r w:rsidRPr="007707DB">
        <w:rPr>
          <w:rFonts w:eastAsia="Times New Roman" w:cs="Times New Roman"/>
          <w:i/>
          <w:iCs/>
          <w:color w:val="auto"/>
          <w:szCs w:val="24"/>
          <w:u w:val="single"/>
          <w:lang w:val="es-CO"/>
        </w:rPr>
        <w:t>Las partes en el contrato de colaboración empresarial, deberán declarar de manera independiente los activos, pasivos, ingresos, costos y deducciones que les correspondan, de acuerdo con su participación en los activos, pasivos, ingresos, costos y gastos incurridos en desarrollo del contrato de colaboración empresarial</w:t>
      </w:r>
      <w:r w:rsidRPr="007707DB">
        <w:rPr>
          <w:rFonts w:eastAsia="Times New Roman" w:cs="Times New Roman"/>
          <w:i/>
          <w:iCs/>
          <w:color w:val="auto"/>
          <w:szCs w:val="24"/>
          <w:lang w:val="es-CO"/>
        </w:rPr>
        <w:t xml:space="preserve">. Para efectos tributarios, las partes deberán llevar un registro sobre las actividades desarrolladas en </w:t>
      </w:r>
      <w:r w:rsidRPr="007707DB">
        <w:rPr>
          <w:rFonts w:eastAsia="Times New Roman" w:cs="Times New Roman"/>
          <w:i/>
          <w:iCs/>
          <w:color w:val="auto"/>
          <w:szCs w:val="24"/>
          <w:lang w:val="es-CO"/>
        </w:rPr>
        <w:lastRenderedPageBreak/>
        <w:t>virtud del contrato de colaboración empresarial que permita verificar los ingresos, costos y gastos incurridos en desarrollo del mismo.”</w:t>
      </w:r>
    </w:p>
    <w:p w14:paraId="48F436B2"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5BE313DE" w14:textId="77777777" w:rsidR="007707DB" w:rsidRPr="004A3E58" w:rsidRDefault="007707DB" w:rsidP="004A3E58">
      <w:pPr>
        <w:rPr>
          <w:rFonts w:eastAsia="Times New Roman" w:cs="Times New Roman"/>
          <w:color w:val="auto"/>
          <w:szCs w:val="24"/>
          <w:highlight w:val="green"/>
          <w:lang w:val="es-CO"/>
        </w:rPr>
      </w:pPr>
      <w:r w:rsidRPr="004A3E58">
        <w:rPr>
          <w:rFonts w:eastAsia="Times New Roman" w:cs="Times New Roman"/>
          <w:color w:val="auto"/>
          <w:szCs w:val="24"/>
          <w:highlight w:val="green"/>
          <w:lang w:val="es-CO"/>
        </w:rPr>
        <w:t>Así mismo, la Ley 1819 de 2016 adicionó un primer parágrafo al </w:t>
      </w:r>
      <w:hyperlink r:id="rId6" w:tooltip="Estatuto Tributario CETA" w:history="1">
        <w:r w:rsidRPr="004A3E58">
          <w:rPr>
            <w:rFonts w:eastAsia="Times New Roman" w:cs="Times New Roman"/>
            <w:color w:val="auto"/>
            <w:szCs w:val="24"/>
            <w:highlight w:val="green"/>
            <w:u w:val="single"/>
            <w:lang w:val="es-CO"/>
          </w:rPr>
          <w:t>artículo 18</w:t>
        </w:r>
      </w:hyperlink>
      <w:r w:rsidRPr="004A3E58">
        <w:rPr>
          <w:rFonts w:eastAsia="Times New Roman" w:cs="Times New Roman"/>
          <w:color w:val="auto"/>
          <w:szCs w:val="24"/>
          <w:highlight w:val="green"/>
          <w:lang w:val="es-CO"/>
        </w:rPr>
        <w:t> del Estatuto Tributario el cual indica lo siguiente:</w:t>
      </w:r>
    </w:p>
    <w:p w14:paraId="317E173F" w14:textId="77777777" w:rsidR="007707DB" w:rsidRPr="004A3E58" w:rsidRDefault="007707DB" w:rsidP="004A3E58">
      <w:pPr>
        <w:ind w:left="180"/>
        <w:rPr>
          <w:rFonts w:eastAsia="Times New Roman" w:cs="Times New Roman"/>
          <w:color w:val="auto"/>
          <w:szCs w:val="24"/>
          <w:highlight w:val="green"/>
          <w:lang w:val="es-CO"/>
        </w:rPr>
      </w:pPr>
      <w:r w:rsidRPr="004A3E58">
        <w:rPr>
          <w:rFonts w:eastAsia="Times New Roman" w:cs="Times New Roman"/>
          <w:i/>
          <w:iCs/>
          <w:color w:val="auto"/>
          <w:szCs w:val="24"/>
          <w:highlight w:val="green"/>
          <w:lang w:val="es-CO"/>
        </w:rPr>
        <w:t> </w:t>
      </w:r>
    </w:p>
    <w:p w14:paraId="4D4E9F6E" w14:textId="77777777" w:rsidR="007707DB" w:rsidRPr="004A3E58" w:rsidRDefault="007707DB" w:rsidP="004A3E58">
      <w:pPr>
        <w:ind w:left="180"/>
        <w:rPr>
          <w:rFonts w:eastAsia="Times New Roman" w:cs="Times New Roman"/>
          <w:color w:val="auto"/>
          <w:sz w:val="32"/>
          <w:szCs w:val="32"/>
          <w:lang w:val="es-CO"/>
        </w:rPr>
      </w:pPr>
      <w:r w:rsidRPr="004A3E58">
        <w:rPr>
          <w:rFonts w:eastAsia="Times New Roman" w:cs="Times New Roman"/>
          <w:i/>
          <w:iCs/>
          <w:color w:val="auto"/>
          <w:sz w:val="32"/>
          <w:szCs w:val="32"/>
          <w:highlight w:val="green"/>
          <w:lang w:val="es-CO"/>
        </w:rPr>
        <w:t>“</w:t>
      </w:r>
      <w:r w:rsidRPr="004A3E58">
        <w:rPr>
          <w:rFonts w:eastAsia="Times New Roman" w:cs="Times New Roman"/>
          <w:b/>
          <w:bCs/>
          <w:i/>
          <w:iCs/>
          <w:color w:val="auto"/>
          <w:sz w:val="32"/>
          <w:szCs w:val="32"/>
          <w:highlight w:val="green"/>
          <w:lang w:val="es-CO"/>
        </w:rPr>
        <w:t>PARÁGRAFO 1o. </w:t>
      </w:r>
      <w:r w:rsidRPr="004A3E58">
        <w:rPr>
          <w:rFonts w:eastAsia="Times New Roman" w:cs="Times New Roman"/>
          <w:i/>
          <w:iCs/>
          <w:color w:val="auto"/>
          <w:sz w:val="32"/>
          <w:szCs w:val="32"/>
          <w:highlight w:val="green"/>
          <w:lang w:val="es-CO"/>
        </w:rPr>
        <w:t>En los contratos de colaboración empresarial el gestor, representante o administrador del contrato deberá certificar y proporcionar a los partícipes, consorciados, asociados o unidos temporalmente la información financiera y fiscal relacionada con el contrato. La certificación deberá estar firmada por el representante legal o quien haga sus veces y el contador público o revisor fiscal respectivo. </w:t>
      </w:r>
      <w:r w:rsidRPr="004A3E58">
        <w:rPr>
          <w:rFonts w:eastAsia="Times New Roman" w:cs="Times New Roman"/>
          <w:i/>
          <w:iCs/>
          <w:color w:val="auto"/>
          <w:sz w:val="32"/>
          <w:szCs w:val="32"/>
          <w:highlight w:val="green"/>
          <w:u w:val="single"/>
          <w:lang w:val="es-CO"/>
        </w:rPr>
        <w:t>En el caso del contrato de cuentas en participación, la certificación expedida por el gestor al partícipe oculto hace las veces del registro sobre las actividades desarrolladas en virtud del contrato de cuentas en participación</w:t>
      </w:r>
      <w:r w:rsidRPr="004A3E58">
        <w:rPr>
          <w:rFonts w:eastAsia="Times New Roman" w:cs="Times New Roman"/>
          <w:i/>
          <w:iCs/>
          <w:color w:val="auto"/>
          <w:sz w:val="32"/>
          <w:szCs w:val="32"/>
          <w:highlight w:val="green"/>
          <w:lang w:val="es-CO"/>
        </w:rPr>
        <w:t>.”</w:t>
      </w:r>
    </w:p>
    <w:p w14:paraId="5C472D1B"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319A3F19" w14:textId="77777777" w:rsidR="007707DB" w:rsidRPr="004A3E58" w:rsidRDefault="007707DB" w:rsidP="004A3E58">
      <w:pPr>
        <w:rPr>
          <w:rFonts w:eastAsia="Times New Roman" w:cs="Times New Roman"/>
          <w:color w:val="auto"/>
          <w:sz w:val="36"/>
          <w:szCs w:val="36"/>
          <w:lang w:val="es-CO"/>
        </w:rPr>
      </w:pPr>
      <w:r w:rsidRPr="004A3E58">
        <w:rPr>
          <w:rFonts w:eastAsia="Times New Roman" w:cs="Times New Roman"/>
          <w:color w:val="auto"/>
          <w:sz w:val="36"/>
          <w:szCs w:val="36"/>
          <w:highlight w:val="yellow"/>
          <w:lang w:val="es-CO"/>
        </w:rPr>
        <w:t xml:space="preserve">De la norma transcrita se desprende que, a efectos tributarios, las partes de un contrato de colaboración, como es el caso de un contrato de cuentas en participación, deben declarar de manera independiente los diferentes conceptos que se generen con ocasión </w:t>
      </w:r>
      <w:proofErr w:type="gramStart"/>
      <w:r w:rsidRPr="004A3E58">
        <w:rPr>
          <w:rFonts w:eastAsia="Times New Roman" w:cs="Times New Roman"/>
          <w:color w:val="auto"/>
          <w:sz w:val="36"/>
          <w:szCs w:val="36"/>
          <w:highlight w:val="yellow"/>
          <w:lang w:val="es-CO"/>
        </w:rPr>
        <w:t>del mismo</w:t>
      </w:r>
      <w:proofErr w:type="gramEnd"/>
      <w:r w:rsidRPr="004A3E58">
        <w:rPr>
          <w:rFonts w:eastAsia="Times New Roman" w:cs="Times New Roman"/>
          <w:color w:val="auto"/>
          <w:sz w:val="36"/>
          <w:szCs w:val="36"/>
          <w:highlight w:val="yellow"/>
          <w:lang w:val="es-CO"/>
        </w:rPr>
        <w:t>. Para ello, el partícipe gestor deberá emitir certificación informando al partícipe oculto los diferentes conceptos a efectos de su registro y declaración.</w:t>
      </w:r>
    </w:p>
    <w:p w14:paraId="05737734" w14:textId="77777777" w:rsidR="007707DB" w:rsidRPr="004A3E58" w:rsidRDefault="007707DB" w:rsidP="004A3E58">
      <w:pPr>
        <w:rPr>
          <w:rFonts w:eastAsia="Times New Roman" w:cs="Times New Roman"/>
          <w:color w:val="auto"/>
          <w:sz w:val="36"/>
          <w:szCs w:val="36"/>
          <w:lang w:val="es-CO"/>
        </w:rPr>
      </w:pPr>
      <w:r w:rsidRPr="004A3E58">
        <w:rPr>
          <w:rFonts w:eastAsia="Times New Roman" w:cs="Times New Roman"/>
          <w:color w:val="auto"/>
          <w:sz w:val="36"/>
          <w:szCs w:val="36"/>
          <w:lang w:val="es-CO"/>
        </w:rPr>
        <w:t> </w:t>
      </w:r>
    </w:p>
    <w:p w14:paraId="39B0C68E" w14:textId="77777777" w:rsidR="007707DB" w:rsidRPr="004A3E58" w:rsidRDefault="007707DB" w:rsidP="004A3E58">
      <w:pPr>
        <w:rPr>
          <w:rFonts w:eastAsia="Times New Roman" w:cs="Times New Roman"/>
          <w:color w:val="auto"/>
          <w:sz w:val="32"/>
          <w:szCs w:val="32"/>
          <w:lang w:val="es-CO"/>
        </w:rPr>
      </w:pPr>
      <w:r w:rsidRPr="004A3E58">
        <w:rPr>
          <w:rFonts w:eastAsia="Times New Roman" w:cs="Times New Roman"/>
          <w:color w:val="auto"/>
          <w:sz w:val="32"/>
          <w:szCs w:val="32"/>
          <w:highlight w:val="green"/>
          <w:lang w:val="es-CO"/>
        </w:rPr>
        <w:t xml:space="preserve">Es decir que, de conformidad con el cambio legislativo, no basta con que el partícipe oculto registre y declare el ingreso por la utilidad neta; por el contrario, deberá registrar y declarar el valor bruto de los ingresos en proporción a su porcentaje de participación en el contrato. </w:t>
      </w:r>
      <w:r w:rsidRPr="004A3E58">
        <w:rPr>
          <w:rFonts w:eastAsia="Times New Roman" w:cs="Times New Roman"/>
          <w:color w:val="auto"/>
          <w:sz w:val="32"/>
          <w:szCs w:val="32"/>
          <w:highlight w:val="green"/>
          <w:lang w:val="es-CO"/>
        </w:rPr>
        <w:lastRenderedPageBreak/>
        <w:t>Dichos ingresos estarán afectados con los costos, gastos y deducciones cuya deducibilidad resulte procedente.</w:t>
      </w:r>
    </w:p>
    <w:p w14:paraId="4DBE060F"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0DFB4A70"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Vale anotar que la modificación introducida en la Ley 1819 de 2016 no desdibuja la naturaleza jurídica del contrato de cuentas en participación en tanto que la forma de reparto –ya sea ingresos brutos o utilidades netas- no es un elemento esencial del mismo e incluso puede ser modificado en virtud de la autonomía de la voluntad de las partes (artículo 508 del Código de Comercio).</w:t>
      </w:r>
    </w:p>
    <w:p w14:paraId="7C636E1F"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0D848763"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Así las cosas, la intención de la norma tributaria es modificar el registro y control de la relación interna entre partícipes; no así la relación externa entre el gestor y los terceros, la cual permanecerá intacta al ser ésta sí una característica esencial del contrato de cuentas en participación. En ese sentido, de cara a los terceros, será el gestor quien se repute como único dueño del negocio en las relaciones externas de la participación (artículo 510 del Código de Comercio).</w:t>
      </w:r>
    </w:p>
    <w:p w14:paraId="304A98A3"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38CE7D7B" w14:textId="77777777" w:rsidR="007707DB" w:rsidRPr="004A3E58" w:rsidRDefault="007707DB" w:rsidP="004A3E58">
      <w:pPr>
        <w:rPr>
          <w:rFonts w:eastAsia="Times New Roman" w:cs="Times New Roman"/>
          <w:color w:val="auto"/>
          <w:sz w:val="32"/>
          <w:szCs w:val="32"/>
          <w:lang w:val="es-CO"/>
        </w:rPr>
      </w:pPr>
      <w:r w:rsidRPr="004A3E58">
        <w:rPr>
          <w:rFonts w:eastAsia="Times New Roman" w:cs="Times New Roman"/>
          <w:color w:val="auto"/>
          <w:sz w:val="32"/>
          <w:szCs w:val="32"/>
          <w:highlight w:val="green"/>
          <w:lang w:val="es-CO"/>
        </w:rPr>
        <w:t>En ese orden de ideas, al ser el gestor quien desarrolla el objeto del contrato en su propio nombre y bajo su crédito personal, será éste quien se repute único titular de los activos, pasivos, ingresos, costos y gastos (relación externa entre el gestor y los terceros). Lo anterior, sin perjuicio que el partícipe gestor emita una certificación al partícipe oculto con la información financiera y fiscal pertinentes para efectos de poder declarar de manera independiente los diferentes conceptos (relación interna entre partícipes).</w:t>
      </w:r>
    </w:p>
    <w:p w14:paraId="64B0B079"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696EF529" w14:textId="77777777" w:rsidR="007707DB" w:rsidRPr="004A3E58" w:rsidRDefault="007707DB" w:rsidP="004A3E58">
      <w:pPr>
        <w:rPr>
          <w:rFonts w:eastAsia="Times New Roman" w:cs="Times New Roman"/>
          <w:color w:val="auto"/>
          <w:sz w:val="32"/>
          <w:szCs w:val="32"/>
          <w:lang w:val="es-CO"/>
        </w:rPr>
      </w:pPr>
      <w:r w:rsidRPr="004A3E58">
        <w:rPr>
          <w:rFonts w:eastAsia="Times New Roman" w:cs="Times New Roman"/>
          <w:color w:val="auto"/>
          <w:sz w:val="32"/>
          <w:szCs w:val="32"/>
          <w:highlight w:val="green"/>
          <w:lang w:val="es-CO"/>
        </w:rPr>
        <w:t>Ahora bien, en relación con la retención en la fuente a título de impuesto sobre la renta y complementarios, el socio gestor será el titular del ingreso sometido a retención y, por ende, será quien deba reflejar tales retenciones en la declaración del período fiscal en que se practiquen.</w:t>
      </w:r>
    </w:p>
    <w:p w14:paraId="60C0129D" w14:textId="77777777" w:rsidR="007707DB" w:rsidRPr="004A3E58" w:rsidRDefault="007707DB" w:rsidP="004A3E58">
      <w:pPr>
        <w:rPr>
          <w:rFonts w:eastAsia="Times New Roman" w:cs="Times New Roman"/>
          <w:color w:val="auto"/>
          <w:sz w:val="32"/>
          <w:szCs w:val="32"/>
          <w:lang w:val="es-CO"/>
        </w:rPr>
      </w:pPr>
      <w:r w:rsidRPr="004A3E58">
        <w:rPr>
          <w:rFonts w:eastAsia="Times New Roman" w:cs="Times New Roman"/>
          <w:color w:val="auto"/>
          <w:sz w:val="32"/>
          <w:szCs w:val="32"/>
          <w:lang w:val="es-CO"/>
        </w:rPr>
        <w:t> </w:t>
      </w:r>
    </w:p>
    <w:p w14:paraId="43970061"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xml:space="preserve">Para el contrato de cuentas en participación, no existe una disposición que prevea el traslado de retenciones por parte del socio gestor al socio; so pena de confundirse con otras figuras </w:t>
      </w:r>
      <w:r w:rsidRPr="007707DB">
        <w:rPr>
          <w:rFonts w:eastAsia="Times New Roman" w:cs="Times New Roman"/>
          <w:color w:val="auto"/>
          <w:szCs w:val="24"/>
          <w:lang w:val="es-CO"/>
        </w:rPr>
        <w:lastRenderedPageBreak/>
        <w:t>contractuales, como el mandato en el cual las retenciones se practican teniendo en cuenta las calidades del mandante. Tampoco existe una disposición que prevea la revelación del socio oculto con el fin de practicarle a éste directamente la retención; so pena de confundirse con otros contratos de colaboración empresarial, como los consorcios o uniones temporales donde el valor de la retención se le imputa a cada uno de los consorciados.</w:t>
      </w:r>
    </w:p>
    <w:p w14:paraId="12F65FEF"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10CB0D5F" w14:textId="77777777" w:rsidR="007707DB" w:rsidRPr="004A3E58" w:rsidRDefault="007707DB" w:rsidP="004A3E58">
      <w:pPr>
        <w:rPr>
          <w:rFonts w:eastAsia="Times New Roman" w:cs="Times New Roman"/>
          <w:color w:val="auto"/>
          <w:sz w:val="36"/>
          <w:szCs w:val="36"/>
          <w:lang w:val="es-CO"/>
        </w:rPr>
      </w:pPr>
      <w:r w:rsidRPr="004A3E58">
        <w:rPr>
          <w:rFonts w:eastAsia="Times New Roman" w:cs="Times New Roman"/>
          <w:color w:val="auto"/>
          <w:sz w:val="36"/>
          <w:szCs w:val="36"/>
          <w:highlight w:val="green"/>
          <w:lang w:val="es-CO"/>
        </w:rPr>
        <w:t xml:space="preserve">Igual lógica aplica para los impuestos descontables en la medida que el gestor es la única persona visible ante terceros. En consecuencia, </w:t>
      </w:r>
      <w:r w:rsidRPr="004A3E58">
        <w:rPr>
          <w:rFonts w:eastAsia="Times New Roman" w:cs="Times New Roman"/>
          <w:color w:val="auto"/>
          <w:sz w:val="36"/>
          <w:szCs w:val="36"/>
          <w:highlight w:val="yellow"/>
          <w:lang w:val="es-CO"/>
        </w:rPr>
        <w:t>será éste quien facture, recaude, declare y pague el impuesto correspondiente y, de igual forma tendrá derecho a solicitar los impuestos descontables</w:t>
      </w:r>
      <w:r w:rsidRPr="004A3E58">
        <w:rPr>
          <w:rFonts w:eastAsia="Times New Roman" w:cs="Times New Roman"/>
          <w:color w:val="auto"/>
          <w:sz w:val="36"/>
          <w:szCs w:val="36"/>
          <w:highlight w:val="green"/>
          <w:lang w:val="es-CO"/>
        </w:rPr>
        <w:t>. En este punto vale anotar que, para efectos del impuesto sobre las ventas, continúa vigente lo manifestado en el Oficio No. 41483 del 6 de julio de 2004.</w:t>
      </w:r>
    </w:p>
    <w:p w14:paraId="58CCBC2B" w14:textId="77777777" w:rsidR="007707DB" w:rsidRPr="004A3E58" w:rsidRDefault="007707DB" w:rsidP="004A3E58">
      <w:pPr>
        <w:rPr>
          <w:rFonts w:eastAsia="Times New Roman" w:cs="Times New Roman"/>
          <w:color w:val="auto"/>
          <w:sz w:val="36"/>
          <w:szCs w:val="36"/>
          <w:lang w:val="es-CO"/>
        </w:rPr>
      </w:pPr>
      <w:r w:rsidRPr="004A3E58">
        <w:rPr>
          <w:rFonts w:eastAsia="Times New Roman" w:cs="Times New Roman"/>
          <w:color w:val="auto"/>
          <w:sz w:val="36"/>
          <w:szCs w:val="36"/>
          <w:lang w:val="es-CO"/>
        </w:rPr>
        <w:t> </w:t>
      </w:r>
    </w:p>
    <w:p w14:paraId="415BA27A" w14:textId="77777777" w:rsidR="007707DB" w:rsidRPr="004A3E58" w:rsidRDefault="007707DB" w:rsidP="004A3E58">
      <w:pPr>
        <w:rPr>
          <w:rFonts w:eastAsia="Times New Roman" w:cs="Times New Roman"/>
          <w:color w:val="auto"/>
          <w:sz w:val="32"/>
          <w:szCs w:val="32"/>
          <w:lang w:val="es-CO"/>
        </w:rPr>
      </w:pPr>
      <w:r w:rsidRPr="004A3E58">
        <w:rPr>
          <w:rFonts w:eastAsia="Times New Roman" w:cs="Times New Roman"/>
          <w:color w:val="auto"/>
          <w:sz w:val="32"/>
          <w:szCs w:val="32"/>
          <w:highlight w:val="green"/>
          <w:lang w:val="es-CO"/>
        </w:rPr>
        <w:t>Así, se concluye que no podría predicarse una proporcionalidad en relación con las retenciones practicadas y los impuestos descontables, so pena de confundirse con otras figuras contractuales distintas al contrato de cuentas en participación o de revelarse la calidad del partícipe oculto.</w:t>
      </w:r>
    </w:p>
    <w:p w14:paraId="7374E886"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67096473" w14:textId="77777777" w:rsidR="007707DB" w:rsidRPr="004A3E58" w:rsidRDefault="007707DB" w:rsidP="004A3E58">
      <w:pPr>
        <w:rPr>
          <w:rFonts w:eastAsia="Times New Roman" w:cs="Times New Roman"/>
          <w:color w:val="auto"/>
          <w:sz w:val="32"/>
          <w:szCs w:val="32"/>
          <w:lang w:val="es-CO"/>
        </w:rPr>
      </w:pPr>
      <w:r w:rsidRPr="004A3E58">
        <w:rPr>
          <w:rFonts w:eastAsia="Times New Roman" w:cs="Times New Roman"/>
          <w:color w:val="auto"/>
          <w:sz w:val="32"/>
          <w:szCs w:val="32"/>
          <w:highlight w:val="yellow"/>
          <w:lang w:val="es-CO"/>
        </w:rPr>
        <w:t>Por ejemplo, resultaría incorrecto que el partícipe gestor siendo responsable de IVA traslade al partícipe oculto un impuesto descontable cuando éste último puede no ser responsable de tal tributo, o también resultaría incorrecto que se le trasladen al partícipe oculto retenciones que fueron practicadas sin tener en cuenta su calidad.</w:t>
      </w:r>
    </w:p>
    <w:p w14:paraId="6E5F6EB6"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5E271B46"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xml:space="preserve">La operatividad descrita no se compadece de la naturaleza del contrato de cuentas en participación y más bien se asemeja al manejo interno que sucede entre las partes que </w:t>
      </w:r>
      <w:r w:rsidRPr="007707DB">
        <w:rPr>
          <w:rFonts w:eastAsia="Times New Roman" w:cs="Times New Roman"/>
          <w:color w:val="auto"/>
          <w:szCs w:val="24"/>
          <w:lang w:val="es-CO"/>
        </w:rPr>
        <w:lastRenderedPageBreak/>
        <w:t>suscriben otro tipo de figuras contractuales. En todo caso, es preciso anotar que los extremos de una relación contractual podrán, en virtud de la autonomía de la voluntad, elegir la forma contractual que mejor se ajuste en pro de la consecución de sus intereses.</w:t>
      </w:r>
    </w:p>
    <w:p w14:paraId="1D4E40A5"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5E12C937" w14:textId="77777777" w:rsidR="007707DB" w:rsidRPr="004A3E58" w:rsidRDefault="007707DB" w:rsidP="004A3E58">
      <w:pPr>
        <w:rPr>
          <w:rFonts w:eastAsia="Times New Roman" w:cs="Times New Roman"/>
          <w:color w:val="auto"/>
          <w:sz w:val="36"/>
          <w:szCs w:val="36"/>
          <w:lang w:val="es-CO"/>
        </w:rPr>
      </w:pPr>
      <w:r w:rsidRPr="004A3E58">
        <w:rPr>
          <w:rFonts w:eastAsia="Times New Roman" w:cs="Times New Roman"/>
          <w:color w:val="auto"/>
          <w:sz w:val="36"/>
          <w:szCs w:val="36"/>
          <w:highlight w:val="yellow"/>
          <w:lang w:val="es-CO"/>
        </w:rPr>
        <w:t>Apelando a la interpretación literal, es pertinente anotar que el nuevo </w:t>
      </w:r>
      <w:hyperlink r:id="rId7" w:tooltip="Estatuto Tributario CETA" w:history="1">
        <w:r w:rsidRPr="004A3E58">
          <w:rPr>
            <w:rFonts w:eastAsia="Times New Roman" w:cs="Times New Roman"/>
            <w:color w:val="auto"/>
            <w:sz w:val="36"/>
            <w:szCs w:val="36"/>
            <w:highlight w:val="yellow"/>
            <w:u w:val="single"/>
            <w:lang w:val="es-CO"/>
          </w:rPr>
          <w:t>artículo 18</w:t>
        </w:r>
      </w:hyperlink>
      <w:r w:rsidRPr="004A3E58">
        <w:rPr>
          <w:rFonts w:eastAsia="Times New Roman" w:cs="Times New Roman"/>
          <w:color w:val="auto"/>
          <w:sz w:val="36"/>
          <w:szCs w:val="36"/>
          <w:highlight w:val="yellow"/>
          <w:lang w:val="es-CO"/>
        </w:rPr>
        <w:t> del Estatuto Tributario en ningún caso hace referencia a que el partícipe gestor deba informar –mediante certificación- los conceptos de impuestos descontables y retenciones practicadas con el fin de que éstos sean registrados y declarados por el partícipe oculto.</w:t>
      </w:r>
    </w:p>
    <w:p w14:paraId="11BE2391"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46672A52" w14:textId="77777777" w:rsidR="007707DB" w:rsidRPr="004A3E58" w:rsidRDefault="007707DB" w:rsidP="004A3E58">
      <w:pPr>
        <w:rPr>
          <w:rFonts w:eastAsia="Times New Roman" w:cs="Times New Roman"/>
          <w:color w:val="auto"/>
          <w:sz w:val="32"/>
          <w:szCs w:val="32"/>
          <w:lang w:val="es-CO"/>
        </w:rPr>
      </w:pPr>
      <w:r w:rsidRPr="004A3E58">
        <w:rPr>
          <w:rFonts w:eastAsia="Times New Roman" w:cs="Times New Roman"/>
          <w:color w:val="auto"/>
          <w:sz w:val="32"/>
          <w:szCs w:val="32"/>
          <w:highlight w:val="yellow"/>
          <w:lang w:val="es-CO"/>
        </w:rPr>
        <w:t>Por último, corresponderá a ambos partícipes registrar los activos que posean y los pasivos que contraigan en el marco del contrato de cuentas en participación. Así, los partícipes registrarán de manera independiente el porcentaje de su participación respecto de cada activo y pasivo, siguiendo la misma lógica que aplica para los demás conceptos (ingresos, costos y gastos). En consecuencia, un activo que corresponda a un bien deberá ser registrado por cada uno de los partícipes involucrados –con independencia de quien sea el propietario del bien- de tal manera que cada uno de ellos podrá aplicar la misma proporcionalidad a la hora de registrar y declarar, por ejemplo, el gasto por depreciación.</w:t>
      </w:r>
    </w:p>
    <w:p w14:paraId="7ECF71EA"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77520DF3"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b/>
          <w:bCs/>
          <w:color w:val="auto"/>
          <w:szCs w:val="24"/>
          <w:lang w:val="es-CO"/>
        </w:rPr>
        <w:t>III. </w:t>
      </w:r>
      <w:r w:rsidRPr="007707DB">
        <w:rPr>
          <w:rFonts w:eastAsia="Times New Roman" w:cs="Times New Roman"/>
          <w:b/>
          <w:bCs/>
          <w:color w:val="auto"/>
          <w:szCs w:val="24"/>
          <w:u w:val="single"/>
          <w:lang w:val="es-CO"/>
        </w:rPr>
        <w:t>Alcance de las modificaciones introducidas por la Ley 1819 de 2016</w:t>
      </w:r>
      <w:r w:rsidRPr="007707DB">
        <w:rPr>
          <w:rFonts w:eastAsia="Times New Roman" w:cs="Times New Roman"/>
          <w:b/>
          <w:bCs/>
          <w:color w:val="auto"/>
          <w:szCs w:val="24"/>
          <w:lang w:val="es-CO"/>
        </w:rPr>
        <w:t>.</w:t>
      </w:r>
    </w:p>
    <w:p w14:paraId="21EE0B81"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443C20D1"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Teniendo en cuenta el análisis anterior, concluimos que el alcance de la modificación introducida por la Reforma Tributaria en el contrato de cuentas en participación, se resumen de la siguiente manera:</w:t>
      </w:r>
    </w:p>
    <w:p w14:paraId="51C3BA4E"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5CCF2E02" w14:textId="77777777" w:rsidR="007707DB" w:rsidRPr="004A3E58" w:rsidRDefault="007707DB" w:rsidP="004A3E58">
      <w:pPr>
        <w:pStyle w:val="Prrafodelista"/>
        <w:numPr>
          <w:ilvl w:val="0"/>
          <w:numId w:val="2"/>
        </w:numPr>
        <w:rPr>
          <w:rFonts w:eastAsia="Times New Roman" w:cs="Times New Roman"/>
          <w:color w:val="auto"/>
          <w:szCs w:val="24"/>
          <w:highlight w:val="green"/>
          <w:lang w:val="es-CO"/>
        </w:rPr>
      </w:pPr>
      <w:r w:rsidRPr="004A3E58">
        <w:rPr>
          <w:rFonts w:eastAsia="Times New Roman" w:cs="Times New Roman"/>
          <w:color w:val="auto"/>
          <w:szCs w:val="24"/>
          <w:highlight w:val="green"/>
          <w:lang w:val="es-CO"/>
        </w:rPr>
        <w:lastRenderedPageBreak/>
        <w:t>Los ingresos provenientes de un contrato de cuentas en participación deberán ser reconocidos por cada uno de los partícipes en proporción al porcentaje de participación en el contrato.</w:t>
      </w:r>
    </w:p>
    <w:p w14:paraId="1324DD3E" w14:textId="77777777" w:rsidR="007707DB" w:rsidRPr="004A3E58" w:rsidRDefault="007707DB" w:rsidP="004A3E58">
      <w:pPr>
        <w:ind w:left="450" w:hanging="270"/>
        <w:rPr>
          <w:rFonts w:eastAsia="Times New Roman" w:cs="Times New Roman"/>
          <w:color w:val="auto"/>
          <w:szCs w:val="24"/>
          <w:highlight w:val="green"/>
          <w:lang w:val="es-CO"/>
        </w:rPr>
      </w:pPr>
    </w:p>
    <w:p w14:paraId="08485730" w14:textId="77777777" w:rsidR="007707DB" w:rsidRPr="004A3E58" w:rsidRDefault="007707DB" w:rsidP="004A3E58">
      <w:pPr>
        <w:pStyle w:val="Prrafodelista"/>
        <w:numPr>
          <w:ilvl w:val="0"/>
          <w:numId w:val="2"/>
        </w:numPr>
        <w:rPr>
          <w:rFonts w:eastAsia="Times New Roman" w:cs="Times New Roman"/>
          <w:color w:val="auto"/>
          <w:szCs w:val="24"/>
          <w:highlight w:val="green"/>
          <w:lang w:val="es-CO"/>
        </w:rPr>
      </w:pPr>
      <w:r w:rsidRPr="004A3E58">
        <w:rPr>
          <w:rFonts w:eastAsia="Times New Roman" w:cs="Times New Roman"/>
          <w:color w:val="auto"/>
          <w:szCs w:val="24"/>
          <w:highlight w:val="green"/>
          <w:lang w:val="es-CO"/>
        </w:rPr>
        <w:t>Cada uno de los partícipes deberá verificar la procedencia de los costos, gastos y deducciones, de conformidad con lo dispuesto en el </w:t>
      </w:r>
      <w:hyperlink r:id="rId8" w:tooltip="Estatuto Tributario CETA" w:history="1">
        <w:r w:rsidRPr="004A3E58">
          <w:rPr>
            <w:rFonts w:eastAsia="Times New Roman" w:cs="Times New Roman"/>
            <w:color w:val="auto"/>
            <w:szCs w:val="24"/>
            <w:highlight w:val="green"/>
            <w:u w:val="single"/>
            <w:lang w:val="es-CO"/>
          </w:rPr>
          <w:t>artículo 107</w:t>
        </w:r>
      </w:hyperlink>
      <w:r w:rsidRPr="004A3E58">
        <w:rPr>
          <w:rFonts w:eastAsia="Times New Roman" w:cs="Times New Roman"/>
          <w:color w:val="auto"/>
          <w:szCs w:val="24"/>
          <w:highlight w:val="green"/>
          <w:lang w:val="es-CO"/>
        </w:rPr>
        <w:t> del Estatuto Tributario y demás normas pertinentes.</w:t>
      </w:r>
    </w:p>
    <w:p w14:paraId="5A4580BC" w14:textId="77777777" w:rsidR="007707DB" w:rsidRPr="004A3E58" w:rsidRDefault="007707DB" w:rsidP="004A3E58">
      <w:pPr>
        <w:ind w:left="450" w:hanging="270"/>
        <w:rPr>
          <w:rFonts w:eastAsia="Times New Roman" w:cs="Times New Roman"/>
          <w:color w:val="auto"/>
          <w:szCs w:val="24"/>
          <w:highlight w:val="green"/>
          <w:lang w:val="es-CO"/>
        </w:rPr>
      </w:pPr>
    </w:p>
    <w:p w14:paraId="3768A442" w14:textId="77777777" w:rsidR="007707DB" w:rsidRPr="004A3E58" w:rsidRDefault="007707DB" w:rsidP="004A3E58">
      <w:pPr>
        <w:pStyle w:val="Prrafodelista"/>
        <w:numPr>
          <w:ilvl w:val="0"/>
          <w:numId w:val="2"/>
        </w:numPr>
        <w:rPr>
          <w:rFonts w:eastAsia="Times New Roman" w:cs="Times New Roman"/>
          <w:color w:val="auto"/>
          <w:szCs w:val="24"/>
          <w:highlight w:val="green"/>
          <w:lang w:val="es-CO"/>
        </w:rPr>
      </w:pPr>
      <w:r w:rsidRPr="004A3E58">
        <w:rPr>
          <w:rFonts w:eastAsia="Times New Roman" w:cs="Times New Roman"/>
          <w:color w:val="auto"/>
          <w:szCs w:val="24"/>
          <w:highlight w:val="green"/>
          <w:lang w:val="es-CO"/>
        </w:rPr>
        <w:t>El partícipe gestor no podrá llevarse como gasto la utilidad pagada al partícipe oculto, tampoco tendrá la obligación de practicar retención en la fuente. Lo anterior, en la medida que el partícipe gestor no trasladará al partícipe oculto una utilidad neta sino un valor bruto que deberá ser afectado con los costos, gastos y deducciones que resulten deducibles.</w:t>
      </w:r>
    </w:p>
    <w:p w14:paraId="44724A66" w14:textId="77777777" w:rsidR="007707DB" w:rsidRPr="004A3E58" w:rsidRDefault="007707DB" w:rsidP="004A3E58">
      <w:pPr>
        <w:ind w:left="450" w:hanging="270"/>
        <w:rPr>
          <w:rFonts w:eastAsia="Times New Roman" w:cs="Times New Roman"/>
          <w:color w:val="auto"/>
          <w:szCs w:val="24"/>
          <w:highlight w:val="green"/>
          <w:lang w:val="es-CO"/>
        </w:rPr>
      </w:pPr>
    </w:p>
    <w:p w14:paraId="6F9CFD66" w14:textId="77777777" w:rsidR="007707DB" w:rsidRPr="004A3E58" w:rsidRDefault="007707DB" w:rsidP="004A3E58">
      <w:pPr>
        <w:pStyle w:val="Prrafodelista"/>
        <w:numPr>
          <w:ilvl w:val="0"/>
          <w:numId w:val="2"/>
        </w:numPr>
        <w:rPr>
          <w:rFonts w:eastAsia="Times New Roman" w:cs="Times New Roman"/>
          <w:color w:val="auto"/>
          <w:szCs w:val="24"/>
          <w:highlight w:val="green"/>
          <w:lang w:val="es-CO"/>
        </w:rPr>
      </w:pPr>
      <w:r w:rsidRPr="004A3E58">
        <w:rPr>
          <w:rFonts w:eastAsia="Times New Roman" w:cs="Times New Roman"/>
          <w:color w:val="auto"/>
          <w:szCs w:val="24"/>
          <w:highlight w:val="green"/>
          <w:lang w:val="es-CO"/>
        </w:rPr>
        <w:t>En relación con los activos y pasivos, cada uno de los partícipes deberá registrar y declarar su porcentaje de participación respectivo de cada uno de dichos conceptos. Lo anterior, bajo el entendido que dicho activo o pasivo corresponde al contrato y no a un partícipe en particular, dinámica que se replica para los demás conceptos (ingresos, costos y gastos).</w:t>
      </w:r>
    </w:p>
    <w:p w14:paraId="74B223CB" w14:textId="77777777" w:rsidR="007707DB" w:rsidRPr="004A3E58" w:rsidRDefault="007707DB" w:rsidP="004A3E58">
      <w:pPr>
        <w:ind w:left="450" w:hanging="270"/>
        <w:rPr>
          <w:rFonts w:eastAsia="Times New Roman" w:cs="Times New Roman"/>
          <w:color w:val="auto"/>
          <w:szCs w:val="24"/>
          <w:highlight w:val="green"/>
          <w:lang w:val="es-CO"/>
        </w:rPr>
      </w:pPr>
    </w:p>
    <w:p w14:paraId="711418C1" w14:textId="77777777" w:rsidR="007707DB" w:rsidRPr="004A3E58" w:rsidRDefault="007707DB" w:rsidP="004A3E58">
      <w:pPr>
        <w:pStyle w:val="Prrafodelista"/>
        <w:numPr>
          <w:ilvl w:val="0"/>
          <w:numId w:val="2"/>
        </w:numPr>
        <w:rPr>
          <w:rFonts w:eastAsia="Times New Roman" w:cs="Times New Roman"/>
          <w:color w:val="auto"/>
          <w:szCs w:val="24"/>
          <w:highlight w:val="green"/>
          <w:lang w:val="es-CO"/>
        </w:rPr>
      </w:pPr>
      <w:r w:rsidRPr="004A3E58">
        <w:rPr>
          <w:rFonts w:eastAsia="Times New Roman" w:cs="Times New Roman"/>
          <w:color w:val="auto"/>
          <w:szCs w:val="24"/>
          <w:highlight w:val="green"/>
          <w:lang w:val="es-CO"/>
        </w:rPr>
        <w:t>Teniendo en cuenta que la relación entre el partícipe oculto y los terceros no se vio alterada por la modificación introducida por la Ley 1819 de 2016: (i) el partícipe gestor es el obligado a la declaración, pago, certificación de la retención en la fuente que se practique a terceros y, en consecuencia, será el partícipe gestor quien descuente en su declaración de renta las retenciones practicadas a título de dicho impuesto, (ii) el partícipe gestor será quien preste los servicios a terceros y realice la facturación correspondiente, por ende, se causará el IVA en cabeza de éste, teniendo derecho a tomarse el impuesto descontable. En ese sentido, permanecen vigentes los conceptos emitidos por la DIAN en relación con este aspecto puntual.</w:t>
      </w:r>
    </w:p>
    <w:p w14:paraId="2B06A79D" w14:textId="77777777" w:rsidR="007707DB" w:rsidRPr="004A3E58" w:rsidRDefault="007707DB" w:rsidP="004A3E58">
      <w:pPr>
        <w:ind w:left="450" w:hanging="270"/>
        <w:rPr>
          <w:rFonts w:eastAsia="Times New Roman" w:cs="Times New Roman"/>
          <w:color w:val="auto"/>
          <w:szCs w:val="24"/>
          <w:highlight w:val="green"/>
          <w:lang w:val="es-CO"/>
        </w:rPr>
      </w:pPr>
    </w:p>
    <w:p w14:paraId="3959037C" w14:textId="77777777" w:rsidR="007707DB" w:rsidRPr="004A3E58" w:rsidRDefault="007707DB" w:rsidP="004A3E58">
      <w:pPr>
        <w:pStyle w:val="Prrafodelista"/>
        <w:numPr>
          <w:ilvl w:val="0"/>
          <w:numId w:val="2"/>
        </w:numPr>
        <w:rPr>
          <w:rFonts w:eastAsia="Times New Roman" w:cs="Times New Roman"/>
          <w:color w:val="auto"/>
          <w:szCs w:val="24"/>
          <w:highlight w:val="green"/>
          <w:lang w:val="es-CO"/>
        </w:rPr>
      </w:pPr>
      <w:r w:rsidRPr="004A3E58">
        <w:rPr>
          <w:rFonts w:eastAsia="Times New Roman" w:cs="Times New Roman"/>
          <w:color w:val="auto"/>
          <w:szCs w:val="24"/>
          <w:highlight w:val="green"/>
          <w:lang w:val="es-CO"/>
        </w:rPr>
        <w:t>Del tratamiento antes descrito es previsible que los ingresos declarados en renta por el partícipe gestor no coincidan con los ingresos declarados en IVA. Sin embargo, tal diferencia deberá hallar su justificación justamente en la suscripción de un contrato de cuentas en participación, igual situación podrá ocurrir con los ingresos declarados en renta por el partícipe y el valor certificado por retención en la fuente.</w:t>
      </w:r>
    </w:p>
    <w:p w14:paraId="26E77088"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17D4EBFF"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En esos términos se da claridad sobre la interpretación y aplicación a las modificaciones introducidas por la Ley 1819 de 2016 en cuanto a los contratos de cuentas en participación.</w:t>
      </w:r>
    </w:p>
    <w:p w14:paraId="5E6E6044"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lastRenderedPageBreak/>
        <w:t> </w:t>
      </w:r>
    </w:p>
    <w:p w14:paraId="4B6FE73F" w14:textId="77777777" w:rsidR="007707DB" w:rsidRPr="004A3E58" w:rsidRDefault="007707DB" w:rsidP="004A3E58">
      <w:pPr>
        <w:rPr>
          <w:rFonts w:eastAsia="Times New Roman" w:cs="Times New Roman"/>
          <w:color w:val="auto"/>
          <w:sz w:val="36"/>
          <w:szCs w:val="36"/>
          <w:lang w:val="es-CO"/>
        </w:rPr>
      </w:pPr>
      <w:r w:rsidRPr="004A3E58">
        <w:rPr>
          <w:rFonts w:eastAsia="Times New Roman" w:cs="Times New Roman"/>
          <w:color w:val="auto"/>
          <w:sz w:val="36"/>
          <w:szCs w:val="36"/>
          <w:highlight w:val="green"/>
          <w:lang w:val="es-CO"/>
        </w:rPr>
        <w:t>El presente concepto recoge la doctrina proferida por la Unidad Administrativa Especial Dirección de Impuestos y Aduanas Nacionales hasta la fecha y revoca todos los conceptos y oficios expedidos relacionados con la materia y que le sean contrarios.</w:t>
      </w:r>
    </w:p>
    <w:p w14:paraId="1F072DDC"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71771FD2"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020C9F66"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Atentamente,</w:t>
      </w:r>
    </w:p>
    <w:p w14:paraId="394BB2F1"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281CABCF"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 </w:t>
      </w:r>
    </w:p>
    <w:p w14:paraId="6EF7F006" w14:textId="77777777" w:rsidR="007707DB" w:rsidRPr="007707DB" w:rsidRDefault="007707DB" w:rsidP="004A3E58">
      <w:pPr>
        <w:rPr>
          <w:rFonts w:eastAsia="Times New Roman" w:cs="Times New Roman"/>
          <w:color w:val="auto"/>
          <w:szCs w:val="24"/>
          <w:lang w:val="es-CO"/>
        </w:rPr>
      </w:pPr>
      <w:r w:rsidRPr="007707DB">
        <w:rPr>
          <w:rFonts w:eastAsia="Times New Roman" w:cs="Times New Roman"/>
          <w:b/>
          <w:bCs/>
          <w:color w:val="auto"/>
          <w:szCs w:val="24"/>
          <w:lang w:val="es-CO"/>
        </w:rPr>
        <w:t>LILIANA ANDREA FORERO GÓMEZ</w:t>
      </w:r>
    </w:p>
    <w:p w14:paraId="38C00F7D" w14:textId="77777777" w:rsidR="007707DB" w:rsidRDefault="007707DB" w:rsidP="004A3E58">
      <w:pPr>
        <w:rPr>
          <w:rFonts w:eastAsia="Times New Roman" w:cs="Times New Roman"/>
          <w:color w:val="auto"/>
          <w:szCs w:val="24"/>
          <w:lang w:val="es-CO"/>
        </w:rPr>
      </w:pPr>
      <w:r w:rsidRPr="007707DB">
        <w:rPr>
          <w:rFonts w:eastAsia="Times New Roman" w:cs="Times New Roman"/>
          <w:color w:val="auto"/>
          <w:szCs w:val="24"/>
          <w:lang w:val="es-CO"/>
        </w:rPr>
        <w:t>Directora de Gestión Jurídica</w:t>
      </w:r>
    </w:p>
    <w:p w14:paraId="3B1F0B3F" w14:textId="77777777" w:rsidR="007707DB" w:rsidRPr="007707DB" w:rsidRDefault="007707DB" w:rsidP="004A3E58">
      <w:pPr>
        <w:rPr>
          <w:rFonts w:eastAsia="Times New Roman" w:cs="Times New Roman"/>
          <w:color w:val="auto"/>
          <w:szCs w:val="24"/>
          <w:lang w:val="es-CO"/>
        </w:rPr>
      </w:pPr>
      <w:r>
        <w:rPr>
          <w:rFonts w:eastAsia="Times New Roman" w:cs="Times New Roman"/>
          <w:color w:val="auto"/>
          <w:szCs w:val="24"/>
          <w:lang w:val="es-CO"/>
        </w:rPr>
        <w:t>________________________________________________________________________</w:t>
      </w:r>
    </w:p>
    <w:p w14:paraId="30FF4BC0" w14:textId="77777777" w:rsidR="00147980" w:rsidRPr="007707DB" w:rsidRDefault="00147980" w:rsidP="004A3E58">
      <w:pPr>
        <w:rPr>
          <w:rFonts w:cs="Times New Roman"/>
          <w:color w:val="auto"/>
          <w:szCs w:val="24"/>
          <w:lang w:val="es-CO"/>
        </w:rPr>
      </w:pPr>
    </w:p>
    <w:sectPr w:rsidR="00147980" w:rsidRPr="007707DB"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CF05A4"/>
    <w:multiLevelType w:val="hybridMultilevel"/>
    <w:tmpl w:val="E876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CF0C4A"/>
    <w:multiLevelType w:val="hybridMultilevel"/>
    <w:tmpl w:val="E120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DB"/>
    <w:rsid w:val="00147980"/>
    <w:rsid w:val="001F1606"/>
    <w:rsid w:val="004A3E58"/>
    <w:rsid w:val="007707DB"/>
    <w:rsid w:val="00A61912"/>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ECF7"/>
  <w15:chartTrackingRefBased/>
  <w15:docId w15:val="{2CAFF4AB-E517-412F-9D0B-30A6189F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1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66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55" TargetMode="External"/><Relationship Id="rId3" Type="http://schemas.openxmlformats.org/officeDocument/2006/relationships/settings" Target="settings.xml"/><Relationship Id="rId7" Type="http://schemas.openxmlformats.org/officeDocument/2006/relationships/hyperlink" Target="https://www.ceta.org.co/html/vista_de_un_articulo.asp?Norma=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articulo.asp?Norma=42" TargetMode="External"/><Relationship Id="rId5" Type="http://schemas.openxmlformats.org/officeDocument/2006/relationships/hyperlink" Target="https://www.ceta.org.co/html/vista_de_un_articulo.asp?Norma=4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2055</Words>
  <Characters>11308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 Alzate Duque</cp:lastModifiedBy>
  <cp:revision>4</cp:revision>
  <dcterms:created xsi:type="dcterms:W3CDTF">2018-04-19T23:48:00Z</dcterms:created>
  <dcterms:modified xsi:type="dcterms:W3CDTF">2021-01-15T16:41:00Z</dcterms:modified>
</cp:coreProperties>
</file>