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6C125" w14:textId="45F8FE2C" w:rsidR="009814ED" w:rsidRPr="009F0425" w:rsidRDefault="009F0425" w:rsidP="009F0425">
      <w:pPr>
        <w:pStyle w:val="Sinespaciado"/>
        <w:jc w:val="both"/>
        <w:rPr>
          <w:rFonts w:ascii="Verdana" w:hAnsi="Verdana"/>
          <w:b/>
          <w:bCs/>
        </w:rPr>
      </w:pPr>
      <w:r w:rsidRPr="009F0425">
        <w:rPr>
          <w:rFonts w:ascii="Verdana" w:hAnsi="Verdana"/>
          <w:b/>
          <w:bCs/>
        </w:rPr>
        <w:t>CONCEPTO 657 DEL 3 DE MAYO DE 2021</w:t>
      </w:r>
    </w:p>
    <w:p w14:paraId="7C3BABE8" w14:textId="2973FA8F" w:rsidR="009F0425" w:rsidRPr="009F0425" w:rsidRDefault="009F0425" w:rsidP="009F0425">
      <w:pPr>
        <w:pStyle w:val="Sinespaciado"/>
        <w:jc w:val="both"/>
        <w:rPr>
          <w:rFonts w:ascii="Verdana" w:hAnsi="Verdana"/>
          <w:b/>
          <w:bCs/>
        </w:rPr>
      </w:pPr>
      <w:r w:rsidRPr="009F0425">
        <w:rPr>
          <w:rFonts w:ascii="Verdana" w:hAnsi="Verdana"/>
          <w:b/>
          <w:bCs/>
        </w:rPr>
        <w:t>DIRECCIÓN DE IMPUESTOS Y ADUANAS NACIONALES</w:t>
      </w:r>
    </w:p>
    <w:p w14:paraId="287C94F0" w14:textId="77777777" w:rsidR="009814ED" w:rsidRPr="009F0425" w:rsidRDefault="009814ED" w:rsidP="009F0425">
      <w:pPr>
        <w:pStyle w:val="Sinespaciado"/>
        <w:jc w:val="both"/>
        <w:rPr>
          <w:rFonts w:ascii="Verdana" w:hAnsi="Verdana"/>
        </w:rPr>
      </w:pPr>
    </w:p>
    <w:p w14:paraId="4E6A95A0" w14:textId="358875D5" w:rsidR="009814ED" w:rsidRPr="009F0425" w:rsidRDefault="009F0425" w:rsidP="009F0425">
      <w:pPr>
        <w:pStyle w:val="Sinespaciado"/>
        <w:jc w:val="both"/>
        <w:rPr>
          <w:rFonts w:ascii="Verdana" w:hAnsi="Verdana"/>
        </w:rPr>
      </w:pPr>
      <w:r>
        <w:rPr>
          <w:rFonts w:ascii="Verdana" w:hAnsi="Verdana"/>
        </w:rPr>
        <w:t>Bogotá, D.C</w:t>
      </w:r>
    </w:p>
    <w:p w14:paraId="69FAFE2E" w14:textId="77777777" w:rsidR="009814ED" w:rsidRPr="009F0425" w:rsidRDefault="009814ED" w:rsidP="009F0425">
      <w:pPr>
        <w:pStyle w:val="Sinespaciado"/>
        <w:jc w:val="both"/>
        <w:rPr>
          <w:rFonts w:ascii="Verdana" w:hAnsi="Verdana"/>
        </w:rPr>
      </w:pPr>
    </w:p>
    <w:p w14:paraId="646BFCE6" w14:textId="461B8B49" w:rsidR="009814ED" w:rsidRPr="009F0425" w:rsidRDefault="00965B21" w:rsidP="009F0425">
      <w:pPr>
        <w:pStyle w:val="Sinespaciado"/>
        <w:jc w:val="both"/>
        <w:rPr>
          <w:rFonts w:ascii="Verdana" w:hAnsi="Verdana"/>
        </w:rPr>
      </w:pPr>
      <w:r w:rsidRPr="009F0425">
        <w:rPr>
          <w:rFonts w:ascii="Verdana" w:hAnsi="Verdana"/>
          <w:b/>
          <w:bCs/>
        </w:rPr>
        <w:t>Tema</w:t>
      </w:r>
      <w:r w:rsidR="009F0425">
        <w:rPr>
          <w:rFonts w:ascii="Verdana" w:hAnsi="Verdana"/>
          <w:b/>
          <w:bCs/>
        </w:rPr>
        <w:tab/>
      </w:r>
      <w:r w:rsidR="009F0425">
        <w:rPr>
          <w:rFonts w:ascii="Verdana" w:hAnsi="Verdana"/>
          <w:b/>
          <w:bCs/>
        </w:rPr>
        <w:tab/>
      </w:r>
      <w:r w:rsidR="009F0425">
        <w:rPr>
          <w:rFonts w:ascii="Verdana" w:hAnsi="Verdana"/>
          <w:b/>
          <w:bCs/>
        </w:rPr>
        <w:tab/>
      </w:r>
      <w:r w:rsidRPr="009F0425">
        <w:rPr>
          <w:rFonts w:ascii="Verdana" w:hAnsi="Verdana"/>
        </w:rPr>
        <w:t>Impuesto sobre la renta</w:t>
      </w:r>
    </w:p>
    <w:p w14:paraId="1DD1F214" w14:textId="3FAB57FA" w:rsidR="009814ED" w:rsidRPr="009F0425" w:rsidRDefault="00965B21" w:rsidP="009F0425">
      <w:pPr>
        <w:pStyle w:val="Sinespaciado"/>
        <w:jc w:val="both"/>
        <w:rPr>
          <w:rFonts w:ascii="Verdana" w:hAnsi="Verdana"/>
        </w:rPr>
      </w:pPr>
      <w:r w:rsidRPr="009F0425">
        <w:rPr>
          <w:rFonts w:ascii="Verdana" w:hAnsi="Verdana"/>
          <w:b/>
          <w:bCs/>
        </w:rPr>
        <w:t>Descriptores</w:t>
      </w:r>
      <w:r w:rsidR="009F0425">
        <w:rPr>
          <w:rFonts w:ascii="Verdana" w:hAnsi="Verdana"/>
          <w:b/>
          <w:bCs/>
        </w:rPr>
        <w:tab/>
      </w:r>
      <w:r w:rsidR="009F0425">
        <w:rPr>
          <w:rFonts w:ascii="Verdana" w:hAnsi="Verdana"/>
          <w:b/>
          <w:bCs/>
        </w:rPr>
        <w:tab/>
      </w:r>
      <w:r w:rsidRPr="009F0425">
        <w:rPr>
          <w:rFonts w:ascii="Verdana" w:hAnsi="Verdana"/>
        </w:rPr>
        <w:t>Régimen Tributario Especial</w:t>
      </w:r>
    </w:p>
    <w:p w14:paraId="1A4099AC" w14:textId="5896F502" w:rsidR="009814ED" w:rsidRPr="009F0425" w:rsidRDefault="00965B21" w:rsidP="009F0425">
      <w:pPr>
        <w:pStyle w:val="Sinespaciado"/>
        <w:ind w:left="2832" w:hanging="2832"/>
        <w:jc w:val="both"/>
        <w:rPr>
          <w:rFonts w:ascii="Verdana" w:hAnsi="Verdana"/>
        </w:rPr>
      </w:pPr>
      <w:r w:rsidRPr="009F0425">
        <w:rPr>
          <w:rFonts w:ascii="Verdana" w:hAnsi="Verdana"/>
          <w:b/>
          <w:bCs/>
        </w:rPr>
        <w:t>Fuentes formales</w:t>
      </w:r>
      <w:r w:rsidR="009F0425">
        <w:rPr>
          <w:rFonts w:ascii="Verdana" w:hAnsi="Verdana"/>
          <w:b/>
          <w:bCs/>
        </w:rPr>
        <w:tab/>
      </w:r>
      <w:r w:rsidRPr="009F0425">
        <w:rPr>
          <w:rFonts w:ascii="Verdana" w:hAnsi="Verdana"/>
        </w:rPr>
        <w:t>Artículos 74, 74-1, 143, 357 y 358 del Estatuto Tributario</w:t>
      </w:r>
    </w:p>
    <w:p w14:paraId="3B541C00" w14:textId="33F27083" w:rsidR="009814ED" w:rsidRPr="009F0425" w:rsidRDefault="00965B21" w:rsidP="009F0425">
      <w:pPr>
        <w:pStyle w:val="Sinespaciado"/>
        <w:ind w:left="2832"/>
        <w:jc w:val="both"/>
        <w:rPr>
          <w:rFonts w:ascii="Verdana" w:hAnsi="Verdana"/>
        </w:rPr>
      </w:pPr>
      <w:r w:rsidRPr="009F0425">
        <w:rPr>
          <w:rFonts w:ascii="Verdana" w:hAnsi="Verdana"/>
        </w:rPr>
        <w:t>Artículos</w:t>
      </w:r>
      <w:r w:rsidR="009F0425">
        <w:rPr>
          <w:rFonts w:ascii="Verdana" w:hAnsi="Verdana"/>
        </w:rPr>
        <w:t xml:space="preserve"> 1.2.1.5.1.21. y</w:t>
      </w:r>
      <w:r w:rsidRPr="009F0425">
        <w:rPr>
          <w:rFonts w:ascii="Verdana" w:hAnsi="Verdana"/>
        </w:rPr>
        <w:t xml:space="preserve"> 1.2.1.5.1.22. del Decreto 1625 de 2016. Descriptor 4.49. Concepto General Unificado No.0481 del 27 abril de 2018.</w:t>
      </w:r>
    </w:p>
    <w:p w14:paraId="1CF11B40" w14:textId="77777777" w:rsidR="009F0425" w:rsidRDefault="009F0425" w:rsidP="009F0425">
      <w:pPr>
        <w:pStyle w:val="Sinespaciado"/>
        <w:jc w:val="both"/>
        <w:rPr>
          <w:rFonts w:ascii="Verdana" w:hAnsi="Verdana"/>
        </w:rPr>
      </w:pPr>
    </w:p>
    <w:p w14:paraId="24C2EE8A" w14:textId="76D322F5" w:rsidR="009814ED" w:rsidRPr="009F0425" w:rsidRDefault="00965B21" w:rsidP="009F0425">
      <w:pPr>
        <w:pStyle w:val="Sinespaciado"/>
        <w:jc w:val="both"/>
        <w:rPr>
          <w:rFonts w:ascii="Verdana" w:hAnsi="Verdana"/>
        </w:rPr>
      </w:pPr>
      <w:r w:rsidRPr="009F0425">
        <w:rPr>
          <w:rFonts w:ascii="Verdana" w:hAnsi="Verdana"/>
        </w:rPr>
        <w:t>Cordial saludo.</w:t>
      </w:r>
    </w:p>
    <w:p w14:paraId="21387DB5" w14:textId="77777777" w:rsidR="009F0425" w:rsidRDefault="009F0425" w:rsidP="009F0425">
      <w:pPr>
        <w:pStyle w:val="Sinespaciado"/>
        <w:jc w:val="both"/>
        <w:rPr>
          <w:rFonts w:ascii="Verdana" w:hAnsi="Verdana"/>
        </w:rPr>
      </w:pPr>
    </w:p>
    <w:p w14:paraId="6545E2FF" w14:textId="68AF1EAB" w:rsidR="009814ED" w:rsidRPr="009F0425" w:rsidRDefault="00965B21" w:rsidP="009F0425">
      <w:pPr>
        <w:pStyle w:val="Sinespaciado"/>
        <w:jc w:val="both"/>
        <w:rPr>
          <w:rFonts w:ascii="Verdana" w:hAnsi="Verdana"/>
        </w:rPr>
      </w:pPr>
      <w:r w:rsidRPr="009F0425">
        <w:rPr>
          <w:rFonts w:ascii="Verdana" w:hAnsi="Verdana"/>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73ACB99D" w14:textId="77777777" w:rsidR="009F0425" w:rsidRDefault="009F0425" w:rsidP="009F0425">
      <w:pPr>
        <w:pStyle w:val="Sinespaciado"/>
        <w:jc w:val="both"/>
        <w:rPr>
          <w:rFonts w:ascii="Verdana" w:hAnsi="Verdana"/>
        </w:rPr>
      </w:pPr>
    </w:p>
    <w:p w14:paraId="452239B0" w14:textId="0ACECD16" w:rsidR="009814ED" w:rsidRPr="009F0425" w:rsidRDefault="00965B21" w:rsidP="009F0425">
      <w:pPr>
        <w:pStyle w:val="Sinespaciado"/>
        <w:jc w:val="both"/>
        <w:rPr>
          <w:rFonts w:ascii="Verdana" w:hAnsi="Verdana"/>
        </w:rPr>
      </w:pPr>
      <w:r w:rsidRPr="009F0425">
        <w:rPr>
          <w:rFonts w:ascii="Verdana" w:hAnsi="Verdana"/>
        </w:rPr>
        <w:t>Mediante el radicado de la referencia, el peticionario pregunta si es posible tratar como egreso, en los términos del artículo</w:t>
      </w:r>
      <w:r w:rsidR="009F0425">
        <w:rPr>
          <w:rFonts w:ascii="Verdana" w:hAnsi="Verdana"/>
        </w:rPr>
        <w:t xml:space="preserve"> 1.2.1.5.1.21. </w:t>
      </w:r>
      <w:r w:rsidRPr="009F0425">
        <w:rPr>
          <w:rFonts w:ascii="Verdana" w:hAnsi="Verdana"/>
        </w:rPr>
        <w:t>del Decreto 1625 de 2016, y de esta manera aplicar lo contenido en el artículo 358 del Estatuto Tributario, a algunas erogaciones que van destinadas al desarrollo de intangibles e inversiones necesarios para el desarrollo del objeto social.</w:t>
      </w:r>
    </w:p>
    <w:p w14:paraId="6D665AEB" w14:textId="77777777" w:rsidR="009F0425" w:rsidRDefault="009F0425" w:rsidP="009F0425">
      <w:pPr>
        <w:pStyle w:val="Sinespaciado"/>
        <w:jc w:val="both"/>
        <w:rPr>
          <w:rFonts w:ascii="Verdana" w:hAnsi="Verdana"/>
        </w:rPr>
      </w:pPr>
    </w:p>
    <w:p w14:paraId="4D0BE1BD" w14:textId="7FA3F877" w:rsidR="009814ED" w:rsidRPr="009F0425" w:rsidRDefault="00965B21" w:rsidP="009F0425">
      <w:pPr>
        <w:pStyle w:val="Sinespaciado"/>
        <w:jc w:val="both"/>
        <w:rPr>
          <w:rFonts w:ascii="Verdana" w:hAnsi="Verdana"/>
        </w:rPr>
      </w:pPr>
      <w:r w:rsidRPr="009F0425">
        <w:rPr>
          <w:rFonts w:ascii="Verdana" w:hAnsi="Verdana"/>
        </w:rPr>
        <w:t xml:space="preserve">Estos gastos comprenden, entre otros, la compra de equipos audivisuales </w:t>
      </w:r>
      <w:r w:rsidR="009F0425">
        <w:rPr>
          <w:rFonts w:ascii="Verdana" w:hAnsi="Verdana"/>
        </w:rPr>
        <w:t xml:space="preserve">(sic) </w:t>
      </w:r>
      <w:r w:rsidRPr="009F0425">
        <w:rPr>
          <w:rFonts w:ascii="Verdana" w:hAnsi="Verdana"/>
        </w:rPr>
        <w:t>y de cómputo, infraestructura tecnológica, licencias de desarrollo para la construcción de Objetos Virtuales de Aprendizaje con el fin de implementar el modelo educativo virtual (uno de los ejes de la actividad meritoria que desarrolla la entidad), así como gastos relacionados con la construcción de programas académicos, para ser ofrecido en modalidad presencial o virtual</w:t>
      </w:r>
    </w:p>
    <w:p w14:paraId="53F30D75" w14:textId="77777777" w:rsidR="009F0425" w:rsidRDefault="009F0425" w:rsidP="009F0425">
      <w:pPr>
        <w:pStyle w:val="Sinespaciado"/>
        <w:jc w:val="both"/>
        <w:rPr>
          <w:rFonts w:ascii="Verdana" w:hAnsi="Verdana"/>
        </w:rPr>
      </w:pPr>
    </w:p>
    <w:p w14:paraId="5BDFF077" w14:textId="507FDAA0" w:rsidR="009814ED" w:rsidRPr="009F0425" w:rsidRDefault="00965B21" w:rsidP="009F0425">
      <w:pPr>
        <w:pStyle w:val="Sinespaciado"/>
        <w:jc w:val="both"/>
        <w:rPr>
          <w:rFonts w:ascii="Verdana" w:hAnsi="Verdana"/>
        </w:rPr>
      </w:pPr>
      <w:r w:rsidRPr="009F0425">
        <w:rPr>
          <w:rFonts w:ascii="Verdana" w:hAnsi="Verdana"/>
        </w:rPr>
        <w:t>Sobre el particular, las consideraciones de este Despacho son las siguientes:</w:t>
      </w:r>
    </w:p>
    <w:p w14:paraId="4712B08C" w14:textId="77777777" w:rsidR="009F0425" w:rsidRDefault="009F0425" w:rsidP="009F0425">
      <w:pPr>
        <w:pStyle w:val="Sinespaciado"/>
        <w:jc w:val="both"/>
        <w:rPr>
          <w:rFonts w:ascii="Verdana" w:hAnsi="Verdana"/>
        </w:rPr>
      </w:pPr>
    </w:p>
    <w:p w14:paraId="3918F925" w14:textId="18566FFB" w:rsidR="009814ED" w:rsidRPr="009F0425" w:rsidRDefault="00965B21" w:rsidP="009F0425">
      <w:pPr>
        <w:pStyle w:val="Sinespaciado"/>
        <w:jc w:val="both"/>
        <w:rPr>
          <w:rFonts w:ascii="Verdana" w:hAnsi="Verdana"/>
        </w:rPr>
      </w:pPr>
      <w:r w:rsidRPr="009F0425">
        <w:rPr>
          <w:rFonts w:ascii="Verdana" w:hAnsi="Verdana"/>
        </w:rPr>
        <w:lastRenderedPageBreak/>
        <w:t>Según lo establecido en el artículo 357 del Estatuto Tributario para determinar el beneficio neto o excedente, se toma la totalidad de los ingresos, cualquiera sea su naturaleza, y se restará el valor de los egresos de cualquier naturaleza, que tengan relación de causalidad con los ingresos o con el cumplimiento del objeto.</w:t>
      </w:r>
    </w:p>
    <w:p w14:paraId="65B0F6C2" w14:textId="77777777" w:rsidR="009F0425" w:rsidRDefault="009F0425" w:rsidP="009F0425">
      <w:pPr>
        <w:pStyle w:val="Sinespaciado"/>
        <w:jc w:val="both"/>
        <w:rPr>
          <w:rFonts w:ascii="Verdana" w:hAnsi="Verdana"/>
        </w:rPr>
      </w:pPr>
    </w:p>
    <w:p w14:paraId="0E1ADA35" w14:textId="20980C76" w:rsidR="009814ED" w:rsidRPr="009F0425" w:rsidRDefault="00965B21" w:rsidP="009F0425">
      <w:pPr>
        <w:pStyle w:val="Sinespaciado"/>
        <w:jc w:val="both"/>
        <w:rPr>
          <w:rFonts w:ascii="Verdana" w:hAnsi="Verdana"/>
        </w:rPr>
      </w:pPr>
      <w:r w:rsidRPr="009F0425">
        <w:rPr>
          <w:rFonts w:ascii="Verdana" w:hAnsi="Verdana"/>
        </w:rPr>
        <w:t>En cuanto al concepto de egreso, la reglamentación precisa en el artículo</w:t>
      </w:r>
      <w:r w:rsidR="009F0425">
        <w:rPr>
          <w:rFonts w:ascii="Verdana" w:hAnsi="Verdana"/>
        </w:rPr>
        <w:t xml:space="preserve"> 1.2.1.5.1.21. </w:t>
      </w:r>
      <w:r w:rsidRPr="009F0425">
        <w:rPr>
          <w:rFonts w:ascii="Verdana" w:hAnsi="Verdana"/>
        </w:rPr>
        <w:t>del Decreto 1625 de 2016 que este comprende los costos y gastos devengados contablemente en el año o periodo gravable, aplicando las limitaciones, excepciones de que trata el Título I del Libro Primero del Estatuto Tributario y demás requisitos y condiciones allí previstos.</w:t>
      </w:r>
    </w:p>
    <w:p w14:paraId="72881BB7" w14:textId="77777777" w:rsidR="009F0425" w:rsidRDefault="009F0425" w:rsidP="009F0425">
      <w:pPr>
        <w:pStyle w:val="Sinespaciado"/>
        <w:jc w:val="both"/>
        <w:rPr>
          <w:rFonts w:ascii="Verdana" w:hAnsi="Verdana"/>
        </w:rPr>
      </w:pPr>
    </w:p>
    <w:p w14:paraId="3731EDF5" w14:textId="686B2C1C" w:rsidR="009814ED" w:rsidRPr="009F0425" w:rsidRDefault="00965B21" w:rsidP="009F0425">
      <w:pPr>
        <w:pStyle w:val="Sinespaciado"/>
        <w:jc w:val="both"/>
        <w:rPr>
          <w:rFonts w:ascii="Verdana" w:hAnsi="Verdana"/>
        </w:rPr>
      </w:pPr>
      <w:r w:rsidRPr="009F0425">
        <w:rPr>
          <w:rFonts w:ascii="Verdana" w:hAnsi="Verdana"/>
        </w:rPr>
        <w:t xml:space="preserve">Al respecto el descriptor 4.49. Concepto General Unificado No.0481 del 27 abril de 2018 al analizar si era posible tratar como egreso la adquisición de activos, tales como propiedad, planta y equipo, propiedades de inversión, </w:t>
      </w:r>
      <w:r w:rsidRPr="009F0425">
        <w:rPr>
          <w:rStyle w:val="Cuerpodeltexto211"/>
          <w:rFonts w:ascii="Verdana" w:hAnsi="Verdana"/>
          <w:sz w:val="24"/>
          <w:szCs w:val="24"/>
        </w:rPr>
        <w:t>intangibles</w:t>
      </w:r>
      <w:r w:rsidRPr="009F0425">
        <w:rPr>
          <w:rFonts w:ascii="Verdana" w:hAnsi="Verdana"/>
        </w:rPr>
        <w:t xml:space="preserve">, inventarios e </w:t>
      </w:r>
      <w:r w:rsidRPr="009F0425">
        <w:rPr>
          <w:rStyle w:val="Cuerpodeltexto211"/>
          <w:rFonts w:ascii="Verdana" w:hAnsi="Verdana"/>
          <w:sz w:val="24"/>
          <w:szCs w:val="24"/>
        </w:rPr>
        <w:t>inversiones</w:t>
      </w:r>
      <w:r w:rsidRPr="009F0425">
        <w:rPr>
          <w:rFonts w:ascii="Verdana" w:hAnsi="Verdana"/>
        </w:rPr>
        <w:t xml:space="preserve"> precisó:</w:t>
      </w:r>
    </w:p>
    <w:p w14:paraId="0420D78D" w14:textId="77777777" w:rsidR="009F0425" w:rsidRDefault="009F0425" w:rsidP="009F0425">
      <w:pPr>
        <w:pStyle w:val="Sinespaciado"/>
        <w:jc w:val="both"/>
        <w:rPr>
          <w:rFonts w:ascii="Verdana" w:hAnsi="Verdana"/>
        </w:rPr>
      </w:pPr>
    </w:p>
    <w:p w14:paraId="63FFBA15" w14:textId="2901915D" w:rsidR="009F0425" w:rsidRPr="009F0425" w:rsidRDefault="009F0425" w:rsidP="009F0425">
      <w:pPr>
        <w:pStyle w:val="Sinespaciado"/>
        <w:ind w:left="708"/>
        <w:jc w:val="both"/>
        <w:rPr>
          <w:rFonts w:ascii="Verdana" w:hAnsi="Verdana"/>
          <w:i/>
          <w:iCs/>
        </w:rPr>
      </w:pPr>
      <w:r w:rsidRPr="009F0425">
        <w:rPr>
          <w:rFonts w:ascii="Verdana" w:hAnsi="Verdana"/>
          <w:i/>
          <w:iCs/>
        </w:rPr>
        <w:t>“(…)</w:t>
      </w:r>
    </w:p>
    <w:p w14:paraId="68226066" w14:textId="77777777" w:rsidR="009F0425" w:rsidRPr="009F0425" w:rsidRDefault="009F0425" w:rsidP="009F0425">
      <w:pPr>
        <w:pStyle w:val="Sinespaciado"/>
        <w:ind w:left="708"/>
        <w:jc w:val="both"/>
        <w:rPr>
          <w:rFonts w:ascii="Verdana" w:hAnsi="Verdana"/>
          <w:i/>
          <w:iCs/>
        </w:rPr>
      </w:pPr>
    </w:p>
    <w:p w14:paraId="1182AD84" w14:textId="6492A074" w:rsidR="009814ED" w:rsidRPr="009F0425" w:rsidRDefault="00965B21" w:rsidP="009F0425">
      <w:pPr>
        <w:pStyle w:val="Sinespaciado"/>
        <w:ind w:left="708"/>
        <w:jc w:val="both"/>
        <w:rPr>
          <w:rFonts w:ascii="Verdana" w:hAnsi="Verdana"/>
          <w:i/>
          <w:iCs/>
        </w:rPr>
      </w:pPr>
      <w:r w:rsidRPr="009F0425">
        <w:rPr>
          <w:rFonts w:ascii="Verdana" w:hAnsi="Verdana"/>
          <w:i/>
          <w:iCs/>
        </w:rPr>
        <w:t xml:space="preserve">En consideración a lo anteriormente establecido, las entidades del Régimen Tributario Especial deberán considerar el tratamiento que establece el Estatuto Tributario a cada uno de los siguientes conceptos: para el caso de la propiedad, planta y equipo y propiedades de inversión, deberá aplicar los artículos 69 y 127 y siguientes del E.T.; </w:t>
      </w:r>
      <w:r w:rsidRPr="009F0425">
        <w:rPr>
          <w:rStyle w:val="Cuerpodeltexto7Negrita"/>
          <w:rFonts w:ascii="Verdana" w:hAnsi="Verdana"/>
          <w:sz w:val="24"/>
          <w:szCs w:val="24"/>
        </w:rPr>
        <w:t>tratándose del tratamiento de intangibles e inversiones, será lo correspondiente a los artículos 74, 74-1, 142 al 143-1 del E.T.</w:t>
      </w:r>
      <w:r w:rsidRPr="009F0425">
        <w:rPr>
          <w:rFonts w:ascii="Verdana" w:hAnsi="Verdana"/>
          <w:i/>
          <w:iCs/>
        </w:rPr>
        <w:t>; en cuanto a los inventarios, se aplicarán las disposiciones contenidas en el artículo 59 y siguientes del mismo estatuto.</w:t>
      </w:r>
    </w:p>
    <w:p w14:paraId="745D080E" w14:textId="77777777" w:rsidR="009F0425" w:rsidRDefault="009F0425" w:rsidP="009F0425">
      <w:pPr>
        <w:pStyle w:val="Sinespaciado"/>
        <w:ind w:left="708"/>
        <w:jc w:val="both"/>
        <w:rPr>
          <w:rStyle w:val="Cuerpodeltexto9Sinnegrita"/>
          <w:rFonts w:ascii="Verdana" w:hAnsi="Verdana"/>
          <w:b w:val="0"/>
          <w:bCs w:val="0"/>
          <w:sz w:val="24"/>
          <w:szCs w:val="24"/>
        </w:rPr>
      </w:pPr>
    </w:p>
    <w:p w14:paraId="5D476ECD" w14:textId="300B0616" w:rsidR="009814ED" w:rsidRPr="009F0425" w:rsidRDefault="00965B21" w:rsidP="009F0425">
      <w:pPr>
        <w:pStyle w:val="Sinespaciado"/>
        <w:ind w:left="708"/>
        <w:jc w:val="both"/>
        <w:rPr>
          <w:rFonts w:ascii="Verdana" w:hAnsi="Verdana"/>
          <w:i/>
          <w:iCs/>
        </w:rPr>
      </w:pPr>
      <w:r w:rsidRPr="009F0425">
        <w:rPr>
          <w:rStyle w:val="Cuerpodeltexto9Sinnegrita"/>
          <w:rFonts w:ascii="Verdana" w:hAnsi="Verdana"/>
          <w:b w:val="0"/>
          <w:bCs w:val="0"/>
          <w:sz w:val="24"/>
          <w:szCs w:val="24"/>
        </w:rPr>
        <w:t xml:space="preserve">En ese orden de ideas, </w:t>
      </w:r>
      <w:r w:rsidRPr="009F0425">
        <w:rPr>
          <w:rFonts w:ascii="Verdana" w:hAnsi="Verdana"/>
          <w:b/>
          <w:bCs/>
          <w:i/>
          <w:iCs/>
        </w:rPr>
        <w:t>la entidad deberá evaluar en cada caso el tratamiento fiscal que tenga el activo adquirido y reconocer los efectos de las depreciaciones, amortizaciones o egresos, según corresponda</w:t>
      </w:r>
      <w:r w:rsidRPr="009F0425">
        <w:rPr>
          <w:rStyle w:val="Cuerpodeltexto9Sinnegrita"/>
          <w:rFonts w:ascii="Verdana" w:hAnsi="Verdana"/>
          <w:b w:val="0"/>
          <w:bCs w:val="0"/>
          <w:sz w:val="24"/>
          <w:szCs w:val="24"/>
        </w:rPr>
        <w:t>. (...)”</w:t>
      </w:r>
      <w:r w:rsidR="009F0425">
        <w:rPr>
          <w:rStyle w:val="Cuerpodeltexto9Sinnegrita"/>
          <w:rFonts w:ascii="Verdana" w:hAnsi="Verdana"/>
          <w:b w:val="0"/>
          <w:bCs w:val="0"/>
          <w:sz w:val="24"/>
          <w:szCs w:val="24"/>
        </w:rPr>
        <w:t xml:space="preserve"> </w:t>
      </w:r>
      <w:r w:rsidRPr="009F0425">
        <w:rPr>
          <w:rStyle w:val="Cuerpodeltexto995ptoSinnegritaSincursiva"/>
          <w:rFonts w:ascii="Verdana" w:hAnsi="Verdana"/>
          <w:b w:val="0"/>
          <w:bCs w:val="0"/>
          <w:i w:val="0"/>
          <w:iCs w:val="0"/>
          <w:sz w:val="24"/>
          <w:szCs w:val="24"/>
        </w:rPr>
        <w:t>(Negrilla fuera del texto)</w:t>
      </w:r>
    </w:p>
    <w:p w14:paraId="283F8ADA" w14:textId="77777777" w:rsidR="009F0425" w:rsidRDefault="009F0425" w:rsidP="009F0425">
      <w:pPr>
        <w:pStyle w:val="Sinespaciado"/>
        <w:jc w:val="both"/>
        <w:rPr>
          <w:rFonts w:ascii="Verdana" w:hAnsi="Verdana"/>
        </w:rPr>
      </w:pPr>
    </w:p>
    <w:p w14:paraId="1872A41D" w14:textId="31F53D5B" w:rsidR="009814ED" w:rsidRPr="009F0425" w:rsidRDefault="00965B21" w:rsidP="009F0425">
      <w:pPr>
        <w:pStyle w:val="Sinespaciado"/>
        <w:jc w:val="both"/>
        <w:rPr>
          <w:rFonts w:ascii="Verdana" w:hAnsi="Verdana"/>
        </w:rPr>
      </w:pPr>
      <w:r w:rsidRPr="009F0425">
        <w:rPr>
          <w:rFonts w:ascii="Verdana" w:hAnsi="Verdana"/>
        </w:rPr>
        <w:t>Excede del ámbito de competencia atribuido a este Despacho el evaluar cada rubro mencionado en los antecedentes de la consulta, razón por la cual se proporcionan los elementos consagrados en la ley, el reglamento y la interpretación oficial.</w:t>
      </w:r>
    </w:p>
    <w:p w14:paraId="309749EE" w14:textId="77777777" w:rsidR="009F0425" w:rsidRDefault="009F0425" w:rsidP="009F0425">
      <w:pPr>
        <w:pStyle w:val="Sinespaciado"/>
        <w:jc w:val="both"/>
        <w:rPr>
          <w:rFonts w:ascii="Verdana" w:hAnsi="Verdana"/>
        </w:rPr>
      </w:pPr>
    </w:p>
    <w:p w14:paraId="010EA6C2" w14:textId="0C4B66D2" w:rsidR="009814ED" w:rsidRPr="009F0425" w:rsidRDefault="00965B21" w:rsidP="009F0425">
      <w:pPr>
        <w:pStyle w:val="Sinespaciado"/>
        <w:jc w:val="both"/>
        <w:rPr>
          <w:rFonts w:ascii="Verdana" w:hAnsi="Verdana"/>
        </w:rPr>
      </w:pPr>
      <w:r w:rsidRPr="009F0425">
        <w:rPr>
          <w:rFonts w:ascii="Verdana" w:hAnsi="Verdana"/>
        </w:rPr>
        <w:t xml:space="preserve">En los anteriores términos se resuelve su solicitud y finalmente le manifestamos que la Dirección de Impuestos y Aduanas Nacionales-DIAN-, con el fin de facilitar a los contribuyentes, usuarios y público en </w:t>
      </w:r>
      <w:r w:rsidRPr="009F0425">
        <w:rPr>
          <w:rFonts w:ascii="Verdana" w:hAnsi="Verdana"/>
        </w:rPr>
        <w:lastRenderedPageBreak/>
        <w:t xml:space="preserve">general el acceso directo a sus pronunciamientos doctrinarios, ha publicado en su página de internet </w:t>
      </w:r>
      <w:r w:rsidR="009F0425" w:rsidRPr="009F0425">
        <w:rPr>
          <w:rStyle w:val="Cuerpodeltexto212"/>
          <w:rFonts w:ascii="Verdana" w:eastAsia="Microsoft Sans Serif" w:hAnsi="Verdana" w:cs="Microsoft Sans Serif"/>
          <w:sz w:val="24"/>
          <w:szCs w:val="24"/>
          <w:lang w:val="es-ES" w:eastAsia="es-ES" w:bidi="es-ES"/>
        </w:rPr>
        <w:t>www.dian.gov.co</w:t>
      </w:r>
      <w:r w:rsidR="009F0425" w:rsidRPr="009F0425">
        <w:rPr>
          <w:rStyle w:val="Cuerpodeltexto212"/>
          <w:rFonts w:ascii="Verdana" w:eastAsia="Microsoft Sans Serif" w:hAnsi="Verdana" w:cs="Microsoft Sans Serif"/>
          <w:sz w:val="24"/>
          <w:szCs w:val="24"/>
        </w:rPr>
        <w:t>,</w:t>
      </w:r>
      <w:r w:rsidRPr="009F0425">
        <w:rPr>
          <w:rFonts w:ascii="Verdana" w:hAnsi="Verdana"/>
          <w:lang w:val="en-US" w:eastAsia="en-US" w:bidi="en-US"/>
        </w:rPr>
        <w:t xml:space="preserve"> </w:t>
      </w:r>
      <w:r w:rsidRPr="009F0425">
        <w:rPr>
          <w:rFonts w:ascii="Verdana" w:hAnsi="Verdana"/>
        </w:rPr>
        <w:t>la base de conceptos en materia tributaria, aduanera y cambiaria expedidos desde el año 2001, la cual se puede ingresar por el icono de “Normatividad” -“técnica”-, dando click en el link “Doctrina Dirección de Gestión Jurídica”.</w:t>
      </w:r>
    </w:p>
    <w:p w14:paraId="7EFA9543" w14:textId="77777777" w:rsidR="009F0425" w:rsidRDefault="009F0425" w:rsidP="009F0425">
      <w:pPr>
        <w:pStyle w:val="Sinespaciado"/>
        <w:jc w:val="both"/>
        <w:rPr>
          <w:rFonts w:ascii="Verdana" w:hAnsi="Verdana"/>
        </w:rPr>
      </w:pPr>
    </w:p>
    <w:p w14:paraId="39102406" w14:textId="77777777" w:rsidR="009F0425" w:rsidRDefault="009F0425" w:rsidP="009F0425">
      <w:pPr>
        <w:pStyle w:val="Sinespaciado"/>
        <w:jc w:val="both"/>
        <w:rPr>
          <w:rFonts w:ascii="Verdana" w:hAnsi="Verdana"/>
        </w:rPr>
      </w:pPr>
    </w:p>
    <w:p w14:paraId="2A201920" w14:textId="6E3D19B5" w:rsidR="009814ED" w:rsidRPr="009F0425" w:rsidRDefault="00965B21" w:rsidP="009F0425">
      <w:pPr>
        <w:pStyle w:val="Sinespaciado"/>
        <w:jc w:val="both"/>
        <w:rPr>
          <w:rFonts w:ascii="Verdana" w:hAnsi="Verdana"/>
        </w:rPr>
      </w:pPr>
      <w:r w:rsidRPr="009F0425">
        <w:rPr>
          <w:rFonts w:ascii="Verdana" w:hAnsi="Verdana"/>
        </w:rPr>
        <w:t>Atentamente,</w:t>
      </w:r>
    </w:p>
    <w:p w14:paraId="764C4C86" w14:textId="77777777" w:rsidR="009F0425" w:rsidRDefault="009F0425" w:rsidP="009F0425">
      <w:pPr>
        <w:pStyle w:val="Sinespaciado"/>
        <w:jc w:val="both"/>
        <w:rPr>
          <w:rFonts w:ascii="Verdana" w:hAnsi="Verdana"/>
        </w:rPr>
      </w:pPr>
    </w:p>
    <w:p w14:paraId="48CCE43F" w14:textId="77777777" w:rsidR="009F0425" w:rsidRDefault="009F0425" w:rsidP="009F0425">
      <w:pPr>
        <w:pStyle w:val="Sinespaciado"/>
        <w:jc w:val="both"/>
        <w:rPr>
          <w:rFonts w:ascii="Verdana" w:hAnsi="Verdana"/>
        </w:rPr>
      </w:pPr>
    </w:p>
    <w:p w14:paraId="496B0303" w14:textId="77777777" w:rsidR="009F0425" w:rsidRDefault="009F0425" w:rsidP="009F0425">
      <w:pPr>
        <w:pStyle w:val="Sinespaciado"/>
        <w:jc w:val="both"/>
        <w:rPr>
          <w:rFonts w:ascii="Verdana" w:hAnsi="Verdana"/>
        </w:rPr>
      </w:pPr>
    </w:p>
    <w:p w14:paraId="7264A793" w14:textId="775D17E7" w:rsidR="009814ED" w:rsidRPr="009F0425" w:rsidRDefault="00965B21" w:rsidP="009F0425">
      <w:pPr>
        <w:pStyle w:val="Sinespaciado"/>
        <w:jc w:val="both"/>
        <w:rPr>
          <w:rFonts w:ascii="Verdana" w:hAnsi="Verdana"/>
          <w:b/>
          <w:bCs/>
        </w:rPr>
      </w:pPr>
      <w:r w:rsidRPr="009F0425">
        <w:rPr>
          <w:rFonts w:ascii="Verdana" w:hAnsi="Verdana"/>
          <w:b/>
          <w:bCs/>
        </w:rPr>
        <w:t>PABLO EMILIO MENDOZA VELILLA</w:t>
      </w:r>
    </w:p>
    <w:p w14:paraId="421115DD" w14:textId="77777777" w:rsidR="009F0425" w:rsidRDefault="00965B21" w:rsidP="009F0425">
      <w:pPr>
        <w:pStyle w:val="Sinespaciado"/>
        <w:jc w:val="both"/>
        <w:rPr>
          <w:rFonts w:ascii="Verdana" w:hAnsi="Verdana"/>
        </w:rPr>
      </w:pPr>
      <w:r w:rsidRPr="009F0425">
        <w:rPr>
          <w:rFonts w:ascii="Verdana" w:hAnsi="Verdana"/>
        </w:rPr>
        <w:t>Subdirector de Gestión Normativa y Doctrina</w:t>
      </w:r>
    </w:p>
    <w:p w14:paraId="14B276E5" w14:textId="77777777" w:rsidR="00B07711" w:rsidRDefault="00965B21" w:rsidP="009F0425">
      <w:pPr>
        <w:pStyle w:val="Sinespaciado"/>
        <w:jc w:val="both"/>
        <w:rPr>
          <w:rFonts w:ascii="Verdana" w:hAnsi="Verdana"/>
        </w:rPr>
      </w:pPr>
      <w:r w:rsidRPr="009F0425">
        <w:rPr>
          <w:rFonts w:ascii="Verdana" w:hAnsi="Verdana"/>
        </w:rPr>
        <w:t>Dirección de Gestión Jurídica</w:t>
      </w:r>
    </w:p>
    <w:p w14:paraId="42B2159A" w14:textId="77777777" w:rsidR="00B07711" w:rsidRDefault="00965B21" w:rsidP="009F0425">
      <w:pPr>
        <w:pStyle w:val="Sinespaciado"/>
        <w:jc w:val="both"/>
        <w:rPr>
          <w:rFonts w:ascii="Verdana" w:hAnsi="Verdana"/>
        </w:rPr>
      </w:pPr>
      <w:r w:rsidRPr="009F0425">
        <w:rPr>
          <w:rFonts w:ascii="Verdana" w:hAnsi="Verdana"/>
        </w:rPr>
        <w:t>UAE-Dirección de Impuestos y Aduanas Nacionales</w:t>
      </w:r>
    </w:p>
    <w:p w14:paraId="1A7DB874" w14:textId="007FD243" w:rsidR="009814ED" w:rsidRPr="009F0425" w:rsidRDefault="00965B21" w:rsidP="009F0425">
      <w:pPr>
        <w:pStyle w:val="Sinespaciado"/>
        <w:jc w:val="both"/>
        <w:rPr>
          <w:rFonts w:ascii="Verdana" w:hAnsi="Verdana"/>
        </w:rPr>
      </w:pPr>
      <w:r w:rsidRPr="009F0425">
        <w:rPr>
          <w:rFonts w:ascii="Verdana" w:hAnsi="Verdana"/>
        </w:rPr>
        <w:t>Car. 8 N° 6C-38 Piso 4, Edificio San Agustín, Bogotá D.C.</w:t>
      </w:r>
    </w:p>
    <w:sectPr w:rsidR="009814ED" w:rsidRPr="009F0425" w:rsidSect="009F0425">
      <w:type w:val="continuous"/>
      <w:pgSz w:w="12240" w:h="15840" w:code="1"/>
      <w:pgMar w:top="1418" w:right="1701" w:bottom="1418" w:left="1701"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FD5F2" w14:textId="77777777" w:rsidR="002F7D09" w:rsidRDefault="002F7D09">
      <w:r>
        <w:separator/>
      </w:r>
    </w:p>
  </w:endnote>
  <w:endnote w:type="continuationSeparator" w:id="0">
    <w:p w14:paraId="12D7C523" w14:textId="77777777" w:rsidR="002F7D09" w:rsidRDefault="002F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46D19" w14:textId="77777777" w:rsidR="002F7D09" w:rsidRDefault="002F7D09"/>
  </w:footnote>
  <w:footnote w:type="continuationSeparator" w:id="0">
    <w:p w14:paraId="77ACCD9F" w14:textId="77777777" w:rsidR="002F7D09" w:rsidRDefault="002F7D0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ED"/>
    <w:rsid w:val="002F7D09"/>
    <w:rsid w:val="00652FB3"/>
    <w:rsid w:val="00965B21"/>
    <w:rsid w:val="009814ED"/>
    <w:rsid w:val="009F0425"/>
    <w:rsid w:val="00AE6C69"/>
    <w:rsid w:val="00B077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E518"/>
  <w15:docId w15:val="{12F217ED-580A-4E5B-B721-31C5E190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1">
    <w:name w:val="Cuerpo del texto (21)_"/>
    <w:basedOn w:val="Fuentedeprrafopredeter"/>
    <w:link w:val="Cuerpodeltexto210"/>
    <w:rPr>
      <w:rFonts w:ascii="Arial" w:eastAsia="Arial" w:hAnsi="Arial" w:cs="Arial"/>
      <w:b w:val="0"/>
      <w:bCs w:val="0"/>
      <w:i w:val="0"/>
      <w:iCs w:val="0"/>
      <w:smallCaps w:val="0"/>
      <w:strike w:val="0"/>
      <w:sz w:val="19"/>
      <w:szCs w:val="19"/>
      <w:u w:val="none"/>
    </w:rPr>
  </w:style>
  <w:style w:type="character" w:customStyle="1" w:styleId="Cuerpodeltexto211">
    <w:name w:val="Cuerpo del texto (21)"/>
    <w:basedOn w:val="Cuerpodeltexto21"/>
    <w:rPr>
      <w:rFonts w:ascii="Arial" w:eastAsia="Arial" w:hAnsi="Arial" w:cs="Arial"/>
      <w:b w:val="0"/>
      <w:bCs w:val="0"/>
      <w:i w:val="0"/>
      <w:iCs w:val="0"/>
      <w:smallCaps w:val="0"/>
      <w:strike w:val="0"/>
      <w:color w:val="000000"/>
      <w:spacing w:val="0"/>
      <w:w w:val="100"/>
      <w:position w:val="0"/>
      <w:sz w:val="19"/>
      <w:szCs w:val="19"/>
      <w:u w:val="single"/>
      <w:lang w:val="es-ES" w:eastAsia="es-ES" w:bidi="es-ES"/>
    </w:rPr>
  </w:style>
  <w:style w:type="character" w:customStyle="1" w:styleId="Cuerpodeltexto7">
    <w:name w:val="Cuerpo del texto (7)_"/>
    <w:basedOn w:val="Fuentedeprrafopredeter"/>
    <w:link w:val="Cuerpodeltexto70"/>
    <w:rPr>
      <w:rFonts w:ascii="Arial" w:eastAsia="Arial" w:hAnsi="Arial" w:cs="Arial"/>
      <w:b w:val="0"/>
      <w:bCs w:val="0"/>
      <w:i/>
      <w:iCs/>
      <w:smallCaps w:val="0"/>
      <w:strike w:val="0"/>
      <w:sz w:val="20"/>
      <w:szCs w:val="20"/>
      <w:u w:val="none"/>
    </w:rPr>
  </w:style>
  <w:style w:type="character" w:customStyle="1" w:styleId="Cuerpodeltexto7Negrita">
    <w:name w:val="Cuerpo del texto (7) + Negrita"/>
    <w:basedOn w:val="Cuerpodeltexto7"/>
    <w:rPr>
      <w:rFonts w:ascii="Arial" w:eastAsia="Arial" w:hAnsi="Arial" w:cs="Arial"/>
      <w:b/>
      <w:bCs/>
      <w:i/>
      <w:iCs/>
      <w:smallCaps w:val="0"/>
      <w:strike w:val="0"/>
      <w:color w:val="000000"/>
      <w:spacing w:val="0"/>
      <w:w w:val="100"/>
      <w:position w:val="0"/>
      <w:sz w:val="20"/>
      <w:szCs w:val="20"/>
      <w:u w:val="none"/>
      <w:lang w:val="es-ES" w:eastAsia="es-ES" w:bidi="es-ES"/>
    </w:rPr>
  </w:style>
  <w:style w:type="character" w:customStyle="1" w:styleId="Cuerpodeltexto9">
    <w:name w:val="Cuerpo del texto (9)_"/>
    <w:basedOn w:val="Fuentedeprrafopredeter"/>
    <w:link w:val="Cuerpodeltexto90"/>
    <w:rPr>
      <w:rFonts w:ascii="Arial" w:eastAsia="Arial" w:hAnsi="Arial" w:cs="Arial"/>
      <w:b/>
      <w:bCs/>
      <w:i/>
      <w:iCs/>
      <w:smallCaps w:val="0"/>
      <w:strike w:val="0"/>
      <w:sz w:val="20"/>
      <w:szCs w:val="20"/>
      <w:u w:val="none"/>
    </w:rPr>
  </w:style>
  <w:style w:type="character" w:customStyle="1" w:styleId="Cuerpodeltexto9Sinnegrita">
    <w:name w:val="Cuerpo del texto (9) + Sin negrita"/>
    <w:basedOn w:val="Cuerpodeltexto9"/>
    <w:rPr>
      <w:rFonts w:ascii="Arial" w:eastAsia="Arial" w:hAnsi="Arial" w:cs="Arial"/>
      <w:b/>
      <w:bCs/>
      <w:i/>
      <w:iCs/>
      <w:smallCaps w:val="0"/>
      <w:strike w:val="0"/>
      <w:color w:val="000000"/>
      <w:spacing w:val="0"/>
      <w:w w:val="100"/>
      <w:position w:val="0"/>
      <w:sz w:val="20"/>
      <w:szCs w:val="20"/>
      <w:u w:val="none"/>
      <w:lang w:val="es-ES" w:eastAsia="es-ES" w:bidi="es-ES"/>
    </w:rPr>
  </w:style>
  <w:style w:type="character" w:customStyle="1" w:styleId="Cuerpodeltexto995ptoSinnegritaSincursiva">
    <w:name w:val="Cuerpo del texto (9) + 9;5 pto;Sin negrita;Sin cursiva"/>
    <w:basedOn w:val="Cuerpodeltexto9"/>
    <w:rPr>
      <w:rFonts w:ascii="Arial" w:eastAsia="Arial" w:hAnsi="Arial" w:cs="Arial"/>
      <w:b/>
      <w:bCs/>
      <w:i/>
      <w:iCs/>
      <w:smallCaps w:val="0"/>
      <w:strike w:val="0"/>
      <w:color w:val="000000"/>
      <w:spacing w:val="0"/>
      <w:w w:val="100"/>
      <w:position w:val="0"/>
      <w:sz w:val="19"/>
      <w:szCs w:val="19"/>
      <w:u w:val="none"/>
      <w:lang w:val="es-ES" w:eastAsia="es-ES" w:bidi="es-ES"/>
    </w:rPr>
  </w:style>
  <w:style w:type="character" w:customStyle="1" w:styleId="Cuerpodeltexto212">
    <w:name w:val="Cuerpo del texto (21)"/>
    <w:basedOn w:val="Cuerpodeltexto21"/>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character" w:customStyle="1" w:styleId="Cuerpodeltexto3">
    <w:name w:val="Cuerpo del texto (3)_"/>
    <w:basedOn w:val="Fuentedeprrafopredeter"/>
    <w:link w:val="Cuerpodeltexto30"/>
    <w:rPr>
      <w:rFonts w:ascii="Arial" w:eastAsia="Arial" w:hAnsi="Arial" w:cs="Arial"/>
      <w:b w:val="0"/>
      <w:bCs w:val="0"/>
      <w:i w:val="0"/>
      <w:iCs w:val="0"/>
      <w:smallCaps w:val="0"/>
      <w:strike w:val="0"/>
      <w:sz w:val="10"/>
      <w:szCs w:val="10"/>
      <w:u w:val="none"/>
    </w:rPr>
  </w:style>
  <w:style w:type="character" w:customStyle="1" w:styleId="Cuerpodeltexto31">
    <w:name w:val="Cuerpo del texto (3)"/>
    <w:basedOn w:val="Cuerpodeltexto3"/>
    <w:rPr>
      <w:rFonts w:ascii="Arial" w:eastAsia="Arial" w:hAnsi="Arial" w:cs="Arial"/>
      <w:b w:val="0"/>
      <w:bCs w:val="0"/>
      <w:i w:val="0"/>
      <w:iCs w:val="0"/>
      <w:smallCaps w:val="0"/>
      <w:strike w:val="0"/>
      <w:color w:val="000000"/>
      <w:spacing w:val="0"/>
      <w:w w:val="100"/>
      <w:position w:val="0"/>
      <w:sz w:val="10"/>
      <w:szCs w:val="10"/>
      <w:u w:val="none"/>
      <w:lang w:val="es-ES" w:eastAsia="es-ES" w:bidi="es-ES"/>
    </w:rPr>
  </w:style>
  <w:style w:type="character" w:customStyle="1" w:styleId="Cuerpodeltexto10">
    <w:name w:val="Cuerpo del texto (10)_"/>
    <w:basedOn w:val="Fuentedeprrafopredeter"/>
    <w:link w:val="Cuerpodeltexto100"/>
    <w:rPr>
      <w:rFonts w:ascii="Arial" w:eastAsia="Arial" w:hAnsi="Arial" w:cs="Arial"/>
      <w:b/>
      <w:bCs/>
      <w:i w:val="0"/>
      <w:iCs w:val="0"/>
      <w:smallCaps w:val="0"/>
      <w:strike w:val="0"/>
      <w:sz w:val="9"/>
      <w:szCs w:val="9"/>
      <w:u w:val="none"/>
    </w:rPr>
  </w:style>
  <w:style w:type="character" w:customStyle="1" w:styleId="Cuerpodeltexto10TrebuchetMS8ptoSinnegritaCursiva">
    <w:name w:val="Cuerpo del texto (10) + Trebuchet MS;8 pto;Sin negrita;Cursiva"/>
    <w:basedOn w:val="Cuerpodeltexto10"/>
    <w:rPr>
      <w:rFonts w:ascii="Trebuchet MS" w:eastAsia="Trebuchet MS" w:hAnsi="Trebuchet MS" w:cs="Trebuchet MS"/>
      <w:b/>
      <w:bCs/>
      <w:i/>
      <w:iCs/>
      <w:smallCaps w:val="0"/>
      <w:strike w:val="0"/>
      <w:color w:val="000000"/>
      <w:spacing w:val="0"/>
      <w:w w:val="100"/>
      <w:position w:val="0"/>
      <w:sz w:val="16"/>
      <w:szCs w:val="16"/>
      <w:u w:val="none"/>
      <w:lang w:val="es-ES" w:eastAsia="es-ES" w:bidi="es-ES"/>
    </w:rPr>
  </w:style>
  <w:style w:type="character" w:customStyle="1" w:styleId="Cuerpodeltexto101">
    <w:name w:val="Cuerpo del texto (10)"/>
    <w:basedOn w:val="Cuerpodeltexto10"/>
    <w:rPr>
      <w:rFonts w:ascii="Arial" w:eastAsia="Arial" w:hAnsi="Arial" w:cs="Arial"/>
      <w:b/>
      <w:bCs/>
      <w:i w:val="0"/>
      <w:iCs w:val="0"/>
      <w:smallCaps w:val="0"/>
      <w:strike w:val="0"/>
      <w:color w:val="000000"/>
      <w:spacing w:val="0"/>
      <w:w w:val="100"/>
      <w:position w:val="0"/>
      <w:sz w:val="9"/>
      <w:szCs w:val="9"/>
      <w:u w:val="none"/>
    </w:rPr>
  </w:style>
  <w:style w:type="character" w:customStyle="1" w:styleId="Cuerpodeltexto102">
    <w:name w:val="Cuerpo del texto (10)"/>
    <w:basedOn w:val="Cuerpodeltexto10"/>
    <w:rPr>
      <w:rFonts w:ascii="Arial" w:eastAsia="Arial" w:hAnsi="Arial" w:cs="Arial"/>
      <w:b/>
      <w:bCs/>
      <w:i w:val="0"/>
      <w:iCs w:val="0"/>
      <w:smallCaps w:val="0"/>
      <w:strike w:val="0"/>
      <w:color w:val="000000"/>
      <w:spacing w:val="0"/>
      <w:w w:val="100"/>
      <w:position w:val="0"/>
      <w:sz w:val="9"/>
      <w:szCs w:val="9"/>
      <w:u w:val="none"/>
      <w:lang w:val="es-ES" w:eastAsia="es-ES" w:bidi="es-ES"/>
    </w:rPr>
  </w:style>
  <w:style w:type="character" w:customStyle="1" w:styleId="Cuerpodeltexto4">
    <w:name w:val="Cuerpo del texto (4)_"/>
    <w:basedOn w:val="Fuentedeprrafopredeter"/>
    <w:link w:val="Cuerpodeltexto40"/>
    <w:rPr>
      <w:rFonts w:ascii="Arial" w:eastAsia="Arial" w:hAnsi="Arial" w:cs="Arial"/>
      <w:b/>
      <w:bCs/>
      <w:i w:val="0"/>
      <w:iCs w:val="0"/>
      <w:smallCaps w:val="0"/>
      <w:strike w:val="0"/>
      <w:sz w:val="20"/>
      <w:szCs w:val="20"/>
      <w:u w:val="none"/>
    </w:rPr>
  </w:style>
  <w:style w:type="paragraph" w:customStyle="1" w:styleId="Cuerpodeltexto210">
    <w:name w:val="Cuerpo del texto (21)"/>
    <w:basedOn w:val="Normal"/>
    <w:link w:val="Cuerpodeltexto21"/>
    <w:pPr>
      <w:shd w:val="clear" w:color="auto" w:fill="FFFFFF"/>
      <w:spacing w:after="60" w:line="0" w:lineRule="atLeast"/>
      <w:ind w:hanging="2180"/>
    </w:pPr>
    <w:rPr>
      <w:rFonts w:ascii="Arial" w:eastAsia="Arial" w:hAnsi="Arial" w:cs="Arial"/>
      <w:sz w:val="19"/>
      <w:szCs w:val="19"/>
    </w:rPr>
  </w:style>
  <w:style w:type="paragraph" w:customStyle="1" w:styleId="Cuerpodeltexto70">
    <w:name w:val="Cuerpo del texto (7)"/>
    <w:basedOn w:val="Normal"/>
    <w:link w:val="Cuerpodeltexto7"/>
    <w:pPr>
      <w:shd w:val="clear" w:color="auto" w:fill="FFFFFF"/>
      <w:spacing w:before="180" w:after="180" w:line="254" w:lineRule="exact"/>
      <w:jc w:val="both"/>
    </w:pPr>
    <w:rPr>
      <w:rFonts w:ascii="Arial" w:eastAsia="Arial" w:hAnsi="Arial" w:cs="Arial"/>
      <w:i/>
      <w:iCs/>
      <w:sz w:val="20"/>
      <w:szCs w:val="20"/>
    </w:rPr>
  </w:style>
  <w:style w:type="paragraph" w:customStyle="1" w:styleId="Cuerpodeltexto90">
    <w:name w:val="Cuerpo del texto (9)"/>
    <w:basedOn w:val="Normal"/>
    <w:link w:val="Cuerpodeltexto9"/>
    <w:pPr>
      <w:shd w:val="clear" w:color="auto" w:fill="FFFFFF"/>
      <w:spacing w:before="180" w:after="180" w:line="230" w:lineRule="exact"/>
      <w:ind w:hanging="400"/>
      <w:jc w:val="both"/>
    </w:pPr>
    <w:rPr>
      <w:rFonts w:ascii="Arial" w:eastAsia="Arial" w:hAnsi="Arial" w:cs="Arial"/>
      <w:b/>
      <w:bCs/>
      <w:i/>
      <w:iCs/>
      <w:sz w:val="20"/>
      <w:szCs w:val="20"/>
    </w:rPr>
  </w:style>
  <w:style w:type="paragraph" w:customStyle="1" w:styleId="Cuerpodeltexto30">
    <w:name w:val="Cuerpo del texto (3)"/>
    <w:basedOn w:val="Normal"/>
    <w:link w:val="Cuerpodeltexto3"/>
    <w:pPr>
      <w:shd w:val="clear" w:color="auto" w:fill="FFFFFF"/>
      <w:spacing w:before="600" w:line="0" w:lineRule="atLeast"/>
      <w:jc w:val="both"/>
    </w:pPr>
    <w:rPr>
      <w:rFonts w:ascii="Arial" w:eastAsia="Arial" w:hAnsi="Arial" w:cs="Arial"/>
      <w:sz w:val="10"/>
      <w:szCs w:val="10"/>
    </w:rPr>
  </w:style>
  <w:style w:type="paragraph" w:customStyle="1" w:styleId="Cuerpodeltexto100">
    <w:name w:val="Cuerpo del texto (10)"/>
    <w:basedOn w:val="Normal"/>
    <w:link w:val="Cuerpodeltexto10"/>
    <w:pPr>
      <w:shd w:val="clear" w:color="auto" w:fill="FFFFFF"/>
      <w:spacing w:after="180" w:line="139" w:lineRule="exact"/>
      <w:jc w:val="both"/>
    </w:pPr>
    <w:rPr>
      <w:rFonts w:ascii="Arial" w:eastAsia="Arial" w:hAnsi="Arial" w:cs="Arial"/>
      <w:b/>
      <w:bCs/>
      <w:sz w:val="9"/>
      <w:szCs w:val="9"/>
    </w:rPr>
  </w:style>
  <w:style w:type="paragraph" w:customStyle="1" w:styleId="Cuerpodeltexto40">
    <w:name w:val="Cuerpo del texto (4)"/>
    <w:basedOn w:val="Normal"/>
    <w:link w:val="Cuerpodeltexto4"/>
    <w:pPr>
      <w:shd w:val="clear" w:color="auto" w:fill="FFFFFF"/>
      <w:spacing w:before="300" w:after="300" w:line="0" w:lineRule="atLeast"/>
      <w:ind w:hanging="400"/>
      <w:jc w:val="both"/>
    </w:pPr>
    <w:rPr>
      <w:rFonts w:ascii="Arial" w:eastAsia="Arial" w:hAnsi="Arial" w:cs="Arial"/>
      <w:b/>
      <w:bCs/>
      <w:sz w:val="20"/>
      <w:szCs w:val="20"/>
    </w:rPr>
  </w:style>
  <w:style w:type="paragraph" w:styleId="Sinespaciado">
    <w:name w:val="No Spacing"/>
    <w:uiPriority w:val="1"/>
    <w:qFormat/>
    <w:rsid w:val="009F0425"/>
    <w:rPr>
      <w:color w:val="000000"/>
    </w:rPr>
  </w:style>
  <w:style w:type="character" w:styleId="Mencinsinresolver">
    <w:name w:val="Unresolved Mention"/>
    <w:basedOn w:val="Fuentedeprrafopredeter"/>
    <w:uiPriority w:val="99"/>
    <w:semiHidden/>
    <w:unhideWhenUsed/>
    <w:rsid w:val="009F0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3984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RMARTINQ</dc:creator>
  <cp:keywords/>
  <cp:lastModifiedBy>Guillermo Alzate Duque</cp:lastModifiedBy>
  <cp:revision>2</cp:revision>
  <dcterms:created xsi:type="dcterms:W3CDTF">2021-07-30T14:12:00Z</dcterms:created>
  <dcterms:modified xsi:type="dcterms:W3CDTF">2021-07-30T14:12:00Z</dcterms:modified>
</cp:coreProperties>
</file>