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E172" w14:textId="41F0B28B" w:rsidR="002D3088" w:rsidRPr="0099447C" w:rsidRDefault="0099447C" w:rsidP="0099447C">
      <w:pPr>
        <w:pStyle w:val="Sinespaciado"/>
        <w:jc w:val="both"/>
        <w:rPr>
          <w:rFonts w:ascii="Verdana" w:hAnsi="Verdana"/>
          <w:b/>
          <w:bCs/>
        </w:rPr>
      </w:pPr>
      <w:r w:rsidRPr="0099447C">
        <w:rPr>
          <w:rFonts w:ascii="Verdana" w:hAnsi="Verdana"/>
          <w:b/>
          <w:bCs/>
        </w:rPr>
        <w:t>CONCEPTO 364 DEL 10 DE MARZO DE 2021</w:t>
      </w:r>
    </w:p>
    <w:p w14:paraId="49FE5869" w14:textId="494280CD" w:rsidR="0099447C" w:rsidRPr="0099447C" w:rsidRDefault="0099447C" w:rsidP="0099447C">
      <w:pPr>
        <w:pStyle w:val="Sinespaciado"/>
        <w:jc w:val="both"/>
        <w:rPr>
          <w:rFonts w:ascii="Verdana" w:hAnsi="Verdana"/>
          <w:b/>
          <w:bCs/>
        </w:rPr>
      </w:pPr>
      <w:r w:rsidRPr="0099447C">
        <w:rPr>
          <w:rFonts w:ascii="Verdana" w:hAnsi="Verdana"/>
          <w:b/>
          <w:bCs/>
        </w:rPr>
        <w:t>DIRECCIÓN DE IMPUESTOS Y ADUANAS NACIONALES</w:t>
      </w:r>
    </w:p>
    <w:p w14:paraId="2898C86E" w14:textId="77777777" w:rsidR="002D3088" w:rsidRPr="0099447C" w:rsidRDefault="002D3088" w:rsidP="0099447C">
      <w:pPr>
        <w:pStyle w:val="Sinespaciado"/>
        <w:jc w:val="both"/>
        <w:rPr>
          <w:rFonts w:ascii="Verdana" w:hAnsi="Verdana"/>
        </w:rPr>
      </w:pPr>
    </w:p>
    <w:p w14:paraId="084DDABD" w14:textId="45FC913C" w:rsidR="002D3088" w:rsidRDefault="0099447C" w:rsidP="0099447C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Bogotá, D.C.</w:t>
      </w:r>
    </w:p>
    <w:p w14:paraId="055C8EFB" w14:textId="4AE5E10A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4F00ED48" w14:textId="600EB534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  <w:b/>
          <w:bCs/>
        </w:rPr>
        <w:t>Tema</w:t>
      </w:r>
      <w:r w:rsidR="0099447C">
        <w:rPr>
          <w:rFonts w:ascii="Verdana" w:hAnsi="Verdana"/>
          <w:b/>
          <w:bCs/>
        </w:rPr>
        <w:tab/>
      </w:r>
      <w:r w:rsidR="0099447C">
        <w:rPr>
          <w:rFonts w:ascii="Verdana" w:hAnsi="Verdana"/>
          <w:b/>
          <w:bCs/>
        </w:rPr>
        <w:tab/>
      </w:r>
      <w:r w:rsidR="0099447C">
        <w:rPr>
          <w:rFonts w:ascii="Verdana" w:hAnsi="Verdana"/>
          <w:b/>
          <w:bCs/>
        </w:rPr>
        <w:tab/>
      </w:r>
      <w:r w:rsidRPr="0099447C">
        <w:rPr>
          <w:rFonts w:ascii="Verdana" w:hAnsi="Verdana"/>
        </w:rPr>
        <w:t>Impuesto sobre las ventas</w:t>
      </w:r>
    </w:p>
    <w:p w14:paraId="719BCE87" w14:textId="2282C742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  <w:b/>
          <w:bCs/>
        </w:rPr>
        <w:t>Descriptores</w:t>
      </w:r>
      <w:r w:rsidR="0099447C">
        <w:rPr>
          <w:rFonts w:ascii="Verdana" w:hAnsi="Verdana"/>
          <w:b/>
          <w:bCs/>
        </w:rPr>
        <w:tab/>
      </w:r>
      <w:r w:rsidR="0099447C">
        <w:rPr>
          <w:rFonts w:ascii="Verdana" w:hAnsi="Verdana"/>
          <w:b/>
          <w:bCs/>
        </w:rPr>
        <w:tab/>
      </w:r>
      <w:r w:rsidRPr="0099447C">
        <w:rPr>
          <w:rFonts w:ascii="Verdana" w:hAnsi="Verdana"/>
        </w:rPr>
        <w:t>Descontables</w:t>
      </w:r>
    </w:p>
    <w:p w14:paraId="014EF60D" w14:textId="6FC89A99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  <w:b/>
          <w:bCs/>
        </w:rPr>
        <w:t>Fuentes formales</w:t>
      </w:r>
      <w:r w:rsidR="0099447C">
        <w:rPr>
          <w:rFonts w:ascii="Verdana" w:hAnsi="Verdana"/>
          <w:b/>
          <w:bCs/>
        </w:rPr>
        <w:tab/>
      </w:r>
      <w:r w:rsidRPr="0099447C">
        <w:rPr>
          <w:rFonts w:ascii="Verdana" w:hAnsi="Verdana"/>
        </w:rPr>
        <w:t>Artículos 10 y 11 del Decreto 2815 de 1974</w:t>
      </w:r>
    </w:p>
    <w:p w14:paraId="0D6E583D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4D41FE81" w14:textId="7DDFCAA7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Cordial saludo.</w:t>
      </w:r>
    </w:p>
    <w:p w14:paraId="5D45931B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77CD7407" w14:textId="5D3BE178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3ADB320B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1FE91BB1" w14:textId="18913019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 xml:space="preserve">Mediante el radicado de la referencia, la peticionaria solicta </w:t>
      </w:r>
      <w:r w:rsidR="0099447C">
        <w:rPr>
          <w:rFonts w:ascii="Verdana" w:hAnsi="Verdana"/>
        </w:rPr>
        <w:t xml:space="preserve">(sic) </w:t>
      </w:r>
      <w:r w:rsidRPr="0099447C">
        <w:rPr>
          <w:rFonts w:ascii="Verdana" w:hAnsi="Verdana"/>
        </w:rPr>
        <w:t>resolver la siguiente inquietud:</w:t>
      </w:r>
    </w:p>
    <w:p w14:paraId="6D1316A3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4CD8258C" w14:textId="20BC8CFC" w:rsidR="002D3088" w:rsidRPr="0099447C" w:rsidRDefault="0099447C" w:rsidP="0099447C">
      <w:pPr>
        <w:pStyle w:val="Sinespaciado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“</w:t>
      </w:r>
      <w:r w:rsidR="00DA293A" w:rsidRPr="0099447C">
        <w:rPr>
          <w:rFonts w:ascii="Verdana" w:hAnsi="Verdana"/>
          <w:i/>
          <w:iCs/>
        </w:rPr>
        <w:t>Sírvase confirmar la vigencia de los artículos 10 y 11 del Decreto 2815 de 1974. En el evento en que no se encuentren vigentes, sírvase indicar cuándo fueron derogados</w:t>
      </w:r>
      <w:r>
        <w:rPr>
          <w:rFonts w:ascii="Verdana" w:hAnsi="Verdana"/>
          <w:i/>
          <w:iCs/>
        </w:rPr>
        <w:t>”</w:t>
      </w:r>
      <w:r w:rsidR="00DA293A" w:rsidRPr="0099447C">
        <w:rPr>
          <w:rFonts w:ascii="Verdana" w:hAnsi="Verdana"/>
          <w:i/>
          <w:iCs/>
        </w:rPr>
        <w:t>.</w:t>
      </w:r>
    </w:p>
    <w:p w14:paraId="59699133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1B255A4E" w14:textId="7C796D78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Sobre el particular, las consideraciones del Despacho son las siguientes:</w:t>
      </w:r>
    </w:p>
    <w:p w14:paraId="4F98022A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03063223" w14:textId="41F42E10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Mediante el Decreto 2815 de 1974 se reglamentaron los Decretos 1988 y 2368 de 1974, ambos relativos al impuesto sobre las ventas.</w:t>
      </w:r>
    </w:p>
    <w:p w14:paraId="7F08CBBB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1FBE2D5A" w14:textId="1597E3BF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Así, para efectos de reglamentar los artículos 21 y 23 del Decreto 1988 de 1974 y el artículo 13 del Decreto 2368 del mismo año, el Decreto 2815 de 1974 estableció en sus artículos 10 (modificado por el artículo 10 del Decreto 1494 de 1978) y 11 lo siguiente:</w:t>
      </w:r>
    </w:p>
    <w:p w14:paraId="42868BBC" w14:textId="77777777" w:rsidR="0099447C" w:rsidRDefault="0099447C" w:rsidP="0099447C">
      <w:pPr>
        <w:pStyle w:val="Sinespaciado"/>
        <w:jc w:val="both"/>
        <w:rPr>
          <w:rStyle w:val="Cuerpodeltexto11Negrita"/>
          <w:rFonts w:ascii="Verdana" w:hAnsi="Verdana"/>
        </w:rPr>
      </w:pPr>
    </w:p>
    <w:p w14:paraId="5DDE97DC" w14:textId="0F7CD1BA" w:rsidR="002D3088" w:rsidRPr="0099447C" w:rsidRDefault="00DA293A" w:rsidP="0099447C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99447C">
        <w:rPr>
          <w:rStyle w:val="Cuerpodeltexto11Negrita"/>
          <w:rFonts w:ascii="Verdana" w:hAnsi="Verdana"/>
        </w:rPr>
        <w:t xml:space="preserve">Artículo 10. </w:t>
      </w:r>
      <w:r w:rsidRPr="0099447C">
        <w:rPr>
          <w:rFonts w:ascii="Verdana" w:hAnsi="Verdana"/>
          <w:i/>
          <w:iCs/>
        </w:rPr>
        <w:t>Del valor de los impuestos liquidados en un determinado período gravable, el contribuyente tiene derecho a descontar los impuestos sobre las ventas por los siguientes conceptos:</w:t>
      </w:r>
    </w:p>
    <w:p w14:paraId="55D4793D" w14:textId="77777777" w:rsidR="0099447C" w:rsidRDefault="0099447C" w:rsidP="0099447C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3F74AC50" w14:textId="530FCE93" w:rsidR="002D3088" w:rsidRPr="0099447C" w:rsidRDefault="00DA293A" w:rsidP="0099447C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99447C">
        <w:rPr>
          <w:rFonts w:ascii="Verdana" w:hAnsi="Verdana"/>
          <w:i/>
          <w:iCs/>
        </w:rPr>
        <w:t>(</w:t>
      </w:r>
      <w:r w:rsidR="0099447C">
        <w:rPr>
          <w:rFonts w:ascii="Verdana" w:hAnsi="Verdana"/>
          <w:i/>
          <w:iCs/>
        </w:rPr>
        <w:t>…</w:t>
      </w:r>
      <w:r w:rsidRPr="0099447C">
        <w:rPr>
          <w:rFonts w:ascii="Verdana" w:hAnsi="Verdana"/>
          <w:i/>
          <w:iCs/>
        </w:rPr>
        <w:t>)”</w:t>
      </w:r>
    </w:p>
    <w:p w14:paraId="7A034749" w14:textId="77777777" w:rsidR="002D3088" w:rsidRPr="0099447C" w:rsidRDefault="00DA293A" w:rsidP="0099447C">
      <w:pPr>
        <w:pStyle w:val="Sinespaciado"/>
        <w:ind w:left="708"/>
        <w:jc w:val="both"/>
        <w:rPr>
          <w:rFonts w:ascii="Verdana" w:hAnsi="Verdana"/>
        </w:rPr>
      </w:pPr>
      <w:r w:rsidRPr="0099447C">
        <w:rPr>
          <w:rStyle w:val="Cuerpodeltexto11Negrita"/>
          <w:rFonts w:ascii="Verdana" w:hAnsi="Verdana"/>
        </w:rPr>
        <w:lastRenderedPageBreak/>
        <w:t xml:space="preserve">“Artículo 11. </w:t>
      </w:r>
      <w:r w:rsidRPr="0099447C">
        <w:rPr>
          <w:rFonts w:ascii="Verdana" w:hAnsi="Verdana"/>
          <w:i/>
          <w:iCs/>
        </w:rPr>
        <w:t>Los descuentos de que trata el artículo anterior sólo pueden efectuarse en la Declaración correspondiente a la fecha de su causación, o en la de uno de los dos períodos inmediatamente siguientes. El no efectuarlos en una de las oportunidades indicadas, acarrea la pérdida del derecho”.</w:t>
      </w:r>
    </w:p>
    <w:p w14:paraId="39B862DC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6AD2ADA2" w14:textId="2074BE61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Posteriormente, en virtud de sus facultades extraordinarias, el Gobierno Nacional expidió el Decreto 3541 de 1983 mediante el cual modificó el régimen del impuesto a las ventas. En su artículo 93, el Decreto 3541 de 1983 estableció:</w:t>
      </w:r>
    </w:p>
    <w:p w14:paraId="564A7CA7" w14:textId="77777777" w:rsidR="0099447C" w:rsidRDefault="0099447C" w:rsidP="0099447C">
      <w:pPr>
        <w:pStyle w:val="Sinespaciado"/>
        <w:jc w:val="both"/>
        <w:rPr>
          <w:rFonts w:ascii="Verdana" w:hAnsi="Verdana"/>
        </w:rPr>
      </w:pPr>
    </w:p>
    <w:p w14:paraId="2F5C1245" w14:textId="4A77F5C9" w:rsidR="002D3088" w:rsidRPr="0099447C" w:rsidRDefault="0099447C" w:rsidP="0099447C">
      <w:pPr>
        <w:pStyle w:val="Sinespaciado"/>
        <w:ind w:left="708"/>
        <w:jc w:val="both"/>
        <w:rPr>
          <w:rFonts w:ascii="Verdana" w:hAnsi="Verdana"/>
          <w:i/>
          <w:iCs/>
        </w:rPr>
      </w:pPr>
      <w:r>
        <w:rPr>
          <w:rStyle w:val="Cuerpodeltexto11Negrita"/>
          <w:rFonts w:ascii="Verdana" w:hAnsi="Verdana"/>
        </w:rPr>
        <w:t>“</w:t>
      </w:r>
      <w:r w:rsidR="00DA293A" w:rsidRPr="0099447C">
        <w:rPr>
          <w:rStyle w:val="Cuerpodeltexto11Negrita"/>
          <w:rFonts w:ascii="Verdana" w:hAnsi="Verdana"/>
        </w:rPr>
        <w:t xml:space="preserve">Artículo 93. </w:t>
      </w:r>
      <w:r w:rsidR="00DA293A" w:rsidRPr="0099447C">
        <w:rPr>
          <w:rFonts w:ascii="Verdana" w:hAnsi="Verdana"/>
          <w:i/>
          <w:iCs/>
        </w:rPr>
        <w:t>Deróganse los siguientes artículos:</w:t>
      </w:r>
    </w:p>
    <w:p w14:paraId="30C0BB08" w14:textId="77777777" w:rsidR="0099447C" w:rsidRDefault="0099447C" w:rsidP="0099447C">
      <w:pPr>
        <w:pStyle w:val="Sinespaciado"/>
        <w:ind w:left="708"/>
        <w:jc w:val="both"/>
        <w:rPr>
          <w:rFonts w:ascii="Verdana" w:hAnsi="Verdana"/>
        </w:rPr>
      </w:pPr>
    </w:p>
    <w:p w14:paraId="1C009227" w14:textId="77777777" w:rsidR="00582E12" w:rsidRDefault="00DA293A" w:rsidP="00582E12">
      <w:pPr>
        <w:pStyle w:val="Sinespaciado"/>
        <w:numPr>
          <w:ilvl w:val="0"/>
          <w:numId w:val="2"/>
        </w:numPr>
        <w:jc w:val="both"/>
        <w:rPr>
          <w:rFonts w:ascii="Verdana" w:hAnsi="Verdana"/>
          <w:i/>
          <w:iCs/>
        </w:rPr>
      </w:pPr>
      <w:r w:rsidRPr="0099447C">
        <w:rPr>
          <w:rFonts w:ascii="Verdana" w:hAnsi="Verdana"/>
          <w:i/>
          <w:iCs/>
        </w:rPr>
        <w:t>Del</w:t>
      </w:r>
      <w:r w:rsidRPr="0099447C">
        <w:rPr>
          <w:rFonts w:ascii="Verdana" w:hAnsi="Verdana"/>
        </w:rPr>
        <w:t xml:space="preserve"> </w:t>
      </w:r>
      <w:r w:rsidRPr="0099447C">
        <w:rPr>
          <w:rStyle w:val="Cuerpodeltexto11Negrita0"/>
          <w:rFonts w:ascii="Verdana" w:hAnsi="Verdana"/>
        </w:rPr>
        <w:t>Decreto 1988 de 1974</w:t>
      </w:r>
      <w:r w:rsidRPr="0099447C">
        <w:rPr>
          <w:rStyle w:val="Cuerpodeltexto111"/>
          <w:rFonts w:ascii="Verdana" w:hAnsi="Verdana"/>
          <w:u w:val="none"/>
        </w:rPr>
        <w:t>,</w:t>
      </w:r>
      <w:r w:rsidRPr="0099447C">
        <w:rPr>
          <w:rFonts w:ascii="Verdana" w:hAnsi="Verdana"/>
        </w:rPr>
        <w:t xml:space="preserve"> </w:t>
      </w:r>
      <w:r w:rsidRPr="0099447C">
        <w:rPr>
          <w:rFonts w:ascii="Verdana" w:hAnsi="Verdana"/>
          <w:i/>
          <w:iCs/>
        </w:rPr>
        <w:t>los artículos 2° 3° 5°, 7°, 10, 11, el numeral 3° del artículo 12, el inciso 3° y el parágrafo 1° del artículo 13 y los artículos 16, 17,</w:t>
      </w:r>
      <w:r w:rsidRPr="0099447C">
        <w:rPr>
          <w:rFonts w:ascii="Verdana" w:hAnsi="Verdana"/>
        </w:rPr>
        <w:t xml:space="preserve"> </w:t>
      </w:r>
      <w:r w:rsidRPr="00582E12">
        <w:rPr>
          <w:rStyle w:val="Cuerpodeltexto11Negrita"/>
          <w:rFonts w:ascii="Verdana" w:hAnsi="Verdana"/>
          <w:u w:val="single"/>
        </w:rPr>
        <w:t>21</w:t>
      </w:r>
      <w:r w:rsidRPr="0099447C">
        <w:rPr>
          <w:rFonts w:ascii="Verdana" w:hAnsi="Verdana"/>
        </w:rPr>
        <w:t xml:space="preserve">, </w:t>
      </w:r>
      <w:r w:rsidRPr="00582E12">
        <w:rPr>
          <w:rFonts w:ascii="Verdana" w:hAnsi="Verdana"/>
          <w:i/>
          <w:iCs/>
        </w:rPr>
        <w:t>22</w:t>
      </w:r>
      <w:r w:rsidRPr="0099447C">
        <w:rPr>
          <w:rFonts w:ascii="Verdana" w:hAnsi="Verdana"/>
        </w:rPr>
        <w:t xml:space="preserve">, </w:t>
      </w:r>
      <w:r w:rsidRPr="00582E12">
        <w:rPr>
          <w:rStyle w:val="Cuerpodeltexto11Negrita"/>
          <w:rFonts w:ascii="Verdana" w:hAnsi="Verdana"/>
          <w:u w:val="single"/>
        </w:rPr>
        <w:t>23</w:t>
      </w:r>
      <w:r w:rsidRPr="0099447C">
        <w:rPr>
          <w:rFonts w:ascii="Verdana" w:hAnsi="Verdana"/>
        </w:rPr>
        <w:t xml:space="preserve">, </w:t>
      </w:r>
      <w:r w:rsidRPr="00582E12">
        <w:rPr>
          <w:rFonts w:ascii="Verdana" w:hAnsi="Verdana"/>
          <w:i/>
          <w:iCs/>
        </w:rPr>
        <w:t>24, 26 y 27.</w:t>
      </w:r>
    </w:p>
    <w:p w14:paraId="097598F6" w14:textId="77777777" w:rsidR="00582E12" w:rsidRDefault="00582E12" w:rsidP="00582E12">
      <w:pPr>
        <w:pStyle w:val="Sinespaciado"/>
        <w:ind w:left="1068"/>
        <w:jc w:val="both"/>
        <w:rPr>
          <w:rFonts w:ascii="Verdana" w:hAnsi="Verdana"/>
          <w:i/>
          <w:iCs/>
        </w:rPr>
      </w:pPr>
    </w:p>
    <w:p w14:paraId="21805C6C" w14:textId="77777777" w:rsidR="00582E12" w:rsidRDefault="00DA293A" w:rsidP="00582E12">
      <w:pPr>
        <w:pStyle w:val="Sinespaciado"/>
        <w:numPr>
          <w:ilvl w:val="0"/>
          <w:numId w:val="2"/>
        </w:numPr>
        <w:jc w:val="both"/>
        <w:rPr>
          <w:rFonts w:ascii="Verdana" w:hAnsi="Verdana"/>
          <w:i/>
          <w:iCs/>
        </w:rPr>
      </w:pPr>
      <w:r w:rsidRPr="00582E12">
        <w:rPr>
          <w:rFonts w:ascii="Verdana" w:hAnsi="Verdana"/>
          <w:i/>
          <w:iCs/>
        </w:rPr>
        <w:t>Del</w:t>
      </w:r>
      <w:r w:rsidRPr="00582E12">
        <w:rPr>
          <w:rFonts w:ascii="Verdana" w:hAnsi="Verdana"/>
        </w:rPr>
        <w:t xml:space="preserve"> </w:t>
      </w:r>
      <w:r w:rsidRPr="00582E12">
        <w:rPr>
          <w:rStyle w:val="Cuerpodeltexto11Negrita0"/>
          <w:rFonts w:ascii="Verdana" w:hAnsi="Verdana"/>
        </w:rPr>
        <w:t>Decreto 2368 de 1974</w:t>
      </w:r>
      <w:r w:rsidR="00582E12" w:rsidRPr="00582E12">
        <w:rPr>
          <w:rStyle w:val="Cuerpodeltexto11Negrita0"/>
          <w:rFonts w:ascii="Verdana" w:hAnsi="Verdana"/>
          <w:b w:val="0"/>
          <w:bCs w:val="0"/>
          <w:u w:val="none"/>
        </w:rPr>
        <w:t>,</w:t>
      </w:r>
      <w:r w:rsidRPr="00582E12">
        <w:rPr>
          <w:rFonts w:ascii="Verdana" w:hAnsi="Verdana"/>
        </w:rPr>
        <w:t xml:space="preserve"> </w:t>
      </w:r>
      <w:r w:rsidRPr="00582E12">
        <w:rPr>
          <w:rFonts w:ascii="Verdana" w:hAnsi="Verdana"/>
          <w:i/>
          <w:iCs/>
        </w:rPr>
        <w:t xml:space="preserve">los artículos 1° 2°, 3°, 5°, 6° 7°, 8°,10, 11, </w:t>
      </w:r>
      <w:r w:rsidRPr="00582E12">
        <w:rPr>
          <w:rStyle w:val="Cuerpodeltexto11Negrita"/>
          <w:rFonts w:ascii="Verdana" w:hAnsi="Verdana"/>
          <w:u w:val="single"/>
        </w:rPr>
        <w:t>13</w:t>
      </w:r>
      <w:r w:rsidRPr="00582E12">
        <w:rPr>
          <w:rStyle w:val="Cuerpodeltexto11Negrita"/>
          <w:rFonts w:ascii="Verdana" w:hAnsi="Verdana"/>
          <w:i w:val="0"/>
          <w:iCs w:val="0"/>
        </w:rPr>
        <w:t xml:space="preserve"> </w:t>
      </w:r>
      <w:r w:rsidRPr="00582E12">
        <w:rPr>
          <w:rFonts w:ascii="Verdana" w:hAnsi="Verdana"/>
          <w:i/>
          <w:iCs/>
        </w:rPr>
        <w:t>y 14.</w:t>
      </w:r>
    </w:p>
    <w:p w14:paraId="5466705A" w14:textId="77777777" w:rsidR="00582E12" w:rsidRDefault="00582E12" w:rsidP="00582E12">
      <w:pPr>
        <w:pStyle w:val="Prrafodelista"/>
        <w:rPr>
          <w:rFonts w:ascii="Verdana" w:hAnsi="Verdana"/>
        </w:rPr>
      </w:pPr>
    </w:p>
    <w:p w14:paraId="5EFB909B" w14:textId="49C4E48A" w:rsidR="002D3088" w:rsidRPr="00582E12" w:rsidRDefault="00DA293A" w:rsidP="00582E12">
      <w:pPr>
        <w:pStyle w:val="Sinespaciado"/>
        <w:numPr>
          <w:ilvl w:val="0"/>
          <w:numId w:val="2"/>
        </w:numPr>
        <w:jc w:val="both"/>
        <w:rPr>
          <w:rFonts w:ascii="Verdana" w:hAnsi="Verdana"/>
          <w:i/>
          <w:iCs/>
        </w:rPr>
      </w:pPr>
      <w:r w:rsidRPr="00582E12">
        <w:rPr>
          <w:rFonts w:ascii="Verdana" w:hAnsi="Verdana"/>
          <w:i/>
          <w:iCs/>
        </w:rPr>
        <w:t>Los demás que sean contrarios al presente Decreto</w:t>
      </w:r>
      <w:r w:rsidRPr="00582E12">
        <w:rPr>
          <w:rStyle w:val="Cuerpodeltexto1110ptoSincursiva"/>
          <w:rFonts w:ascii="Verdana" w:hAnsi="Verdana"/>
          <w:i w:val="0"/>
          <w:iCs w:val="0"/>
          <w:sz w:val="24"/>
          <w:szCs w:val="24"/>
        </w:rPr>
        <w:t>”</w:t>
      </w:r>
      <w:r w:rsidRPr="00582E12">
        <w:rPr>
          <w:rStyle w:val="Cuerpodeltexto1110ptoSincursiva"/>
          <w:rFonts w:ascii="Verdana" w:hAnsi="Verdana"/>
          <w:sz w:val="24"/>
          <w:szCs w:val="24"/>
        </w:rPr>
        <w:t xml:space="preserve"> </w:t>
      </w:r>
      <w:r w:rsidRPr="00582E12">
        <w:rPr>
          <w:rStyle w:val="Cuerpodeltexto1110ptoSincursiva"/>
          <w:rFonts w:ascii="Verdana" w:hAnsi="Verdana"/>
          <w:i w:val="0"/>
          <w:iCs w:val="0"/>
          <w:sz w:val="24"/>
          <w:szCs w:val="24"/>
        </w:rPr>
        <w:t>(Subraya y negrilla fuera de texto).</w:t>
      </w:r>
    </w:p>
    <w:p w14:paraId="538E70AE" w14:textId="77777777" w:rsidR="00582E12" w:rsidRDefault="00582E12" w:rsidP="0099447C">
      <w:pPr>
        <w:pStyle w:val="Sinespaciado"/>
        <w:jc w:val="both"/>
        <w:rPr>
          <w:rFonts w:ascii="Verdana" w:hAnsi="Verdana"/>
        </w:rPr>
      </w:pPr>
    </w:p>
    <w:p w14:paraId="73E76040" w14:textId="78F113B8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Así, con la derogatoria de dichas normas se origina el decaimiento y consecuente derogatoria tácita de sus normas reglamentarias. Es decir, con la derogatoria de los artículos 21 y 23 del Decreto 1988 de 1974 y el artículo 13 del Decreto 2368 del mismo año, fueron derogados los artículos 10 y 11 del Decreto 2815 de 1974.</w:t>
      </w:r>
    </w:p>
    <w:p w14:paraId="136547B5" w14:textId="77777777" w:rsidR="00582E12" w:rsidRDefault="00582E12" w:rsidP="0099447C">
      <w:pPr>
        <w:pStyle w:val="Sinespaciado"/>
        <w:jc w:val="both"/>
        <w:rPr>
          <w:rFonts w:ascii="Verdana" w:hAnsi="Verdana"/>
        </w:rPr>
      </w:pPr>
    </w:p>
    <w:p w14:paraId="0D5EC58D" w14:textId="77777777" w:rsidR="00582E12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Igualmente, debe tenerse en cuenta que el Gobierno Nacional expidió el Decreto 1625 de 2016, Único Reglamentario en Materia Tributaria, con el fin de compilar y racionalizar las normas de carácter reglamentario que rigen el sector y contar con instrumentos jurídicos únicos, esto en atención a una política pública gubernamental orientada a la simplificación y compilación orgánica del sistema nacional regulatorio.</w:t>
      </w:r>
    </w:p>
    <w:p w14:paraId="6DCBF54F" w14:textId="77777777" w:rsidR="00582E12" w:rsidRDefault="00582E12" w:rsidP="0099447C">
      <w:pPr>
        <w:pStyle w:val="Sinespaciado"/>
        <w:jc w:val="both"/>
        <w:rPr>
          <w:rFonts w:ascii="Verdana" w:hAnsi="Verdana"/>
        </w:rPr>
      </w:pPr>
    </w:p>
    <w:p w14:paraId="0E645E34" w14:textId="07CD65ED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Así, en su artículo 3.2.1.1. se dispone:</w:t>
      </w:r>
    </w:p>
    <w:p w14:paraId="351200B5" w14:textId="77777777" w:rsidR="00582E12" w:rsidRDefault="00582E12" w:rsidP="0099447C">
      <w:pPr>
        <w:pStyle w:val="Sinespaciado"/>
        <w:jc w:val="both"/>
        <w:rPr>
          <w:rStyle w:val="Cuerpodeltexto11Negrita"/>
          <w:rFonts w:ascii="Verdana" w:hAnsi="Verdana"/>
        </w:rPr>
      </w:pPr>
    </w:p>
    <w:p w14:paraId="3B7EBA8C" w14:textId="448ECB17" w:rsidR="002D3088" w:rsidRPr="00582E12" w:rsidRDefault="00DA293A" w:rsidP="00582E12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99447C">
        <w:rPr>
          <w:rStyle w:val="Cuerpodeltexto11Negrita"/>
          <w:rFonts w:ascii="Verdana" w:hAnsi="Verdana"/>
        </w:rPr>
        <w:t xml:space="preserve">Artículo 3.2.1.1. Derogatoria integral. </w:t>
      </w:r>
      <w:r w:rsidRPr="0099447C">
        <w:rPr>
          <w:rStyle w:val="Cuerpodeltexto111"/>
          <w:rFonts w:ascii="Verdana" w:hAnsi="Verdana"/>
        </w:rPr>
        <w:t xml:space="preserve">Este Decreto regula íntegramente las materias contempladas en él. </w:t>
      </w:r>
      <w:r w:rsidRPr="0099447C">
        <w:rPr>
          <w:rStyle w:val="Cuerpodeltexto11Negrita0"/>
          <w:rFonts w:ascii="Verdana" w:hAnsi="Verdana"/>
        </w:rPr>
        <w:t xml:space="preserve">Por consiguiente, de conformidad con el artículo 3° de la Ley 153 de 1887, quedan derogadas todas las disposiciones de naturaleza reglamentaria </w:t>
      </w:r>
      <w:r w:rsidRPr="0099447C">
        <w:rPr>
          <w:rStyle w:val="Cuerpodeltexto11Negrita0"/>
          <w:rFonts w:ascii="Verdana" w:hAnsi="Verdana"/>
        </w:rPr>
        <w:lastRenderedPageBreak/>
        <w:t>relativas al Sector Hacienda que versen sobre las mismas materias</w:t>
      </w:r>
      <w:r w:rsidRPr="00582E12">
        <w:rPr>
          <w:rStyle w:val="Cuerpodeltexto111"/>
          <w:rFonts w:ascii="Verdana" w:hAnsi="Verdana"/>
          <w:u w:val="none"/>
        </w:rPr>
        <w:t>,</w:t>
      </w:r>
      <w:r w:rsidRPr="0099447C">
        <w:rPr>
          <w:rFonts w:ascii="Verdana" w:hAnsi="Verdana"/>
        </w:rPr>
        <w:t xml:space="preserve"> </w:t>
      </w:r>
      <w:r w:rsidRPr="00582E12">
        <w:rPr>
          <w:rFonts w:ascii="Verdana" w:hAnsi="Verdana"/>
          <w:i/>
          <w:iCs/>
        </w:rPr>
        <w:t>con excepción, exclusivamente, de las disposiciones aduaneras de carácter reglamentario vigentes, las normas estabilizadas, las disposiciones de período vigentes para el control y el cumplimiento de obligaciones tributarias, las disposiciones reglamentarias vigentes de las contribuciones, y las normas suspendidas provisionalmente que quedan sujetas a los fallos definitivos.</w:t>
      </w:r>
      <w:r w:rsidRPr="00582E12">
        <w:rPr>
          <w:rFonts w:ascii="Verdana" w:hAnsi="Verdana"/>
        </w:rPr>
        <w:t xml:space="preserve"> (Negrilla fuera del texto)</w:t>
      </w:r>
    </w:p>
    <w:p w14:paraId="590F5870" w14:textId="77777777" w:rsidR="00582E12" w:rsidRDefault="00582E12" w:rsidP="0099447C">
      <w:pPr>
        <w:pStyle w:val="Sinespaciado"/>
        <w:jc w:val="both"/>
        <w:rPr>
          <w:rFonts w:ascii="Verdana" w:hAnsi="Verdana"/>
        </w:rPr>
      </w:pPr>
    </w:p>
    <w:p w14:paraId="5350D416" w14:textId="77777777" w:rsidR="00910DFC" w:rsidRDefault="00910DFC" w:rsidP="0099447C">
      <w:pPr>
        <w:pStyle w:val="Sinespaciado"/>
        <w:jc w:val="both"/>
        <w:rPr>
          <w:rFonts w:ascii="Verdana" w:hAnsi="Verdana"/>
        </w:rPr>
      </w:pPr>
    </w:p>
    <w:p w14:paraId="05297052" w14:textId="1E523891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Atentamente,</w:t>
      </w:r>
    </w:p>
    <w:p w14:paraId="1BCCDC29" w14:textId="77777777" w:rsidR="00910DFC" w:rsidRDefault="00910DFC" w:rsidP="0099447C">
      <w:pPr>
        <w:pStyle w:val="Sinespaciado"/>
        <w:jc w:val="both"/>
        <w:rPr>
          <w:rFonts w:ascii="Verdana" w:hAnsi="Verdana"/>
        </w:rPr>
      </w:pPr>
    </w:p>
    <w:p w14:paraId="763C402B" w14:textId="77777777" w:rsidR="00910DFC" w:rsidRDefault="00910DFC" w:rsidP="0099447C">
      <w:pPr>
        <w:pStyle w:val="Sinespaciado"/>
        <w:jc w:val="both"/>
        <w:rPr>
          <w:rFonts w:ascii="Verdana" w:hAnsi="Verdana"/>
        </w:rPr>
      </w:pPr>
    </w:p>
    <w:p w14:paraId="630CAEC8" w14:textId="77777777" w:rsidR="00910DFC" w:rsidRDefault="00910DFC" w:rsidP="0099447C">
      <w:pPr>
        <w:pStyle w:val="Sinespaciado"/>
        <w:jc w:val="both"/>
        <w:rPr>
          <w:rFonts w:ascii="Verdana" w:hAnsi="Verdana"/>
        </w:rPr>
      </w:pPr>
    </w:p>
    <w:p w14:paraId="657727B2" w14:textId="0076A7B6" w:rsidR="002D3088" w:rsidRPr="00910DFC" w:rsidRDefault="00DA293A" w:rsidP="0099447C">
      <w:pPr>
        <w:pStyle w:val="Sinespaciado"/>
        <w:jc w:val="both"/>
        <w:rPr>
          <w:rFonts w:ascii="Verdana" w:hAnsi="Verdana"/>
          <w:b/>
          <w:bCs/>
        </w:rPr>
      </w:pPr>
      <w:r w:rsidRPr="00910DFC">
        <w:rPr>
          <w:rFonts w:ascii="Verdana" w:hAnsi="Verdana"/>
          <w:b/>
          <w:bCs/>
        </w:rPr>
        <w:t>PABLO EMILIO MENDOZA VELILLA</w:t>
      </w:r>
    </w:p>
    <w:p w14:paraId="318D9A82" w14:textId="77777777" w:rsidR="00910DF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Subdirector de Gestión Normativa y Doctrina</w:t>
      </w:r>
    </w:p>
    <w:p w14:paraId="208207F6" w14:textId="77777777" w:rsidR="00910DF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Dirección de Gestión Jurídica</w:t>
      </w:r>
    </w:p>
    <w:p w14:paraId="273AD34C" w14:textId="1BBC43CE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UAE-DIAN</w:t>
      </w:r>
    </w:p>
    <w:p w14:paraId="48D96D18" w14:textId="77777777" w:rsidR="00910DF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Car. 8 N° 6C-38 Piso 4, Edificio San Agustín</w:t>
      </w:r>
    </w:p>
    <w:p w14:paraId="16C8D936" w14:textId="1643F9F8" w:rsidR="002D3088" w:rsidRPr="0099447C" w:rsidRDefault="00DA293A" w:rsidP="0099447C">
      <w:pPr>
        <w:pStyle w:val="Sinespaciado"/>
        <w:jc w:val="both"/>
        <w:rPr>
          <w:rFonts w:ascii="Verdana" w:hAnsi="Verdana"/>
        </w:rPr>
      </w:pPr>
      <w:r w:rsidRPr="0099447C">
        <w:rPr>
          <w:rFonts w:ascii="Verdana" w:hAnsi="Verdana"/>
        </w:rPr>
        <w:t>Bogotá D.C.</w:t>
      </w:r>
    </w:p>
    <w:sectPr w:rsidR="002D3088" w:rsidRPr="0099447C" w:rsidSect="0099447C">
      <w:type w:val="continuous"/>
      <w:pgSz w:w="12240" w:h="15840" w:code="1"/>
      <w:pgMar w:top="1701" w:right="1418" w:bottom="1701" w:left="1418" w:header="709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09B5" w14:textId="77777777" w:rsidR="001B3E88" w:rsidRDefault="001B3E88">
      <w:r>
        <w:separator/>
      </w:r>
    </w:p>
  </w:endnote>
  <w:endnote w:type="continuationSeparator" w:id="0">
    <w:p w14:paraId="21288034" w14:textId="77777777" w:rsidR="001B3E88" w:rsidRDefault="001B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1ED5" w14:textId="77777777" w:rsidR="001B3E88" w:rsidRDefault="001B3E88"/>
  </w:footnote>
  <w:footnote w:type="continuationSeparator" w:id="0">
    <w:p w14:paraId="6F380416" w14:textId="77777777" w:rsidR="001B3E88" w:rsidRDefault="001B3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124A8"/>
    <w:multiLevelType w:val="hybridMultilevel"/>
    <w:tmpl w:val="589E2FE8"/>
    <w:lvl w:ilvl="0" w:tplc="431AD282">
      <w:start w:val="1"/>
      <w:numFmt w:val="lowerLetter"/>
      <w:lvlText w:val="%1)"/>
      <w:lvlJc w:val="left"/>
      <w:pPr>
        <w:ind w:left="1068" w:hanging="360"/>
      </w:pPr>
      <w:rPr>
        <w:rFonts w:hint="default"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21610E"/>
    <w:multiLevelType w:val="multilevel"/>
    <w:tmpl w:val="4B7E96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88"/>
    <w:rsid w:val="001B3E88"/>
    <w:rsid w:val="002D3088"/>
    <w:rsid w:val="002D55BF"/>
    <w:rsid w:val="004D4C3D"/>
    <w:rsid w:val="00582E12"/>
    <w:rsid w:val="00910DFC"/>
    <w:rsid w:val="0099447C"/>
    <w:rsid w:val="00D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CB89"/>
  <w15:docId w15:val="{BBC8E9E1-018F-4B6C-AC30-FE150063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11">
    <w:name w:val="Cuerpo del texto (11)_"/>
    <w:basedOn w:val="Fuentedeprrafopredeter"/>
    <w:link w:val="Cuerpodeltexto11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uerpodeltexto11Negrita">
    <w:name w:val="Cuerpo del texto (11) + Negrita"/>
    <w:basedOn w:val="Cuerpodeltexto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11Negrita0">
    <w:name w:val="Cuerpo del texto (11) + Negrita"/>
    <w:basedOn w:val="Cuerpodeltexto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Cuerpodeltexto111">
    <w:name w:val="Cuerpo del texto (11)"/>
    <w:basedOn w:val="Cuerpodeltexto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Cuerpodeltexto1110ptoSincursiva">
    <w:name w:val="Cuerpo del texto (11) + 10 pto;Sin cursiva"/>
    <w:basedOn w:val="Cuerpodeltexto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uerpodeltexto12">
    <w:name w:val="Cuerpo del texto (12)_"/>
    <w:basedOn w:val="Fuentedeprrafopredeter"/>
    <w:link w:val="Cuerpodeltexto1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28">
    <w:name w:val="Cuerpo del texto (28)_"/>
    <w:basedOn w:val="Fuentedeprrafopredeter"/>
    <w:link w:val="Cuerpodeltexto2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180" w:after="1440" w:line="538" w:lineRule="exact"/>
      <w:ind w:hanging="720"/>
    </w:pPr>
    <w:rPr>
      <w:rFonts w:ascii="Arial" w:eastAsia="Arial" w:hAnsi="Arial" w:cs="Arial"/>
      <w:sz w:val="20"/>
      <w:szCs w:val="20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before="300" w:after="780" w:line="274" w:lineRule="exact"/>
      <w:jc w:val="both"/>
    </w:pPr>
    <w:rPr>
      <w:rFonts w:ascii="Arial" w:eastAsia="Arial" w:hAnsi="Arial" w:cs="Arial"/>
      <w:i/>
      <w:iCs/>
    </w:rPr>
  </w:style>
  <w:style w:type="paragraph" w:customStyle="1" w:styleId="Cuerpodeltexto120">
    <w:name w:val="Cuerpo del texto (12)"/>
    <w:basedOn w:val="Normal"/>
    <w:link w:val="Cuerpodeltexto12"/>
    <w:pPr>
      <w:shd w:val="clear" w:color="auto" w:fill="FFFFFF"/>
      <w:spacing w:before="240" w:line="17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Cuerpodeltexto280">
    <w:name w:val="Cuerpo del texto (28)"/>
    <w:basedOn w:val="Normal"/>
    <w:link w:val="Cuerpodeltexto28"/>
    <w:pPr>
      <w:shd w:val="clear" w:color="auto" w:fill="FFFFFF"/>
      <w:spacing w:before="60" w:line="27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Sinespaciado">
    <w:name w:val="No Spacing"/>
    <w:uiPriority w:val="1"/>
    <w:qFormat/>
    <w:rsid w:val="0099447C"/>
    <w:rPr>
      <w:color w:val="000000"/>
    </w:rPr>
  </w:style>
  <w:style w:type="paragraph" w:styleId="Prrafodelista">
    <w:name w:val="List Paragraph"/>
    <w:basedOn w:val="Normal"/>
    <w:uiPriority w:val="34"/>
    <w:qFormat/>
    <w:rsid w:val="0058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Steven Espinel Laverde</dc:creator>
  <cp:keywords/>
  <cp:lastModifiedBy>Guillermo Alzate Duque</cp:lastModifiedBy>
  <cp:revision>2</cp:revision>
  <dcterms:created xsi:type="dcterms:W3CDTF">2021-06-16T01:41:00Z</dcterms:created>
  <dcterms:modified xsi:type="dcterms:W3CDTF">2021-06-16T01:41:00Z</dcterms:modified>
</cp:coreProperties>
</file>