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571F" w14:textId="23F6648B" w:rsidR="00F100A9" w:rsidRPr="004D307A" w:rsidRDefault="004D307A" w:rsidP="004D307A">
      <w:pPr>
        <w:pStyle w:val="Sinespaciado"/>
        <w:jc w:val="both"/>
        <w:rPr>
          <w:rFonts w:ascii="Verdana" w:hAnsi="Verdana"/>
          <w:b/>
          <w:bCs/>
        </w:rPr>
      </w:pPr>
      <w:r w:rsidRPr="004D307A">
        <w:rPr>
          <w:rFonts w:ascii="Verdana" w:hAnsi="Verdana"/>
          <w:b/>
          <w:bCs/>
        </w:rPr>
        <w:t>CONCEPTO 299 DEL 3 DE MARZO DE 2021</w:t>
      </w:r>
    </w:p>
    <w:p w14:paraId="3E7BFCCA" w14:textId="526F517C" w:rsidR="004D307A" w:rsidRPr="004D307A" w:rsidRDefault="004D307A" w:rsidP="004D307A">
      <w:pPr>
        <w:pStyle w:val="Sinespaciado"/>
        <w:jc w:val="both"/>
        <w:rPr>
          <w:rFonts w:ascii="Verdana" w:hAnsi="Verdana"/>
          <w:b/>
          <w:bCs/>
        </w:rPr>
      </w:pPr>
      <w:r w:rsidRPr="004D307A">
        <w:rPr>
          <w:rFonts w:ascii="Verdana" w:hAnsi="Verdana"/>
          <w:b/>
          <w:bCs/>
        </w:rPr>
        <w:t>DIRECCIÓN DE IMPUESTOS Y ADUANAS NACIONALES</w:t>
      </w:r>
    </w:p>
    <w:p w14:paraId="36AFFBAE" w14:textId="77777777" w:rsidR="00F100A9" w:rsidRPr="004D307A" w:rsidRDefault="00F100A9" w:rsidP="004D307A">
      <w:pPr>
        <w:pStyle w:val="Sinespaciado"/>
        <w:jc w:val="both"/>
        <w:rPr>
          <w:rFonts w:ascii="Verdana" w:hAnsi="Verdana"/>
        </w:rPr>
      </w:pPr>
    </w:p>
    <w:p w14:paraId="18571DA0" w14:textId="5FA64EAC" w:rsidR="00F100A9" w:rsidRPr="004D307A" w:rsidRDefault="004D307A" w:rsidP="004D307A">
      <w:pPr>
        <w:pStyle w:val="Sinespaciado"/>
        <w:jc w:val="both"/>
        <w:rPr>
          <w:rFonts w:ascii="Verdana" w:hAnsi="Verdana"/>
        </w:rPr>
      </w:pPr>
      <w:r>
        <w:rPr>
          <w:rFonts w:ascii="Verdana" w:hAnsi="Verdana"/>
        </w:rPr>
        <w:t>Bogotá, D.C.</w:t>
      </w:r>
    </w:p>
    <w:p w14:paraId="61184DAD" w14:textId="77777777" w:rsidR="00F100A9" w:rsidRPr="004D307A" w:rsidRDefault="00F100A9" w:rsidP="004D307A">
      <w:pPr>
        <w:pStyle w:val="Sinespaciado"/>
        <w:jc w:val="both"/>
        <w:rPr>
          <w:rFonts w:ascii="Verdana" w:hAnsi="Verdana"/>
        </w:rPr>
      </w:pPr>
    </w:p>
    <w:p w14:paraId="260BC7EB" w14:textId="0195D4BD" w:rsidR="00F100A9" w:rsidRPr="004D307A" w:rsidRDefault="004D307A" w:rsidP="004D307A">
      <w:pPr>
        <w:pStyle w:val="Sinespaciado"/>
        <w:jc w:val="both"/>
        <w:rPr>
          <w:rFonts w:ascii="Verdana" w:hAnsi="Verdana"/>
        </w:rPr>
      </w:pPr>
      <w:r w:rsidRPr="004D307A">
        <w:rPr>
          <w:rFonts w:ascii="Verdana" w:hAnsi="Verdana"/>
          <w:b/>
          <w:bCs/>
        </w:rPr>
        <w:t>Tema</w:t>
      </w:r>
      <w:r>
        <w:rPr>
          <w:rFonts w:ascii="Verdana" w:hAnsi="Verdana"/>
          <w:b/>
          <w:bCs/>
        </w:rPr>
        <w:tab/>
      </w:r>
      <w:r>
        <w:rPr>
          <w:rFonts w:ascii="Verdana" w:hAnsi="Verdana"/>
          <w:b/>
          <w:bCs/>
        </w:rPr>
        <w:tab/>
      </w:r>
      <w:r>
        <w:rPr>
          <w:rFonts w:ascii="Verdana" w:hAnsi="Verdana"/>
          <w:b/>
          <w:bCs/>
        </w:rPr>
        <w:tab/>
      </w:r>
      <w:r w:rsidRPr="004D307A">
        <w:rPr>
          <w:rFonts w:ascii="Verdana" w:hAnsi="Verdana"/>
        </w:rPr>
        <w:t>Impuesto sobre la renta y complementarios</w:t>
      </w:r>
    </w:p>
    <w:p w14:paraId="2D014775" w14:textId="15474FFC" w:rsidR="00F100A9" w:rsidRPr="004D307A" w:rsidRDefault="004D307A" w:rsidP="004D307A">
      <w:pPr>
        <w:pStyle w:val="Sinespaciado"/>
        <w:jc w:val="both"/>
        <w:rPr>
          <w:rFonts w:ascii="Verdana" w:hAnsi="Verdana"/>
        </w:rPr>
      </w:pPr>
      <w:r w:rsidRPr="004D307A">
        <w:rPr>
          <w:rFonts w:ascii="Verdana" w:hAnsi="Verdana"/>
          <w:b/>
          <w:bCs/>
        </w:rPr>
        <w:t>Descriptores</w:t>
      </w:r>
      <w:r>
        <w:rPr>
          <w:rFonts w:ascii="Verdana" w:hAnsi="Verdana"/>
          <w:b/>
          <w:bCs/>
        </w:rPr>
        <w:tab/>
      </w:r>
      <w:r>
        <w:rPr>
          <w:rFonts w:ascii="Verdana" w:hAnsi="Verdana"/>
          <w:b/>
          <w:bCs/>
        </w:rPr>
        <w:tab/>
      </w:r>
      <w:r w:rsidRPr="004D307A">
        <w:rPr>
          <w:rFonts w:ascii="Verdana" w:hAnsi="Verdana"/>
        </w:rPr>
        <w:t>Descuentos Tributarios</w:t>
      </w:r>
    </w:p>
    <w:p w14:paraId="251F191D" w14:textId="47374483" w:rsidR="00F100A9" w:rsidRPr="004D307A" w:rsidRDefault="004D307A" w:rsidP="004D307A">
      <w:pPr>
        <w:pStyle w:val="Sinespaciado"/>
        <w:jc w:val="both"/>
        <w:rPr>
          <w:rFonts w:ascii="Verdana" w:hAnsi="Verdana"/>
        </w:rPr>
      </w:pPr>
      <w:r w:rsidRPr="004D307A">
        <w:rPr>
          <w:rFonts w:ascii="Verdana" w:hAnsi="Verdana"/>
          <w:b/>
          <w:bCs/>
        </w:rPr>
        <w:t>Fuentes formales</w:t>
      </w:r>
      <w:r>
        <w:rPr>
          <w:rFonts w:ascii="Verdana" w:hAnsi="Verdana"/>
          <w:b/>
          <w:bCs/>
        </w:rPr>
        <w:tab/>
      </w:r>
      <w:r w:rsidRPr="004D307A">
        <w:rPr>
          <w:rFonts w:ascii="Verdana" w:hAnsi="Verdana"/>
        </w:rPr>
        <w:t>Artículos 254 y 743 del Estatuto Tributario</w:t>
      </w:r>
    </w:p>
    <w:p w14:paraId="35133D8F" w14:textId="77777777" w:rsidR="00F100A9" w:rsidRPr="004D307A" w:rsidRDefault="004D307A" w:rsidP="004D307A">
      <w:pPr>
        <w:pStyle w:val="Sinespaciado"/>
        <w:ind w:left="2124" w:firstLine="708"/>
        <w:jc w:val="both"/>
        <w:rPr>
          <w:rFonts w:ascii="Verdana" w:hAnsi="Verdana"/>
        </w:rPr>
      </w:pPr>
      <w:r w:rsidRPr="004D307A">
        <w:rPr>
          <w:rFonts w:ascii="Verdana" w:hAnsi="Verdana"/>
        </w:rPr>
        <w:t>Artículo 251 Código General del Proceso</w:t>
      </w:r>
    </w:p>
    <w:p w14:paraId="3D4B4F0C" w14:textId="77777777" w:rsidR="004D307A" w:rsidRDefault="004D307A" w:rsidP="004D307A">
      <w:pPr>
        <w:pStyle w:val="Sinespaciado"/>
        <w:jc w:val="both"/>
        <w:rPr>
          <w:rFonts w:ascii="Verdana" w:hAnsi="Verdana"/>
        </w:rPr>
      </w:pPr>
    </w:p>
    <w:p w14:paraId="3E2D707D" w14:textId="2E4C399F" w:rsidR="00F100A9" w:rsidRPr="004D307A" w:rsidRDefault="004D307A" w:rsidP="004D307A">
      <w:pPr>
        <w:pStyle w:val="Sinespaciado"/>
        <w:jc w:val="both"/>
        <w:rPr>
          <w:rFonts w:ascii="Verdana" w:hAnsi="Verdana"/>
        </w:rPr>
      </w:pPr>
      <w:r w:rsidRPr="004D307A">
        <w:rPr>
          <w:rFonts w:ascii="Verdana" w:hAnsi="Verdana"/>
        </w:rPr>
        <w:t>Cordial saludo.</w:t>
      </w:r>
    </w:p>
    <w:p w14:paraId="42ECB453" w14:textId="77777777" w:rsidR="004D307A" w:rsidRDefault="004D307A" w:rsidP="004D307A">
      <w:pPr>
        <w:pStyle w:val="Sinespaciado"/>
        <w:jc w:val="both"/>
        <w:rPr>
          <w:rFonts w:ascii="Verdana" w:hAnsi="Verdana"/>
        </w:rPr>
      </w:pPr>
    </w:p>
    <w:p w14:paraId="70414792" w14:textId="0D244160" w:rsidR="00F100A9" w:rsidRPr="004D307A" w:rsidRDefault="004D307A" w:rsidP="004D307A">
      <w:pPr>
        <w:pStyle w:val="Sinespaciado"/>
        <w:jc w:val="both"/>
        <w:rPr>
          <w:rFonts w:ascii="Verdana" w:hAnsi="Verdana"/>
        </w:rPr>
      </w:pPr>
      <w:r w:rsidRPr="004D307A">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DD0311E" w14:textId="77777777" w:rsidR="004D307A" w:rsidRDefault="004D307A" w:rsidP="004D307A">
      <w:pPr>
        <w:pStyle w:val="Sinespaciado"/>
        <w:jc w:val="both"/>
        <w:rPr>
          <w:rFonts w:ascii="Verdana" w:hAnsi="Verdana"/>
        </w:rPr>
      </w:pPr>
    </w:p>
    <w:p w14:paraId="136395EA" w14:textId="0DCEB3B0" w:rsidR="00F100A9" w:rsidRPr="004D307A" w:rsidRDefault="004D307A" w:rsidP="004D307A">
      <w:pPr>
        <w:pStyle w:val="Sinespaciado"/>
        <w:jc w:val="both"/>
        <w:rPr>
          <w:rFonts w:ascii="Verdana" w:hAnsi="Verdana"/>
        </w:rPr>
      </w:pPr>
      <w:r w:rsidRPr="004D307A">
        <w:rPr>
          <w:rFonts w:ascii="Verdana" w:hAnsi="Verdana"/>
        </w:rPr>
        <w:t>Mediante el radicado de la referencia, y de conformidad con el artículo 254 del Estatuto Tributario, la peticionaria consulta cuáles son los documentos necesarios para que proceda dicho descuento.</w:t>
      </w:r>
    </w:p>
    <w:p w14:paraId="61E4FBFE" w14:textId="77777777" w:rsidR="004D307A" w:rsidRDefault="004D307A" w:rsidP="004D307A">
      <w:pPr>
        <w:pStyle w:val="Sinespaciado"/>
        <w:jc w:val="both"/>
        <w:rPr>
          <w:rFonts w:ascii="Verdana" w:hAnsi="Verdana"/>
        </w:rPr>
      </w:pPr>
    </w:p>
    <w:p w14:paraId="6E7AFECF" w14:textId="7205C1B4" w:rsidR="00F100A9" w:rsidRPr="004D307A" w:rsidRDefault="004D307A" w:rsidP="004D307A">
      <w:pPr>
        <w:pStyle w:val="Sinespaciado"/>
        <w:jc w:val="both"/>
        <w:rPr>
          <w:rFonts w:ascii="Verdana" w:hAnsi="Verdana"/>
        </w:rPr>
      </w:pPr>
      <w:r w:rsidRPr="004D307A">
        <w:rPr>
          <w:rFonts w:ascii="Verdana" w:hAnsi="Verdana"/>
        </w:rPr>
        <w:t>En particular, solicita se aclare cuáles son los requisitos tanto de forma como de fondo que debe cumplir el certificado fiscal como medio probatorio a que hace referencia el literal f) de dicho artículo, así como el significado de prueba idónea y cuáles requisitos debe cumplir éste último.</w:t>
      </w:r>
    </w:p>
    <w:p w14:paraId="3C24AB08" w14:textId="77777777" w:rsidR="004D307A" w:rsidRDefault="004D307A" w:rsidP="004D307A">
      <w:pPr>
        <w:pStyle w:val="Sinespaciado"/>
        <w:jc w:val="both"/>
        <w:rPr>
          <w:rFonts w:ascii="Verdana" w:hAnsi="Verdana"/>
        </w:rPr>
      </w:pPr>
    </w:p>
    <w:p w14:paraId="7F8E2C01" w14:textId="28A424CE" w:rsidR="00F100A9" w:rsidRPr="004D307A" w:rsidRDefault="004D307A" w:rsidP="004D307A">
      <w:pPr>
        <w:pStyle w:val="Sinespaciado"/>
        <w:jc w:val="both"/>
        <w:rPr>
          <w:rFonts w:ascii="Verdana" w:hAnsi="Verdana"/>
        </w:rPr>
      </w:pPr>
      <w:r w:rsidRPr="004D307A">
        <w:rPr>
          <w:rFonts w:ascii="Verdana" w:hAnsi="Verdana"/>
        </w:rPr>
        <w:t>Sobre el particular, las consideraciones del Despacho son las siguientes:</w:t>
      </w:r>
    </w:p>
    <w:p w14:paraId="666840CC" w14:textId="77777777" w:rsidR="004D307A" w:rsidRDefault="004D307A" w:rsidP="004D307A">
      <w:pPr>
        <w:pStyle w:val="Sinespaciado"/>
        <w:jc w:val="both"/>
        <w:rPr>
          <w:rFonts w:ascii="Verdana" w:hAnsi="Verdana"/>
        </w:rPr>
      </w:pPr>
    </w:p>
    <w:p w14:paraId="0C3B1648" w14:textId="2E176A00" w:rsidR="00F100A9" w:rsidRPr="004D307A" w:rsidRDefault="004D307A" w:rsidP="004D307A">
      <w:pPr>
        <w:pStyle w:val="Sinespaciado"/>
        <w:jc w:val="both"/>
        <w:rPr>
          <w:rFonts w:ascii="Verdana" w:hAnsi="Verdana"/>
        </w:rPr>
      </w:pPr>
      <w:r w:rsidRPr="004D307A">
        <w:rPr>
          <w:rFonts w:ascii="Verdana" w:hAnsi="Verdana"/>
        </w:rPr>
        <w:t xml:space="preserve">El artículo 254 del Estatuto Tributario establece el descuento por impuestos pagados en el exterior, el cual debe cumplir los requisitos previstos en dicha disposición normativa par </w:t>
      </w:r>
      <w:r>
        <w:rPr>
          <w:rFonts w:ascii="Verdana" w:hAnsi="Verdana"/>
        </w:rPr>
        <w:t xml:space="preserve">(sic) </w:t>
      </w:r>
      <w:r w:rsidRPr="004D307A">
        <w:rPr>
          <w:rFonts w:ascii="Verdana" w:hAnsi="Verdana"/>
        </w:rPr>
        <w:t>su procedencia. Entre otros, el literal f de dicho artículo dispone:</w:t>
      </w:r>
    </w:p>
    <w:p w14:paraId="66AC5909" w14:textId="77777777" w:rsidR="004D307A" w:rsidRDefault="004D307A" w:rsidP="004D307A">
      <w:pPr>
        <w:pStyle w:val="Sinespaciado"/>
        <w:jc w:val="both"/>
        <w:rPr>
          <w:rFonts w:ascii="Verdana" w:hAnsi="Verdana"/>
        </w:rPr>
      </w:pPr>
    </w:p>
    <w:p w14:paraId="51D27BA2" w14:textId="534A5BB0" w:rsidR="00F100A9" w:rsidRPr="004D307A" w:rsidRDefault="004D307A" w:rsidP="004D307A">
      <w:pPr>
        <w:pStyle w:val="Sinespaciado"/>
        <w:ind w:left="708"/>
        <w:jc w:val="both"/>
        <w:rPr>
          <w:rFonts w:ascii="Verdana" w:hAnsi="Verdana"/>
        </w:rPr>
      </w:pPr>
      <w:r w:rsidRPr="004D307A">
        <w:rPr>
          <w:rFonts w:ascii="Verdana" w:hAnsi="Verdana"/>
          <w:i/>
          <w:iCs/>
        </w:rPr>
        <w:t>“(...) f) Para tener derecho al descuento a que se refieren los literales a), b) y d),</w:t>
      </w:r>
      <w:r w:rsidRPr="004D307A">
        <w:rPr>
          <w:rFonts w:ascii="Verdana" w:hAnsi="Verdana"/>
        </w:rPr>
        <w:t xml:space="preserve"> </w:t>
      </w:r>
      <w:r w:rsidRPr="004D307A">
        <w:rPr>
          <w:rStyle w:val="Cuerpodeltexto29Negrita"/>
          <w:rFonts w:ascii="Verdana" w:hAnsi="Verdana"/>
          <w:sz w:val="24"/>
          <w:szCs w:val="24"/>
        </w:rPr>
        <w:t xml:space="preserve">el contribuyente deberá probar el pago en cada jurisdicción aportando certificado fiscal del pago del impuesto expedido por la autoridad tributaria respectiva o en su defecto con una prueba idónea. </w:t>
      </w:r>
      <w:r w:rsidRPr="004D307A">
        <w:rPr>
          <w:rStyle w:val="Cuerpodeltexto291"/>
          <w:rFonts w:ascii="Verdana" w:hAnsi="Verdana"/>
          <w:sz w:val="24"/>
          <w:szCs w:val="24"/>
        </w:rPr>
        <w:t xml:space="preserve">Adicionalmente, se deberá contar con un </w:t>
      </w:r>
      <w:r w:rsidRPr="004D307A">
        <w:rPr>
          <w:rStyle w:val="Cuerpodeltexto291"/>
          <w:rFonts w:ascii="Verdana" w:hAnsi="Verdana"/>
          <w:sz w:val="24"/>
          <w:szCs w:val="24"/>
        </w:rPr>
        <w:lastRenderedPageBreak/>
        <w:t>certificado del revisor fiscal de la sociedad que distribuye los dividendos, en que se pueda constatar el valor de la utilidad comercial, el valor de la utilidad fiscal, la tarifa de impuesto y el impuesto efectivamente pagado por dicha sociedad</w:t>
      </w:r>
      <w:r w:rsidRPr="004D307A">
        <w:rPr>
          <w:rFonts w:ascii="Verdana" w:hAnsi="Verdana"/>
        </w:rPr>
        <w:t xml:space="preserve">. </w:t>
      </w:r>
      <w:r w:rsidRPr="004D307A">
        <w:rPr>
          <w:rFonts w:ascii="Verdana" w:hAnsi="Verdana"/>
          <w:i/>
          <w:iCs/>
        </w:rPr>
        <w:t>La tarifa efectiva será el porcentaje que resulte de dividir el valor del impuesto efectivamente pagado en las utilidades comerciales de la sociedad extranjera operativa antes de impuestos”.</w:t>
      </w:r>
      <w:r w:rsidRPr="004D307A">
        <w:rPr>
          <w:rStyle w:val="Cuerpodeltexto2995ptoNegritaSincursiva"/>
          <w:rFonts w:ascii="Verdana" w:hAnsi="Verdana"/>
          <w:i w:val="0"/>
          <w:iCs w:val="0"/>
          <w:sz w:val="24"/>
          <w:szCs w:val="24"/>
        </w:rPr>
        <w:t xml:space="preserve"> </w:t>
      </w:r>
      <w:r w:rsidRPr="004D307A">
        <w:rPr>
          <w:rStyle w:val="Cuerpodeltexto2995ptoSincursiva"/>
          <w:rFonts w:ascii="Verdana" w:hAnsi="Verdana"/>
          <w:i w:val="0"/>
          <w:iCs w:val="0"/>
          <w:sz w:val="24"/>
          <w:szCs w:val="24"/>
        </w:rPr>
        <w:t>(Negrilla y subraya fuera de texto)</w:t>
      </w:r>
    </w:p>
    <w:p w14:paraId="4DFD5E65" w14:textId="77777777" w:rsidR="004D307A" w:rsidRDefault="004D307A" w:rsidP="004D307A">
      <w:pPr>
        <w:pStyle w:val="Sinespaciado"/>
        <w:jc w:val="both"/>
        <w:rPr>
          <w:rFonts w:ascii="Verdana" w:hAnsi="Verdana"/>
        </w:rPr>
      </w:pPr>
    </w:p>
    <w:p w14:paraId="070018FB" w14:textId="1EC5E161" w:rsidR="004D307A" w:rsidRDefault="004D307A" w:rsidP="004D307A">
      <w:pPr>
        <w:pStyle w:val="Sinespaciado"/>
        <w:jc w:val="both"/>
        <w:rPr>
          <w:rFonts w:ascii="Verdana" w:hAnsi="Verdana"/>
        </w:rPr>
      </w:pPr>
      <w:r w:rsidRPr="004D307A">
        <w:rPr>
          <w:rFonts w:ascii="Verdana" w:hAnsi="Verdana"/>
        </w:rPr>
        <w:t>En relación con lo anterior, este Despacho en Oficio No. 00104 del 12 de febrero de 2018 indicó:</w:t>
      </w:r>
    </w:p>
    <w:p w14:paraId="6C5A5599" w14:textId="77777777" w:rsidR="004D307A" w:rsidRDefault="004D307A" w:rsidP="004D307A">
      <w:pPr>
        <w:pStyle w:val="Sinespaciado"/>
        <w:jc w:val="both"/>
        <w:rPr>
          <w:rFonts w:ascii="Verdana" w:hAnsi="Verdana"/>
        </w:rPr>
      </w:pPr>
    </w:p>
    <w:p w14:paraId="12DDC787" w14:textId="29CB03B7" w:rsidR="00F100A9" w:rsidRPr="004D307A" w:rsidRDefault="004D307A" w:rsidP="004D307A">
      <w:pPr>
        <w:pStyle w:val="Sinespaciado"/>
        <w:ind w:left="708"/>
        <w:jc w:val="both"/>
        <w:rPr>
          <w:rFonts w:ascii="Verdana" w:hAnsi="Verdana"/>
        </w:rPr>
      </w:pPr>
      <w:r w:rsidRPr="004D307A">
        <w:rPr>
          <w:rFonts w:ascii="Verdana" w:hAnsi="Verdana"/>
          <w:i/>
          <w:iCs/>
        </w:rPr>
        <w:t>“Frente al primer interrogante, resulta menester recordar que, para tener derecho al descuento de que trata el artículo 254 del Estatuto Tributario, el residente fiscal en Colombia persona natural o con domicilio fiscal en caso de sociedad o entidad, deberá probar el impuesto sobre la renta pagado en la jurisdicción de origen,</w:t>
      </w:r>
      <w:r w:rsidRPr="004D307A">
        <w:rPr>
          <w:rFonts w:ascii="Verdana" w:hAnsi="Verdana"/>
        </w:rPr>
        <w:t xml:space="preserve"> </w:t>
      </w:r>
      <w:r w:rsidRPr="004D307A">
        <w:rPr>
          <w:rStyle w:val="Cuerpodeltexto29Negrita"/>
          <w:rFonts w:ascii="Verdana" w:hAnsi="Verdana"/>
          <w:sz w:val="24"/>
          <w:szCs w:val="24"/>
        </w:rPr>
        <w:t>aportando certificado fiscal del pago del impuesto expedido por la autoridad tributaria respectiva o en su defecto con prueba idónea que respalde el mismo</w:t>
      </w:r>
      <w:r w:rsidRPr="004D307A">
        <w:rPr>
          <w:rFonts w:ascii="Verdana" w:hAnsi="Verdana"/>
        </w:rPr>
        <w:t>”.</w:t>
      </w:r>
    </w:p>
    <w:p w14:paraId="237D38F5" w14:textId="77777777" w:rsidR="004D307A" w:rsidRDefault="004D307A" w:rsidP="004D307A">
      <w:pPr>
        <w:pStyle w:val="Sinespaciado"/>
        <w:jc w:val="both"/>
        <w:rPr>
          <w:rFonts w:ascii="Verdana" w:hAnsi="Verdana"/>
        </w:rPr>
      </w:pPr>
    </w:p>
    <w:p w14:paraId="613C3911" w14:textId="28641B6F" w:rsidR="00F100A9" w:rsidRPr="004D307A" w:rsidRDefault="004D307A" w:rsidP="004D307A">
      <w:pPr>
        <w:pStyle w:val="Sinespaciado"/>
        <w:jc w:val="both"/>
        <w:rPr>
          <w:rFonts w:ascii="Verdana" w:hAnsi="Verdana"/>
        </w:rPr>
      </w:pPr>
      <w:r w:rsidRPr="004D307A">
        <w:rPr>
          <w:rFonts w:ascii="Verdana" w:hAnsi="Verdana"/>
        </w:rPr>
        <w:t>Así, para efectos de la procedencia del descuento de que trata el artículo 254 del Estatuto Tributario, el pago en cada jurisdicción deberá probarse aportando certificado fiscal en los términos del literal f), esto es, éste debe evidenciar el pago del impuesto y debe ser expedido por la autoridad tributaria respectiva.</w:t>
      </w:r>
    </w:p>
    <w:p w14:paraId="6D320F6B" w14:textId="77777777" w:rsidR="004D307A" w:rsidRDefault="004D307A" w:rsidP="004D307A">
      <w:pPr>
        <w:pStyle w:val="Sinespaciado"/>
        <w:jc w:val="both"/>
        <w:rPr>
          <w:rFonts w:ascii="Verdana" w:hAnsi="Verdana"/>
        </w:rPr>
      </w:pPr>
    </w:p>
    <w:p w14:paraId="5E6635C3" w14:textId="15FEDB5C" w:rsidR="00F100A9" w:rsidRPr="004D307A" w:rsidRDefault="004D307A" w:rsidP="004D307A">
      <w:pPr>
        <w:pStyle w:val="Sinespaciado"/>
        <w:jc w:val="both"/>
        <w:rPr>
          <w:rFonts w:ascii="Verdana" w:hAnsi="Verdana"/>
        </w:rPr>
      </w:pPr>
      <w:r w:rsidRPr="004D307A">
        <w:rPr>
          <w:rFonts w:ascii="Verdana" w:hAnsi="Verdana"/>
        </w:rPr>
        <w:t>En su defecto, mediante cualquier otro medio de prueba idóneo. Nótese que el Legislador, respecto a éste último, no estableció taxativamente los documentos que valen como prueba idónea, pero los mismos deben ser idóneos para acreditar el pago del impuesto en cada jurisdicción. Por lo tanto, es pertinente destacar el artículo 743 del Estatuto Tributario, el cual señala:</w:t>
      </w:r>
    </w:p>
    <w:p w14:paraId="22702366" w14:textId="77777777" w:rsidR="004D307A" w:rsidRDefault="004D307A" w:rsidP="004D307A">
      <w:pPr>
        <w:pStyle w:val="Sinespaciado"/>
        <w:jc w:val="both"/>
        <w:rPr>
          <w:rStyle w:val="Cuerpodeltexto29Negrita0"/>
          <w:rFonts w:ascii="Verdana" w:hAnsi="Verdana"/>
          <w:sz w:val="24"/>
          <w:szCs w:val="24"/>
        </w:rPr>
      </w:pPr>
    </w:p>
    <w:p w14:paraId="12296BF5" w14:textId="34866226" w:rsidR="00F100A9" w:rsidRPr="004D307A" w:rsidRDefault="004D307A" w:rsidP="004D307A">
      <w:pPr>
        <w:pStyle w:val="Sinespaciado"/>
        <w:ind w:left="708"/>
        <w:jc w:val="both"/>
        <w:rPr>
          <w:rFonts w:ascii="Verdana" w:hAnsi="Verdana"/>
          <w:i/>
          <w:iCs/>
        </w:rPr>
      </w:pPr>
      <w:r w:rsidRPr="004D307A">
        <w:rPr>
          <w:rStyle w:val="Cuerpodeltexto29Negrita0"/>
          <w:rFonts w:ascii="Verdana" w:hAnsi="Verdana"/>
          <w:sz w:val="24"/>
          <w:szCs w:val="24"/>
        </w:rPr>
        <w:t xml:space="preserve">ARTICULO 743. IDONEIDAD DE LOS MEDIOS DE PRUEBA. </w:t>
      </w:r>
      <w:r w:rsidRPr="004D307A">
        <w:rPr>
          <w:rFonts w:ascii="Verdana" w:hAnsi="Verdana"/>
          <w:i/>
          <w:iCs/>
        </w:rPr>
        <w:t>La idoneidad de los medios de prueba depende, en primer término, de las exigencias que para establecer determinados hechos preceptúen las leyes tributarias o las leyes que regulan el hecho por demostrarse y a falta de unas y otras, de su mayor o menor conexión con el hecho que trata de probarse y del valor de convencimiento que pueda atribuírseles de acuerdo con las reglas de la sana crítica.</w:t>
      </w:r>
    </w:p>
    <w:p w14:paraId="0E8783B5" w14:textId="77777777" w:rsidR="004D307A" w:rsidRDefault="004D307A" w:rsidP="004D307A">
      <w:pPr>
        <w:pStyle w:val="Sinespaciado"/>
        <w:jc w:val="both"/>
        <w:rPr>
          <w:rFonts w:ascii="Verdana" w:hAnsi="Verdana"/>
          <w:i/>
          <w:iCs/>
        </w:rPr>
      </w:pPr>
    </w:p>
    <w:p w14:paraId="5A1F61FB" w14:textId="701C0B76" w:rsidR="00F100A9" w:rsidRPr="004D307A" w:rsidRDefault="004D307A" w:rsidP="004D307A">
      <w:pPr>
        <w:pStyle w:val="Sinespaciado"/>
        <w:jc w:val="both"/>
        <w:rPr>
          <w:rFonts w:ascii="Verdana" w:hAnsi="Verdana"/>
        </w:rPr>
      </w:pPr>
      <w:r w:rsidRPr="004D307A">
        <w:rPr>
          <w:rFonts w:ascii="Verdana" w:hAnsi="Verdana"/>
        </w:rPr>
        <w:t xml:space="preserve">De igual manera, se detaca </w:t>
      </w:r>
      <w:r>
        <w:rPr>
          <w:rFonts w:ascii="Verdana" w:hAnsi="Verdana"/>
        </w:rPr>
        <w:t xml:space="preserve">(sic) </w:t>
      </w:r>
      <w:r w:rsidRPr="004D307A">
        <w:rPr>
          <w:rFonts w:ascii="Verdana" w:hAnsi="Verdana"/>
        </w:rPr>
        <w:t xml:space="preserve">el artículo 251 del Código General del </w:t>
      </w:r>
      <w:r w:rsidRPr="004D307A">
        <w:rPr>
          <w:rFonts w:ascii="Verdana" w:hAnsi="Verdana"/>
        </w:rPr>
        <w:lastRenderedPageBreak/>
        <w:t>Proceso, el cual dispone (Ley 1564 de 2012)</w:t>
      </w:r>
    </w:p>
    <w:p w14:paraId="6DB82F4F" w14:textId="77777777" w:rsidR="004D307A" w:rsidRDefault="004D307A" w:rsidP="004D307A">
      <w:pPr>
        <w:pStyle w:val="Sinespaciado"/>
        <w:ind w:left="708"/>
        <w:jc w:val="both"/>
        <w:rPr>
          <w:rStyle w:val="Cuerpodeltexto29Negrita0"/>
          <w:rFonts w:ascii="Verdana" w:hAnsi="Verdana"/>
          <w:sz w:val="24"/>
          <w:szCs w:val="24"/>
        </w:rPr>
      </w:pPr>
    </w:p>
    <w:p w14:paraId="00FEBB12" w14:textId="7EF08F58" w:rsidR="00F100A9" w:rsidRPr="004D307A" w:rsidRDefault="004D307A" w:rsidP="004D307A">
      <w:pPr>
        <w:pStyle w:val="Sinespaciado"/>
        <w:ind w:left="708"/>
        <w:jc w:val="both"/>
        <w:rPr>
          <w:rFonts w:ascii="Verdana" w:hAnsi="Verdana"/>
          <w:i/>
          <w:iCs/>
        </w:rPr>
      </w:pPr>
      <w:r w:rsidRPr="004D307A">
        <w:rPr>
          <w:rStyle w:val="Cuerpodeltexto29Negrita0"/>
          <w:rFonts w:ascii="Verdana" w:hAnsi="Verdana"/>
          <w:sz w:val="24"/>
          <w:szCs w:val="24"/>
        </w:rPr>
        <w:t xml:space="preserve">“Artículo 251. Documentos en idioma extranjero y otorgados en el extranjero. </w:t>
      </w:r>
      <w:r w:rsidRPr="004D307A">
        <w:rPr>
          <w:rFonts w:ascii="Verdana" w:hAnsi="Verdana"/>
          <w:i/>
          <w:iCs/>
        </w:rPr>
        <w:t>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124C149F" w14:textId="77777777" w:rsidR="004D307A" w:rsidRDefault="004D307A" w:rsidP="004D307A">
      <w:pPr>
        <w:pStyle w:val="Sinespaciado"/>
        <w:ind w:left="708"/>
        <w:jc w:val="both"/>
        <w:rPr>
          <w:rFonts w:ascii="Verdana" w:hAnsi="Verdana"/>
          <w:i/>
          <w:iCs/>
        </w:rPr>
      </w:pPr>
    </w:p>
    <w:p w14:paraId="475B4FB2" w14:textId="0766EAD8" w:rsidR="00F100A9" w:rsidRPr="004D307A" w:rsidRDefault="004D307A" w:rsidP="004D307A">
      <w:pPr>
        <w:pStyle w:val="Sinespaciado"/>
        <w:ind w:left="708"/>
        <w:jc w:val="both"/>
        <w:rPr>
          <w:rFonts w:ascii="Verdana" w:hAnsi="Verdana"/>
          <w:i/>
          <w:iCs/>
        </w:rPr>
      </w:pPr>
      <w:r w:rsidRPr="004D307A">
        <w:rPr>
          <w:rFonts w:ascii="Verdana" w:hAnsi="Verdana"/>
          <w:i/>
          <w:iCs/>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5A5198E5" w14:textId="77777777" w:rsidR="004D307A" w:rsidRDefault="004D307A" w:rsidP="004D307A">
      <w:pPr>
        <w:pStyle w:val="Sinespaciado"/>
        <w:ind w:left="708"/>
        <w:jc w:val="both"/>
        <w:rPr>
          <w:rFonts w:ascii="Verdana" w:hAnsi="Verdana"/>
          <w:i/>
          <w:iCs/>
        </w:rPr>
      </w:pPr>
    </w:p>
    <w:p w14:paraId="4DEA5C45" w14:textId="77777777" w:rsidR="004D307A" w:rsidRDefault="004D307A" w:rsidP="004D307A">
      <w:pPr>
        <w:pStyle w:val="Sinespaciado"/>
        <w:ind w:left="708"/>
        <w:jc w:val="both"/>
        <w:rPr>
          <w:rFonts w:ascii="Verdana" w:hAnsi="Verdana"/>
          <w:i/>
          <w:iCs/>
        </w:rPr>
      </w:pPr>
      <w:r w:rsidRPr="004D307A">
        <w:rPr>
          <w:rFonts w:ascii="Verdana" w:hAnsi="Verdana"/>
          <w:i/>
          <w:iCs/>
        </w:rPr>
        <w:t>Los documentos que cumplan con los anteriores requisitos se entenderán otorgados conforme a la ley del respectivo país.”</w:t>
      </w:r>
    </w:p>
    <w:p w14:paraId="6AF186B2" w14:textId="77777777" w:rsidR="004D307A" w:rsidRDefault="004D307A" w:rsidP="004D307A">
      <w:pPr>
        <w:pStyle w:val="Sinespaciado"/>
        <w:jc w:val="both"/>
        <w:rPr>
          <w:rFonts w:ascii="Verdana" w:hAnsi="Verdana"/>
        </w:rPr>
      </w:pPr>
    </w:p>
    <w:p w14:paraId="36C2EE3E" w14:textId="16C3A72F" w:rsidR="00F100A9" w:rsidRPr="004D307A" w:rsidRDefault="004D307A" w:rsidP="004D307A">
      <w:pPr>
        <w:pStyle w:val="Sinespaciado"/>
        <w:jc w:val="both"/>
        <w:rPr>
          <w:rFonts w:ascii="Verdana" w:hAnsi="Verdana"/>
        </w:rPr>
      </w:pPr>
      <w:r w:rsidRPr="004D307A">
        <w:rPr>
          <w:rFonts w:ascii="Verdana" w:hAnsi="Verdana"/>
        </w:rPr>
        <w:t>Lo anterior sin perjuicio de las amplias facultades de fiscalización de la Administración Tributaria consagradas en el artículo 684 del Estatuto Tributario y sin perjuicio de los demás requisitos previstos en el artículo 254 del mismo estatuto para la procedencia del descuento.</w:t>
      </w:r>
    </w:p>
    <w:p w14:paraId="1A7F6D20" w14:textId="77777777" w:rsidR="004D307A" w:rsidRDefault="004D307A" w:rsidP="004D307A">
      <w:pPr>
        <w:pStyle w:val="Sinespaciado"/>
        <w:jc w:val="both"/>
        <w:rPr>
          <w:rFonts w:ascii="Verdana" w:hAnsi="Verdana"/>
        </w:rPr>
      </w:pPr>
    </w:p>
    <w:p w14:paraId="6F3A927E" w14:textId="1C870F63" w:rsidR="00F100A9" w:rsidRPr="004D307A" w:rsidRDefault="004D307A" w:rsidP="004D307A">
      <w:pPr>
        <w:pStyle w:val="Sinespaciado"/>
        <w:jc w:val="both"/>
        <w:rPr>
          <w:rFonts w:ascii="Verdana" w:hAnsi="Verdana"/>
        </w:rPr>
      </w:pPr>
      <w:r w:rsidRPr="004D307A">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w:t>
      </w:r>
      <w:r w:rsidRPr="004D307A">
        <w:rPr>
          <w:rFonts w:ascii="Verdana" w:hAnsi="Verdana"/>
          <w:lang w:val="en-US" w:eastAsia="en-US" w:bidi="en-US"/>
        </w:rPr>
        <w:t xml:space="preserve">, </w:t>
      </w:r>
      <w:r w:rsidRPr="004D307A">
        <w:rPr>
          <w:rFonts w:ascii="Verdana" w:hAnsi="Verdana"/>
        </w:rPr>
        <w:t>la base de conceptos en materia tributaria, aduanera y cambiaria expedidos desde el año 2001, la cual se puede ingresar por el icono de “Normatividad” -</w:t>
      </w:r>
      <w:r>
        <w:rPr>
          <w:rFonts w:ascii="Verdana" w:hAnsi="Verdana"/>
        </w:rPr>
        <w:t xml:space="preserve"> </w:t>
      </w:r>
      <w:r w:rsidRPr="004D307A">
        <w:rPr>
          <w:rFonts w:ascii="Verdana" w:hAnsi="Verdana"/>
        </w:rPr>
        <w:t>“Doctrina”</w:t>
      </w:r>
      <w:r w:rsidRPr="004D307A">
        <w:rPr>
          <w:rFonts w:ascii="Verdana" w:hAnsi="Verdana"/>
        </w:rPr>
        <w:softHyphen/>
        <w:t>, dando click en el link “Doctrina Dirección de Gestión Jurídica”.</w:t>
      </w:r>
    </w:p>
    <w:p w14:paraId="39E43359" w14:textId="77777777" w:rsidR="004D307A" w:rsidRDefault="004D307A" w:rsidP="004D307A">
      <w:pPr>
        <w:pStyle w:val="Sinespaciado"/>
        <w:jc w:val="both"/>
        <w:rPr>
          <w:rFonts w:ascii="Verdana" w:hAnsi="Verdana"/>
        </w:rPr>
      </w:pPr>
    </w:p>
    <w:p w14:paraId="3512E10A" w14:textId="0292BA79" w:rsidR="00F100A9" w:rsidRPr="004D307A" w:rsidRDefault="004D307A" w:rsidP="004D307A">
      <w:pPr>
        <w:pStyle w:val="Sinespaciado"/>
        <w:jc w:val="both"/>
        <w:rPr>
          <w:rFonts w:ascii="Verdana" w:hAnsi="Verdana"/>
        </w:rPr>
      </w:pPr>
      <w:r w:rsidRPr="004D307A">
        <w:rPr>
          <w:rFonts w:ascii="Verdana" w:hAnsi="Verdana"/>
        </w:rPr>
        <w:lastRenderedPageBreak/>
        <w:t>Atentamente,</w:t>
      </w:r>
    </w:p>
    <w:p w14:paraId="59A0550E" w14:textId="77777777" w:rsidR="004D307A" w:rsidRDefault="004D307A" w:rsidP="004D307A">
      <w:pPr>
        <w:pStyle w:val="Sinespaciado"/>
        <w:jc w:val="both"/>
        <w:rPr>
          <w:rFonts w:ascii="Verdana" w:hAnsi="Verdana"/>
        </w:rPr>
      </w:pPr>
    </w:p>
    <w:p w14:paraId="5213C6EA" w14:textId="77777777" w:rsidR="004D307A" w:rsidRDefault="004D307A" w:rsidP="004D307A">
      <w:pPr>
        <w:pStyle w:val="Sinespaciado"/>
        <w:jc w:val="both"/>
        <w:rPr>
          <w:rFonts w:ascii="Verdana" w:hAnsi="Verdana"/>
        </w:rPr>
      </w:pPr>
    </w:p>
    <w:p w14:paraId="5C14595E" w14:textId="77777777" w:rsidR="004D307A" w:rsidRDefault="004D307A" w:rsidP="004D307A">
      <w:pPr>
        <w:pStyle w:val="Sinespaciado"/>
        <w:jc w:val="both"/>
        <w:rPr>
          <w:rFonts w:ascii="Verdana" w:hAnsi="Verdana"/>
        </w:rPr>
      </w:pPr>
    </w:p>
    <w:p w14:paraId="7F66B2A0" w14:textId="5BC2D28D" w:rsidR="00F100A9" w:rsidRPr="004D307A" w:rsidRDefault="004D307A" w:rsidP="004D307A">
      <w:pPr>
        <w:pStyle w:val="Sinespaciado"/>
        <w:jc w:val="both"/>
        <w:rPr>
          <w:rFonts w:ascii="Verdana" w:hAnsi="Verdana"/>
          <w:b/>
          <w:bCs/>
        </w:rPr>
      </w:pPr>
      <w:r w:rsidRPr="004D307A">
        <w:rPr>
          <w:rFonts w:ascii="Verdana" w:hAnsi="Verdana"/>
          <w:b/>
          <w:bCs/>
        </w:rPr>
        <w:t>PABLO EMILIO MENDOZA VELILLA</w:t>
      </w:r>
    </w:p>
    <w:p w14:paraId="227FFBDD" w14:textId="77777777" w:rsidR="004D307A" w:rsidRDefault="004D307A" w:rsidP="004D307A">
      <w:pPr>
        <w:pStyle w:val="Sinespaciado"/>
        <w:jc w:val="both"/>
        <w:rPr>
          <w:rFonts w:ascii="Verdana" w:hAnsi="Verdana"/>
        </w:rPr>
      </w:pPr>
      <w:r w:rsidRPr="004D307A">
        <w:rPr>
          <w:rFonts w:ascii="Verdana" w:hAnsi="Verdana"/>
        </w:rPr>
        <w:t>Subdirector de Gestión Normativa y Doctrina</w:t>
      </w:r>
    </w:p>
    <w:p w14:paraId="0E3230AB" w14:textId="77777777" w:rsidR="004D307A" w:rsidRDefault="004D307A" w:rsidP="004D307A">
      <w:pPr>
        <w:pStyle w:val="Sinespaciado"/>
        <w:jc w:val="both"/>
        <w:rPr>
          <w:rFonts w:ascii="Verdana" w:hAnsi="Verdana"/>
        </w:rPr>
      </w:pPr>
      <w:r w:rsidRPr="004D307A">
        <w:rPr>
          <w:rFonts w:ascii="Verdana" w:hAnsi="Verdana"/>
        </w:rPr>
        <w:t>Dirección de Gestión Jurídica</w:t>
      </w:r>
    </w:p>
    <w:p w14:paraId="21DF9FC2" w14:textId="23F87877" w:rsidR="00F100A9" w:rsidRPr="004D307A" w:rsidRDefault="004D307A" w:rsidP="004D307A">
      <w:pPr>
        <w:pStyle w:val="Sinespaciado"/>
        <w:jc w:val="both"/>
        <w:rPr>
          <w:rFonts w:ascii="Verdana" w:hAnsi="Verdana"/>
        </w:rPr>
      </w:pPr>
      <w:r w:rsidRPr="004D307A">
        <w:rPr>
          <w:rFonts w:ascii="Verdana" w:hAnsi="Verdana"/>
        </w:rPr>
        <w:t>UAE-DIAN</w:t>
      </w:r>
    </w:p>
    <w:p w14:paraId="47AF97E0" w14:textId="77777777" w:rsidR="004D307A" w:rsidRDefault="004D307A" w:rsidP="004D307A">
      <w:pPr>
        <w:pStyle w:val="Sinespaciado"/>
        <w:jc w:val="both"/>
        <w:rPr>
          <w:rFonts w:ascii="Verdana" w:hAnsi="Verdana"/>
        </w:rPr>
      </w:pPr>
      <w:r w:rsidRPr="004D307A">
        <w:rPr>
          <w:rFonts w:ascii="Verdana" w:hAnsi="Verdana"/>
        </w:rPr>
        <w:t>Car. 8 N° 6C-38 Piso 4, Edificio San Agustín</w:t>
      </w:r>
    </w:p>
    <w:p w14:paraId="1B00A43B" w14:textId="6B982AD2" w:rsidR="00F100A9" w:rsidRPr="004D307A" w:rsidRDefault="004D307A" w:rsidP="004D307A">
      <w:pPr>
        <w:pStyle w:val="Sinespaciado"/>
        <w:jc w:val="both"/>
        <w:rPr>
          <w:rFonts w:ascii="Verdana" w:hAnsi="Verdana"/>
        </w:rPr>
      </w:pPr>
      <w:r w:rsidRPr="004D307A">
        <w:rPr>
          <w:rFonts w:ascii="Verdana" w:hAnsi="Verdana"/>
        </w:rPr>
        <w:t>Bogotá D.C.</w:t>
      </w:r>
    </w:p>
    <w:sectPr w:rsidR="00F100A9" w:rsidRPr="004D307A" w:rsidSect="004D307A">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E238" w14:textId="77777777" w:rsidR="000A293B" w:rsidRDefault="000A293B">
      <w:r>
        <w:separator/>
      </w:r>
    </w:p>
  </w:endnote>
  <w:endnote w:type="continuationSeparator" w:id="0">
    <w:p w14:paraId="0EEE1B67" w14:textId="77777777" w:rsidR="000A293B" w:rsidRDefault="000A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E4B4" w14:textId="77777777" w:rsidR="000A293B" w:rsidRDefault="000A293B"/>
  </w:footnote>
  <w:footnote w:type="continuationSeparator" w:id="0">
    <w:p w14:paraId="5738763F" w14:textId="77777777" w:rsidR="000A293B" w:rsidRDefault="000A29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A9"/>
    <w:rsid w:val="000A293B"/>
    <w:rsid w:val="00375020"/>
    <w:rsid w:val="004D307A"/>
    <w:rsid w:val="00E44DBA"/>
    <w:rsid w:val="00F100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99049"/>
  <w15:docId w15:val="{D384CB4E-EE5C-4A53-9370-2B31E26D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19"/>
      <w:szCs w:val="19"/>
      <w:u w:val="none"/>
    </w:rPr>
  </w:style>
  <w:style w:type="character" w:customStyle="1" w:styleId="Cuerpodeltexto29">
    <w:name w:val="Cuerpo del texto (29)_"/>
    <w:basedOn w:val="Fuentedeprrafopredeter"/>
    <w:link w:val="Cuerpodeltexto290"/>
    <w:rPr>
      <w:rFonts w:ascii="Arial" w:eastAsia="Arial" w:hAnsi="Arial" w:cs="Arial"/>
      <w:b w:val="0"/>
      <w:bCs w:val="0"/>
      <w:i/>
      <w:iCs/>
      <w:smallCaps w:val="0"/>
      <w:strike w:val="0"/>
      <w:sz w:val="20"/>
      <w:szCs w:val="20"/>
      <w:u w:val="none"/>
    </w:rPr>
  </w:style>
  <w:style w:type="character" w:customStyle="1" w:styleId="Cuerpodeltexto29Negrita">
    <w:name w:val="Cuerpo del texto (29) + Negrita"/>
    <w:basedOn w:val="Cuerpodeltexto29"/>
    <w:rPr>
      <w:rFonts w:ascii="Arial" w:eastAsia="Arial" w:hAnsi="Arial" w:cs="Arial"/>
      <w:b/>
      <w:bCs/>
      <w:i/>
      <w:iCs/>
      <w:smallCaps w:val="0"/>
      <w:strike w:val="0"/>
      <w:color w:val="000000"/>
      <w:spacing w:val="0"/>
      <w:w w:val="100"/>
      <w:position w:val="0"/>
      <w:sz w:val="20"/>
      <w:szCs w:val="20"/>
      <w:u w:val="single"/>
      <w:lang w:val="es-ES" w:eastAsia="es-ES" w:bidi="es-ES"/>
    </w:rPr>
  </w:style>
  <w:style w:type="character" w:customStyle="1" w:styleId="Cuerpodeltexto291">
    <w:name w:val="Cuerpo del texto (29)"/>
    <w:basedOn w:val="Cuerpodeltexto29"/>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2995ptoNegritaSincursiva">
    <w:name w:val="Cuerpo del texto (29) + 9;5 pto;Negrita;Sin cursiva"/>
    <w:basedOn w:val="Cuerpodeltexto29"/>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995ptoSincursiva">
    <w:name w:val="Cuerpo del texto (29) + 9;5 pto;Sin cursiva"/>
    <w:basedOn w:val="Cuerpodeltexto29"/>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Encabezamientoopiedepgina">
    <w:name w:val="Encabezamiento o pie de página_"/>
    <w:basedOn w:val="Fuentedeprrafopredeter"/>
    <w:link w:val="Encabezamientoopiedepgina0"/>
    <w:rPr>
      <w:rFonts w:ascii="Calibri" w:eastAsia="Calibri" w:hAnsi="Calibri" w:cs="Calibri"/>
      <w:b w:val="0"/>
      <w:bCs w:val="0"/>
      <w:i w:val="0"/>
      <w:iCs w:val="0"/>
      <w:smallCaps w:val="0"/>
      <w:strike w:val="0"/>
      <w:sz w:val="17"/>
      <w:szCs w:val="17"/>
      <w:u w:val="none"/>
    </w:rPr>
  </w:style>
  <w:style w:type="character" w:customStyle="1" w:styleId="Cuerpodeltexto310pto">
    <w:name w:val="Cuerpo del texto (3) + 10 pto"/>
    <w:basedOn w:val="Cuerpodeltexto3"/>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29Negrita0">
    <w:name w:val="Cuerpo del texto (29) + Negrita"/>
    <w:basedOn w:val="Cuerpodeltexto29"/>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31">
    <w:name w:val="Cuerpo del texto (3)"/>
    <w:basedOn w:val="Cuerpodeltexto3"/>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300">
    <w:name w:val="Cuerpo del texto (30)_"/>
    <w:basedOn w:val="Fuentedeprrafopredeter"/>
    <w:link w:val="Cuerpodeltexto301"/>
    <w:rPr>
      <w:rFonts w:ascii="Arial" w:eastAsia="Arial" w:hAnsi="Arial" w:cs="Arial"/>
      <w:b w:val="0"/>
      <w:bCs w:val="0"/>
      <w:i w:val="0"/>
      <w:iCs w:val="0"/>
      <w:smallCaps w:val="0"/>
      <w:strike w:val="0"/>
      <w:sz w:val="11"/>
      <w:szCs w:val="11"/>
      <w:u w:val="none"/>
    </w:rPr>
  </w:style>
  <w:style w:type="character" w:customStyle="1" w:styleId="Cuerpodeltexto27">
    <w:name w:val="Cuerpo del texto (27)_"/>
    <w:basedOn w:val="Fuentedeprrafopredeter"/>
    <w:link w:val="Cuerpodeltexto270"/>
    <w:rPr>
      <w:rFonts w:ascii="Arial" w:eastAsia="Arial" w:hAnsi="Arial" w:cs="Arial"/>
      <w:b/>
      <w:bCs/>
      <w:i w:val="0"/>
      <w:iCs w:val="0"/>
      <w:smallCaps w:val="0"/>
      <w:strike w:val="0"/>
      <w:sz w:val="11"/>
      <w:szCs w:val="11"/>
      <w:u w:val="none"/>
    </w:rPr>
  </w:style>
  <w:style w:type="character" w:customStyle="1" w:styleId="Cuerpodeltexto2712ptoSinnegritaCursivaEspaciado-1pto">
    <w:name w:val="Cuerpo del texto (27) + 12 pto;Sin negrita;Cursiva;Espaciado -1 pto"/>
    <w:basedOn w:val="Cuerpodeltexto27"/>
    <w:rPr>
      <w:rFonts w:ascii="Arial" w:eastAsia="Arial" w:hAnsi="Arial" w:cs="Arial"/>
      <w:b/>
      <w:bCs/>
      <w:i/>
      <w:iCs/>
      <w:smallCaps w:val="0"/>
      <w:strike w:val="0"/>
      <w:color w:val="000000"/>
      <w:spacing w:val="-20"/>
      <w:w w:val="100"/>
      <w:position w:val="0"/>
      <w:sz w:val="24"/>
      <w:szCs w:val="24"/>
      <w:u w:val="none"/>
      <w:lang w:val="es-ES" w:eastAsia="es-ES" w:bidi="es-ES"/>
    </w:rPr>
  </w:style>
  <w:style w:type="character" w:customStyle="1" w:styleId="Cuerpodeltexto21">
    <w:name w:val="Cuerpo del texto (21)_"/>
    <w:basedOn w:val="Fuentedeprrafopredeter"/>
    <w:link w:val="Cuerpodeltexto210"/>
    <w:rPr>
      <w:rFonts w:ascii="Arial" w:eastAsia="Arial" w:hAnsi="Arial" w:cs="Arial"/>
      <w:b/>
      <w:bCs/>
      <w:i w:val="0"/>
      <w:iCs w:val="0"/>
      <w:smallCaps w:val="0"/>
      <w:strike w:val="0"/>
      <w:sz w:val="19"/>
      <w:szCs w:val="19"/>
      <w:u w:val="none"/>
    </w:rPr>
  </w:style>
  <w:style w:type="paragraph" w:customStyle="1" w:styleId="Cuerpodeltexto30">
    <w:name w:val="Cuerpo del texto (3)"/>
    <w:basedOn w:val="Normal"/>
    <w:link w:val="Cuerpodeltexto3"/>
    <w:pPr>
      <w:shd w:val="clear" w:color="auto" w:fill="FFFFFF"/>
      <w:spacing w:line="0" w:lineRule="atLeast"/>
      <w:ind w:hanging="720"/>
      <w:jc w:val="both"/>
    </w:pPr>
    <w:rPr>
      <w:rFonts w:ascii="Arial" w:eastAsia="Arial" w:hAnsi="Arial" w:cs="Arial"/>
      <w:sz w:val="19"/>
      <w:szCs w:val="19"/>
    </w:rPr>
  </w:style>
  <w:style w:type="paragraph" w:customStyle="1" w:styleId="Cuerpodeltexto290">
    <w:name w:val="Cuerpo del texto (29)"/>
    <w:basedOn w:val="Normal"/>
    <w:link w:val="Cuerpodeltexto29"/>
    <w:pPr>
      <w:shd w:val="clear" w:color="auto" w:fill="FFFFFF"/>
      <w:spacing w:before="240" w:after="180" w:line="230" w:lineRule="exact"/>
      <w:ind w:hanging="720"/>
      <w:jc w:val="both"/>
    </w:pPr>
    <w:rPr>
      <w:rFonts w:ascii="Arial" w:eastAsia="Arial" w:hAnsi="Arial" w:cs="Arial"/>
      <w:i/>
      <w:iCs/>
      <w:sz w:val="20"/>
      <w:szCs w:val="20"/>
    </w:rPr>
  </w:style>
  <w:style w:type="paragraph" w:customStyle="1" w:styleId="Encabezamientoopiedepgina0">
    <w:name w:val="Encabezamiento o pie de página"/>
    <w:basedOn w:val="Normal"/>
    <w:link w:val="Encabezamientoopiedepgina"/>
    <w:pPr>
      <w:shd w:val="clear" w:color="auto" w:fill="FFFFFF"/>
      <w:spacing w:line="230" w:lineRule="exact"/>
      <w:jc w:val="both"/>
    </w:pPr>
    <w:rPr>
      <w:rFonts w:ascii="Calibri" w:eastAsia="Calibri" w:hAnsi="Calibri" w:cs="Calibri"/>
      <w:sz w:val="17"/>
      <w:szCs w:val="17"/>
    </w:rPr>
  </w:style>
  <w:style w:type="paragraph" w:customStyle="1" w:styleId="Cuerpodeltexto301">
    <w:name w:val="Cuerpo del texto (30)"/>
    <w:basedOn w:val="Normal"/>
    <w:link w:val="Cuerpodeltexto300"/>
    <w:pPr>
      <w:shd w:val="clear" w:color="auto" w:fill="FFFFFF"/>
      <w:spacing w:before="180" w:line="154" w:lineRule="exact"/>
      <w:ind w:hanging="1360"/>
    </w:pPr>
    <w:rPr>
      <w:rFonts w:ascii="Arial" w:eastAsia="Arial" w:hAnsi="Arial" w:cs="Arial"/>
      <w:sz w:val="11"/>
      <w:szCs w:val="11"/>
    </w:rPr>
  </w:style>
  <w:style w:type="paragraph" w:customStyle="1" w:styleId="Cuerpodeltexto270">
    <w:name w:val="Cuerpo del texto (27)"/>
    <w:basedOn w:val="Normal"/>
    <w:link w:val="Cuerpodeltexto27"/>
    <w:pPr>
      <w:shd w:val="clear" w:color="auto" w:fill="FFFFFF"/>
      <w:spacing w:line="158" w:lineRule="exact"/>
      <w:ind w:hanging="280"/>
      <w:jc w:val="both"/>
    </w:pPr>
    <w:rPr>
      <w:rFonts w:ascii="Arial" w:eastAsia="Arial" w:hAnsi="Arial" w:cs="Arial"/>
      <w:b/>
      <w:bCs/>
      <w:sz w:val="11"/>
      <w:szCs w:val="11"/>
    </w:rPr>
  </w:style>
  <w:style w:type="paragraph" w:customStyle="1" w:styleId="Cuerpodeltexto210">
    <w:name w:val="Cuerpo del texto (21)"/>
    <w:basedOn w:val="Normal"/>
    <w:link w:val="Cuerpodeltexto21"/>
    <w:pPr>
      <w:shd w:val="clear" w:color="auto" w:fill="FFFFFF"/>
      <w:spacing w:after="420" w:line="0" w:lineRule="atLeast"/>
      <w:ind w:hanging="460"/>
      <w:jc w:val="both"/>
    </w:pPr>
    <w:rPr>
      <w:rFonts w:ascii="Arial" w:eastAsia="Arial" w:hAnsi="Arial" w:cs="Arial"/>
      <w:b/>
      <w:bCs/>
      <w:sz w:val="19"/>
      <w:szCs w:val="19"/>
    </w:rPr>
  </w:style>
  <w:style w:type="paragraph" w:styleId="Sinespaciado">
    <w:name w:val="No Spacing"/>
    <w:uiPriority w:val="1"/>
    <w:qFormat/>
    <w:rsid w:val="004D307A"/>
    <w:rPr>
      <w:color w:val="000000"/>
    </w:rPr>
  </w:style>
  <w:style w:type="paragraph" w:styleId="Encabezado">
    <w:name w:val="header"/>
    <w:basedOn w:val="Normal"/>
    <w:link w:val="EncabezadoCar"/>
    <w:uiPriority w:val="99"/>
    <w:unhideWhenUsed/>
    <w:rsid w:val="004D307A"/>
    <w:pPr>
      <w:tabs>
        <w:tab w:val="center" w:pos="4419"/>
        <w:tab w:val="right" w:pos="8838"/>
      </w:tabs>
    </w:pPr>
  </w:style>
  <w:style w:type="character" w:customStyle="1" w:styleId="EncabezadoCar">
    <w:name w:val="Encabezado Car"/>
    <w:basedOn w:val="Fuentedeprrafopredeter"/>
    <w:link w:val="Encabezado"/>
    <w:uiPriority w:val="99"/>
    <w:rsid w:val="004D307A"/>
    <w:rPr>
      <w:color w:val="000000"/>
    </w:rPr>
  </w:style>
  <w:style w:type="paragraph" w:styleId="Piedepgina">
    <w:name w:val="footer"/>
    <w:basedOn w:val="Normal"/>
    <w:link w:val="PiedepginaCar"/>
    <w:uiPriority w:val="99"/>
    <w:unhideWhenUsed/>
    <w:rsid w:val="004D307A"/>
    <w:pPr>
      <w:tabs>
        <w:tab w:val="center" w:pos="4419"/>
        <w:tab w:val="right" w:pos="8838"/>
      </w:tabs>
    </w:pPr>
  </w:style>
  <w:style w:type="character" w:customStyle="1" w:styleId="PiedepginaCar">
    <w:name w:val="Pie de página Car"/>
    <w:basedOn w:val="Fuentedeprrafopredeter"/>
    <w:link w:val="Piedepgina"/>
    <w:uiPriority w:val="99"/>
    <w:rsid w:val="004D30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1046</Words>
  <Characters>5758</Characters>
  <Application>Microsoft Office Word</Application>
  <DocSecurity>0</DocSecurity>
  <Lines>47</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Steven Espinel Laverde</dc:creator>
  <cp:keywords/>
  <cp:lastModifiedBy>Guillermo Alzate Duque</cp:lastModifiedBy>
  <cp:revision>2</cp:revision>
  <dcterms:created xsi:type="dcterms:W3CDTF">2021-06-19T00:08:00Z</dcterms:created>
  <dcterms:modified xsi:type="dcterms:W3CDTF">2021-06-19T00:08:00Z</dcterms:modified>
</cp:coreProperties>
</file>