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C4143" w14:textId="130B414D" w:rsidR="001A3C71" w:rsidRPr="001A3C71" w:rsidRDefault="001A3C71" w:rsidP="001A3C71">
      <w:pPr>
        <w:pStyle w:val="Sinespaciado"/>
        <w:jc w:val="both"/>
        <w:rPr>
          <w:rFonts w:ascii="Verdana" w:hAnsi="Verdana"/>
          <w:b/>
          <w:bCs/>
        </w:rPr>
      </w:pPr>
      <w:r w:rsidRPr="001A3C71">
        <w:rPr>
          <w:rFonts w:ascii="Verdana" w:hAnsi="Verdana"/>
          <w:b/>
          <w:bCs/>
        </w:rPr>
        <w:t>CONCEPTO 294 DEL 1 DE MARZO DE 2021</w:t>
      </w:r>
    </w:p>
    <w:p w14:paraId="31D4ED8E" w14:textId="7B0AA854" w:rsidR="001A3C71" w:rsidRPr="001A3C71" w:rsidRDefault="001A3C71" w:rsidP="001A3C71">
      <w:pPr>
        <w:pStyle w:val="Sinespaciado"/>
        <w:jc w:val="both"/>
        <w:rPr>
          <w:rFonts w:ascii="Verdana" w:hAnsi="Verdana"/>
          <w:b/>
          <w:bCs/>
        </w:rPr>
      </w:pPr>
      <w:r w:rsidRPr="001A3C71">
        <w:rPr>
          <w:rFonts w:ascii="Verdana" w:hAnsi="Verdana"/>
          <w:b/>
          <w:bCs/>
        </w:rPr>
        <w:t>DIRECCIÓN DE IMPUESTOS Y ADUANAS NACIONALES</w:t>
      </w:r>
    </w:p>
    <w:p w14:paraId="36C8BEE5" w14:textId="62E8A469" w:rsidR="001A3C71" w:rsidRDefault="001A3C71" w:rsidP="001A3C71">
      <w:pPr>
        <w:pStyle w:val="Sinespaciado"/>
        <w:jc w:val="both"/>
        <w:rPr>
          <w:rFonts w:ascii="Verdana" w:hAnsi="Verdana"/>
        </w:rPr>
      </w:pPr>
    </w:p>
    <w:p w14:paraId="11F840C4" w14:textId="060ADA3D" w:rsidR="001A3C71" w:rsidRDefault="001A3C71" w:rsidP="001A3C71">
      <w:pPr>
        <w:pStyle w:val="Sinespaciado"/>
        <w:jc w:val="both"/>
        <w:rPr>
          <w:rFonts w:ascii="Verdana" w:hAnsi="Verdana"/>
        </w:rPr>
      </w:pPr>
      <w:r>
        <w:rPr>
          <w:rFonts w:ascii="Verdana" w:hAnsi="Verdana"/>
        </w:rPr>
        <w:t>Bogotá, D.C.</w:t>
      </w:r>
    </w:p>
    <w:p w14:paraId="69631865" w14:textId="19ABCA6A" w:rsidR="001A3C71" w:rsidRDefault="001A3C71" w:rsidP="001A3C71">
      <w:pPr>
        <w:pStyle w:val="Sinespaciado"/>
        <w:jc w:val="both"/>
        <w:rPr>
          <w:rFonts w:ascii="Verdana" w:hAnsi="Verdana"/>
        </w:rPr>
      </w:pPr>
    </w:p>
    <w:p w14:paraId="210900BC" w14:textId="0B6DF0C6" w:rsidR="001A3C71" w:rsidRPr="001A3C71" w:rsidRDefault="001A3C71" w:rsidP="001A3C71">
      <w:pPr>
        <w:pStyle w:val="Sinespaciado"/>
        <w:jc w:val="both"/>
        <w:rPr>
          <w:rFonts w:ascii="Verdana" w:hAnsi="Verdana"/>
        </w:rPr>
      </w:pPr>
      <w:r w:rsidRPr="001A3C71">
        <w:rPr>
          <w:rFonts w:ascii="Verdana" w:hAnsi="Verdana"/>
          <w:b/>
          <w:bCs/>
        </w:rPr>
        <w:t>Tema</w:t>
      </w:r>
      <w:r>
        <w:rPr>
          <w:rFonts w:ascii="Verdana" w:hAnsi="Verdana"/>
          <w:b/>
          <w:bCs/>
        </w:rPr>
        <w:tab/>
      </w:r>
      <w:r>
        <w:rPr>
          <w:rFonts w:ascii="Verdana" w:hAnsi="Verdana"/>
          <w:b/>
          <w:bCs/>
        </w:rPr>
        <w:tab/>
      </w:r>
      <w:r>
        <w:rPr>
          <w:rFonts w:ascii="Verdana" w:hAnsi="Verdana"/>
          <w:b/>
          <w:bCs/>
        </w:rPr>
        <w:tab/>
      </w:r>
      <w:r w:rsidRPr="001A3C71">
        <w:rPr>
          <w:rFonts w:ascii="Verdana" w:hAnsi="Verdana"/>
        </w:rPr>
        <w:t>Impuesto sobre la renta y complementarios</w:t>
      </w:r>
    </w:p>
    <w:p w14:paraId="6E80F150" w14:textId="4AF3AFDC" w:rsidR="001A3C71" w:rsidRDefault="001A3C71" w:rsidP="001A3C71">
      <w:pPr>
        <w:pStyle w:val="Sinespaciado"/>
        <w:jc w:val="both"/>
        <w:rPr>
          <w:rFonts w:ascii="Verdana" w:hAnsi="Verdana"/>
        </w:rPr>
      </w:pPr>
      <w:r w:rsidRPr="001A3C71">
        <w:rPr>
          <w:rFonts w:ascii="Verdana" w:hAnsi="Verdana"/>
          <w:b/>
          <w:bCs/>
        </w:rPr>
        <w:t>Descriptores</w:t>
      </w:r>
      <w:r>
        <w:rPr>
          <w:rFonts w:ascii="Verdana" w:hAnsi="Verdana"/>
          <w:b/>
          <w:bCs/>
        </w:rPr>
        <w:tab/>
      </w:r>
      <w:r>
        <w:rPr>
          <w:rFonts w:ascii="Verdana" w:hAnsi="Verdana"/>
          <w:b/>
          <w:bCs/>
        </w:rPr>
        <w:tab/>
      </w:r>
      <w:r w:rsidRPr="001A3C71">
        <w:rPr>
          <w:rFonts w:ascii="Verdana" w:hAnsi="Verdana"/>
        </w:rPr>
        <w:t>Crédito fiscal</w:t>
      </w:r>
    </w:p>
    <w:p w14:paraId="3FEC79E9" w14:textId="1879743E" w:rsidR="006F018F" w:rsidRPr="001A3C71" w:rsidRDefault="00326F60" w:rsidP="001A3C71">
      <w:pPr>
        <w:pStyle w:val="Sinespaciado"/>
        <w:jc w:val="both"/>
        <w:rPr>
          <w:rFonts w:ascii="Verdana" w:hAnsi="Verdana"/>
        </w:rPr>
      </w:pPr>
      <w:r w:rsidRPr="001A3C71">
        <w:rPr>
          <w:rFonts w:ascii="Verdana" w:hAnsi="Verdana"/>
          <w:b/>
          <w:bCs/>
        </w:rPr>
        <w:t>Fuentes formales</w:t>
      </w:r>
      <w:r w:rsidR="001A3C71">
        <w:rPr>
          <w:rFonts w:ascii="Verdana" w:hAnsi="Verdana"/>
          <w:b/>
          <w:bCs/>
        </w:rPr>
        <w:tab/>
      </w:r>
      <w:r w:rsidRPr="001A3C71">
        <w:rPr>
          <w:rFonts w:ascii="Verdana" w:hAnsi="Verdana"/>
        </w:rPr>
        <w:t>Artículo 256-1 y 258 del Estatuto Tributario</w:t>
      </w:r>
    </w:p>
    <w:p w14:paraId="6E0DC5D8" w14:textId="77777777" w:rsidR="006F018F" w:rsidRPr="001A3C71" w:rsidRDefault="00326F60" w:rsidP="001A3C71">
      <w:pPr>
        <w:pStyle w:val="Sinespaciado"/>
        <w:ind w:left="2832"/>
        <w:jc w:val="both"/>
        <w:rPr>
          <w:rFonts w:ascii="Verdana" w:hAnsi="Verdana"/>
        </w:rPr>
      </w:pPr>
      <w:r w:rsidRPr="001A3C71">
        <w:rPr>
          <w:rFonts w:ascii="Verdana" w:hAnsi="Verdana"/>
        </w:rPr>
        <w:t>Artículos 1.8.2.4.4 y 1.8.2.4.5 del Decreto 1625 de 2016</w:t>
      </w:r>
    </w:p>
    <w:p w14:paraId="23F20059" w14:textId="77777777" w:rsidR="001A3C71" w:rsidRDefault="001A3C71" w:rsidP="001A3C71">
      <w:pPr>
        <w:pStyle w:val="Sinespaciado"/>
        <w:jc w:val="both"/>
        <w:rPr>
          <w:rFonts w:ascii="Verdana" w:hAnsi="Verdana"/>
        </w:rPr>
      </w:pPr>
    </w:p>
    <w:p w14:paraId="216BE662" w14:textId="066D235B" w:rsidR="006F018F" w:rsidRPr="001A3C71" w:rsidRDefault="00326F60" w:rsidP="001A3C71">
      <w:pPr>
        <w:pStyle w:val="Sinespaciado"/>
        <w:jc w:val="both"/>
        <w:rPr>
          <w:rFonts w:ascii="Verdana" w:hAnsi="Verdana"/>
        </w:rPr>
      </w:pPr>
      <w:r w:rsidRPr="001A3C71">
        <w:rPr>
          <w:rFonts w:ascii="Verdana" w:hAnsi="Verdana"/>
        </w:rPr>
        <w:t>Cordial saludo.</w:t>
      </w:r>
    </w:p>
    <w:p w14:paraId="38AD85AF" w14:textId="77777777" w:rsidR="001A3C71" w:rsidRDefault="001A3C71" w:rsidP="001A3C71">
      <w:pPr>
        <w:pStyle w:val="Sinespaciado"/>
        <w:jc w:val="both"/>
        <w:rPr>
          <w:rFonts w:ascii="Verdana" w:hAnsi="Verdana"/>
        </w:rPr>
      </w:pPr>
    </w:p>
    <w:p w14:paraId="4371FB45" w14:textId="16042935" w:rsidR="006F018F" w:rsidRPr="001A3C71" w:rsidRDefault="00326F60" w:rsidP="001A3C71">
      <w:pPr>
        <w:pStyle w:val="Sinespaciado"/>
        <w:jc w:val="both"/>
        <w:rPr>
          <w:rFonts w:ascii="Verdana" w:hAnsi="Verdana"/>
        </w:rPr>
      </w:pPr>
      <w:r w:rsidRPr="001A3C71">
        <w:rPr>
          <w:rFonts w:ascii="Verdana" w:hAnsi="Verdana"/>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565DBF1E" w14:textId="77777777" w:rsidR="00326F60" w:rsidRDefault="00326F60" w:rsidP="001A3C71">
      <w:pPr>
        <w:pStyle w:val="Sinespaciado"/>
        <w:jc w:val="both"/>
        <w:rPr>
          <w:rFonts w:ascii="Verdana" w:hAnsi="Verdana"/>
        </w:rPr>
      </w:pPr>
    </w:p>
    <w:p w14:paraId="06C14C5A" w14:textId="03790FBF" w:rsidR="006F018F" w:rsidRPr="001A3C71" w:rsidRDefault="00326F60" w:rsidP="001A3C71">
      <w:pPr>
        <w:pStyle w:val="Sinespaciado"/>
        <w:jc w:val="both"/>
        <w:rPr>
          <w:rFonts w:ascii="Verdana" w:hAnsi="Verdana"/>
        </w:rPr>
      </w:pPr>
      <w:r w:rsidRPr="001A3C71">
        <w:rPr>
          <w:rFonts w:ascii="Verdana" w:hAnsi="Verdana"/>
        </w:rPr>
        <w:t>Mediante el radicado de la referencia, el peticionario solicita se resuelva la siguiente inquietud:</w:t>
      </w:r>
    </w:p>
    <w:p w14:paraId="0CAAD63D" w14:textId="77777777" w:rsidR="00326F60" w:rsidRDefault="00326F60" w:rsidP="001A3C71">
      <w:pPr>
        <w:pStyle w:val="Sinespaciado"/>
        <w:jc w:val="both"/>
        <w:rPr>
          <w:rFonts w:ascii="Verdana" w:hAnsi="Verdana"/>
        </w:rPr>
      </w:pPr>
    </w:p>
    <w:p w14:paraId="409ADAB5" w14:textId="0762068B" w:rsidR="006F018F" w:rsidRPr="00326F60" w:rsidRDefault="00326F60" w:rsidP="001A3C71">
      <w:pPr>
        <w:pStyle w:val="Sinespaciado"/>
        <w:jc w:val="both"/>
        <w:rPr>
          <w:rFonts w:ascii="Verdana" w:hAnsi="Verdana"/>
          <w:i/>
          <w:iCs/>
        </w:rPr>
      </w:pPr>
      <w:r w:rsidRPr="00326F60">
        <w:rPr>
          <w:rFonts w:ascii="Verdana" w:hAnsi="Verdana"/>
          <w:i/>
          <w:iCs/>
        </w:rPr>
        <w:t>¿El crédito fiscal establecido en el artículo 256-1 del Estatuto</w:t>
      </w:r>
      <w:r>
        <w:rPr>
          <w:rFonts w:ascii="Verdana" w:hAnsi="Verdana"/>
          <w:i/>
          <w:iCs/>
        </w:rPr>
        <w:t xml:space="preserve"> </w:t>
      </w:r>
      <w:r w:rsidRPr="00326F60">
        <w:rPr>
          <w:rFonts w:ascii="Verdana" w:hAnsi="Verdana"/>
          <w:i/>
          <w:iCs/>
        </w:rPr>
        <w:t>Ttributario</w:t>
      </w:r>
      <w:r>
        <w:rPr>
          <w:rFonts w:ascii="Verdana" w:hAnsi="Verdana"/>
          <w:i/>
          <w:iCs/>
        </w:rPr>
        <w:t xml:space="preserve"> (sic)</w:t>
      </w:r>
      <w:r w:rsidRPr="00326F60">
        <w:rPr>
          <w:rFonts w:ascii="Verdana" w:hAnsi="Verdana"/>
          <w:i/>
          <w:iCs/>
        </w:rPr>
        <w:t xml:space="preserve"> podrá compensarse en su totalidad con el impuesto de renta tal como lo establece el artículo 1.8.2.4.5 del decreto reglamentario 1011 del 14 de julio del 2020? O ¿la compensación del crédito fiscal con el impuesto de renta está limitada con lo que se dicta en el artículo 258 del Estatuto Tributario?</w:t>
      </w:r>
    </w:p>
    <w:p w14:paraId="16B78D25" w14:textId="77777777" w:rsidR="00326F60" w:rsidRDefault="00326F60" w:rsidP="001A3C71">
      <w:pPr>
        <w:pStyle w:val="Sinespaciado"/>
        <w:jc w:val="both"/>
        <w:rPr>
          <w:rFonts w:ascii="Verdana" w:hAnsi="Verdana"/>
        </w:rPr>
      </w:pPr>
    </w:p>
    <w:p w14:paraId="0FC52C92" w14:textId="56A1C2B5" w:rsidR="006F018F" w:rsidRPr="001A3C71" w:rsidRDefault="00326F60" w:rsidP="001A3C71">
      <w:pPr>
        <w:pStyle w:val="Sinespaciado"/>
        <w:jc w:val="both"/>
        <w:rPr>
          <w:rFonts w:ascii="Verdana" w:hAnsi="Verdana"/>
        </w:rPr>
      </w:pPr>
      <w:r w:rsidRPr="001A3C71">
        <w:rPr>
          <w:rFonts w:ascii="Verdana" w:hAnsi="Verdana"/>
        </w:rPr>
        <w:t>Sobre el particular, las consideraciones de este Despacho son las siguientes:</w:t>
      </w:r>
    </w:p>
    <w:p w14:paraId="366893EF" w14:textId="77777777" w:rsidR="00326F60" w:rsidRDefault="00326F60" w:rsidP="001A3C71">
      <w:pPr>
        <w:pStyle w:val="Sinespaciado"/>
        <w:jc w:val="both"/>
        <w:rPr>
          <w:rFonts w:ascii="Verdana" w:hAnsi="Verdana"/>
        </w:rPr>
      </w:pPr>
    </w:p>
    <w:p w14:paraId="1A4B9636" w14:textId="1AAE93CB" w:rsidR="006F018F" w:rsidRPr="001A3C71" w:rsidRDefault="00326F60" w:rsidP="001A3C71">
      <w:pPr>
        <w:pStyle w:val="Sinespaciado"/>
        <w:jc w:val="both"/>
        <w:rPr>
          <w:rFonts w:ascii="Verdana" w:hAnsi="Verdana"/>
        </w:rPr>
        <w:sectPr w:rsidR="006F018F" w:rsidRPr="001A3C71" w:rsidSect="001A3C71">
          <w:pgSz w:w="12240" w:h="15840" w:code="1"/>
          <w:pgMar w:top="1701" w:right="1418" w:bottom="1701" w:left="1418" w:header="709" w:footer="125" w:gutter="0"/>
          <w:pgNumType w:start="37"/>
          <w:cols w:space="720"/>
          <w:noEndnote/>
          <w:docGrid w:linePitch="360"/>
        </w:sectPr>
      </w:pPr>
      <w:r w:rsidRPr="001A3C71">
        <w:rPr>
          <w:rFonts w:ascii="Verdana" w:hAnsi="Verdana"/>
        </w:rPr>
        <w:t>El artículo 256-1 del Estatuto Tributario establece un crédito fiscal por el 50% de las inversiones que realicen las micro, pequeñas y medianas empresas en proyectos de investigación, desarrollo tecnológico e innovación o vinculación de capital humano de alto nivel certificadas por el Consejo Nacional de Beneficios Tributarios, en los términos previstos en dicha disposición normativa.</w:t>
      </w:r>
    </w:p>
    <w:p w14:paraId="60CE5FCB" w14:textId="650012B6" w:rsidR="006F018F" w:rsidRPr="001A3C71" w:rsidRDefault="00326F60" w:rsidP="001A3C71">
      <w:pPr>
        <w:pStyle w:val="Sinespaciado"/>
        <w:jc w:val="both"/>
        <w:rPr>
          <w:rFonts w:ascii="Verdana" w:hAnsi="Verdana"/>
        </w:rPr>
      </w:pPr>
      <w:r w:rsidRPr="001A3C71">
        <w:rPr>
          <w:rFonts w:ascii="Verdana" w:hAnsi="Verdana"/>
        </w:rPr>
        <w:lastRenderedPageBreak/>
        <w:t>Ahora bien, los artículos 1.8.2.4.4 y 1.8.2.4.5 del Decreto 1625 de 2016 (adicionados mediante el Decreto 1011 de 2020) establecen:</w:t>
      </w:r>
    </w:p>
    <w:p w14:paraId="1244C6C3" w14:textId="77777777" w:rsidR="00326F60" w:rsidRDefault="00326F60" w:rsidP="001A3C71">
      <w:pPr>
        <w:pStyle w:val="Sinespaciado"/>
        <w:jc w:val="both"/>
        <w:rPr>
          <w:rStyle w:val="Cuerpodeltexto29Negrita"/>
          <w:rFonts w:ascii="Verdana" w:hAnsi="Verdana"/>
          <w:sz w:val="24"/>
          <w:szCs w:val="24"/>
        </w:rPr>
      </w:pPr>
    </w:p>
    <w:p w14:paraId="683DE834" w14:textId="0C88D015" w:rsidR="006F018F" w:rsidRPr="00326F60" w:rsidRDefault="00326F60" w:rsidP="00326F60">
      <w:pPr>
        <w:pStyle w:val="Sinespaciado"/>
        <w:ind w:left="708"/>
        <w:jc w:val="both"/>
        <w:rPr>
          <w:rFonts w:ascii="Verdana" w:hAnsi="Verdana"/>
          <w:i/>
          <w:iCs/>
        </w:rPr>
      </w:pPr>
      <w:r w:rsidRPr="00326F60">
        <w:rPr>
          <w:rStyle w:val="Cuerpodeltexto29Negrita"/>
          <w:rFonts w:ascii="Verdana" w:hAnsi="Verdana"/>
          <w:sz w:val="24"/>
          <w:szCs w:val="24"/>
        </w:rPr>
        <w:t xml:space="preserve">“ARTÍCULO I.8.2.4.4. Registro del crédito fiscal en la declaración del impuesto sobre la renta y complementarios que se presente en el mismo año de expedición del certificado. </w:t>
      </w:r>
      <w:r w:rsidRPr="00326F60">
        <w:rPr>
          <w:rFonts w:ascii="Verdana" w:hAnsi="Verdana"/>
          <w:i/>
          <w:iCs/>
        </w:rPr>
        <w:t xml:space="preserve">Una vez expedido el certificado de que trata el artículo </w:t>
      </w:r>
      <w:r>
        <w:rPr>
          <w:rFonts w:ascii="Verdana" w:hAnsi="Verdana"/>
          <w:i/>
          <w:iCs/>
        </w:rPr>
        <w:t>1</w:t>
      </w:r>
      <w:r w:rsidRPr="00326F60">
        <w:rPr>
          <w:rFonts w:ascii="Verdana" w:hAnsi="Verdana"/>
          <w:i/>
          <w:iCs/>
        </w:rPr>
        <w:t>.8.2.4.2. del presente Decreto, el contribuyente podrá registrarlo en la declaración del impuesto sobre la renta y complementarios que se presente en el mismo año de expedición del certificado o en el año gravable siguiente, en la casilla que la Unidad Administrativa Especial Dirección de Impuestos y Aduanas Nacionales -DIAN prescriba para tal fin, el valor certificado por el Consejo Nacional de Beneficios Tributarios -CNBT, equivalente al cincuenta por ciento (50%) del valor de la inversión realizada o de la remuneración pagada.</w:t>
      </w:r>
    </w:p>
    <w:p w14:paraId="52408B46" w14:textId="77777777" w:rsidR="00326F60" w:rsidRDefault="00326F60" w:rsidP="00326F60">
      <w:pPr>
        <w:pStyle w:val="Sinespaciado"/>
        <w:ind w:left="708"/>
        <w:jc w:val="both"/>
        <w:rPr>
          <w:rStyle w:val="Cuerpodeltexto221"/>
          <w:rFonts w:ascii="Verdana" w:hAnsi="Verdana"/>
          <w:sz w:val="24"/>
          <w:szCs w:val="24"/>
        </w:rPr>
      </w:pPr>
    </w:p>
    <w:p w14:paraId="2A01FD97" w14:textId="77A36402" w:rsidR="006F018F" w:rsidRPr="00326F60" w:rsidRDefault="00326F60" w:rsidP="00326F60">
      <w:pPr>
        <w:pStyle w:val="Sinespaciado"/>
        <w:ind w:left="708"/>
        <w:jc w:val="both"/>
        <w:rPr>
          <w:rFonts w:ascii="Verdana" w:hAnsi="Verdana"/>
          <w:i/>
          <w:iCs/>
        </w:rPr>
      </w:pPr>
      <w:r w:rsidRPr="00326F60">
        <w:rPr>
          <w:rStyle w:val="Cuerpodeltexto221"/>
          <w:rFonts w:ascii="Verdana" w:hAnsi="Verdana"/>
          <w:sz w:val="24"/>
          <w:szCs w:val="24"/>
        </w:rPr>
        <w:t xml:space="preserve">ARTÍCULO I.8.2.4.5. </w:t>
      </w:r>
      <w:r w:rsidRPr="00326F60">
        <w:rPr>
          <w:rStyle w:val="Cuerpodeltexto222"/>
          <w:rFonts w:ascii="Verdana" w:hAnsi="Verdana"/>
          <w:sz w:val="24"/>
          <w:szCs w:val="24"/>
        </w:rPr>
        <w:t>Compensación total</w:t>
      </w:r>
      <w:r w:rsidRPr="00326F60">
        <w:rPr>
          <w:rStyle w:val="Cuerpodeltexto221"/>
          <w:rFonts w:ascii="Verdana" w:hAnsi="Verdana"/>
          <w:sz w:val="24"/>
          <w:szCs w:val="24"/>
        </w:rPr>
        <w:t xml:space="preserve"> o parcial del impuesto a pagar que arroje la declaración del impuesto sobre la renta y complementarios del año gravable donde se registra el crédito fiscal. </w:t>
      </w:r>
      <w:r w:rsidRPr="00326F60">
        <w:rPr>
          <w:rStyle w:val="Cuerpodeltexto22Sinnegrita"/>
          <w:rFonts w:ascii="Verdana" w:hAnsi="Verdana"/>
          <w:b w:val="0"/>
          <w:bCs w:val="0"/>
          <w:sz w:val="24"/>
          <w:szCs w:val="24"/>
        </w:rPr>
        <w:t xml:space="preserve">El crédito fiscal registrado conforme con lo previsto en el artículo 1.8.2.4.4. del presente Decreto, </w:t>
      </w:r>
      <w:r w:rsidRPr="00326F60">
        <w:rPr>
          <w:rStyle w:val="Cuerpodeltexto222"/>
          <w:rFonts w:ascii="Verdana" w:hAnsi="Verdana"/>
          <w:sz w:val="24"/>
          <w:szCs w:val="24"/>
        </w:rPr>
        <w:t>compensará total o parcialmente, según el caso, el valor del impuesto a cargo de la declaración del impuesto sobre la renta y complementarios del año gravable donde se registra.</w:t>
      </w:r>
    </w:p>
    <w:p w14:paraId="5B7CD314" w14:textId="77777777" w:rsidR="00326F60" w:rsidRDefault="00326F60" w:rsidP="00326F60">
      <w:pPr>
        <w:pStyle w:val="Sinespaciado"/>
        <w:ind w:left="708"/>
        <w:jc w:val="both"/>
        <w:rPr>
          <w:rFonts w:ascii="Verdana" w:hAnsi="Verdana"/>
          <w:i/>
          <w:iCs/>
        </w:rPr>
      </w:pPr>
    </w:p>
    <w:p w14:paraId="296A5682" w14:textId="112BE1A9" w:rsidR="006F018F" w:rsidRPr="00326F60" w:rsidRDefault="00326F60" w:rsidP="00326F60">
      <w:pPr>
        <w:pStyle w:val="Sinespaciado"/>
        <w:ind w:left="708"/>
        <w:jc w:val="both"/>
        <w:rPr>
          <w:rFonts w:ascii="Verdana" w:hAnsi="Verdana"/>
          <w:i/>
          <w:iCs/>
        </w:rPr>
      </w:pPr>
      <w:r w:rsidRPr="00326F60">
        <w:rPr>
          <w:rFonts w:ascii="Verdana" w:hAnsi="Verdana"/>
          <w:i/>
          <w:iCs/>
        </w:rPr>
        <w:t>Cuando el valor del impuesto a cargo de la declaración del impuesto sobre la renta y complementarios sea cero (0), y por lo tanto no haya impuesto para compensar contra el crédito fiscal dentro de la respectiva declaración tributaria, el contribuyente deberá sumar el valor del crédito fiscal registrado en la declaración, al saldo a favor de la vigencia fiscal.</w:t>
      </w:r>
    </w:p>
    <w:p w14:paraId="379CF1C5" w14:textId="77777777" w:rsidR="00326F60" w:rsidRDefault="00326F60" w:rsidP="00326F60">
      <w:pPr>
        <w:pStyle w:val="Sinespaciado"/>
        <w:ind w:left="708"/>
        <w:jc w:val="both"/>
        <w:rPr>
          <w:rFonts w:ascii="Verdana" w:hAnsi="Verdana"/>
          <w:i/>
          <w:iCs/>
        </w:rPr>
      </w:pPr>
    </w:p>
    <w:p w14:paraId="6F858C18" w14:textId="5EBA996E" w:rsidR="006F018F" w:rsidRPr="00326F60" w:rsidRDefault="00326F60" w:rsidP="00326F60">
      <w:pPr>
        <w:pStyle w:val="Sinespaciado"/>
        <w:ind w:left="708"/>
        <w:jc w:val="both"/>
        <w:rPr>
          <w:rFonts w:ascii="Verdana" w:hAnsi="Verdana"/>
          <w:i/>
          <w:iCs/>
        </w:rPr>
      </w:pPr>
      <w:r w:rsidRPr="00326F60">
        <w:rPr>
          <w:rFonts w:ascii="Verdana" w:hAnsi="Verdana"/>
          <w:i/>
          <w:iCs/>
        </w:rPr>
        <w:t>El saldo a favor de que trata el inciso anterior, podrá ser utilizado por el contribuyente declarante del impuesto sobre la renta y complementarios, conforme con lo previsto en los artículos 1.8.2.4.6. y 1.8.2.4.7. de este Decreto.</w:t>
      </w:r>
    </w:p>
    <w:p w14:paraId="18E9B8AA" w14:textId="77777777" w:rsidR="00326F60" w:rsidRDefault="00326F60" w:rsidP="00326F60">
      <w:pPr>
        <w:pStyle w:val="Sinespaciado"/>
        <w:ind w:left="708"/>
        <w:jc w:val="both"/>
        <w:rPr>
          <w:rFonts w:ascii="Verdana" w:hAnsi="Verdana"/>
          <w:i/>
          <w:iCs/>
        </w:rPr>
      </w:pPr>
    </w:p>
    <w:p w14:paraId="715C70DF" w14:textId="595E1C76" w:rsidR="006F018F" w:rsidRPr="001A3C71" w:rsidRDefault="00326F60" w:rsidP="00326F60">
      <w:pPr>
        <w:pStyle w:val="Sinespaciado"/>
        <w:ind w:left="708"/>
        <w:jc w:val="both"/>
        <w:rPr>
          <w:rFonts w:ascii="Verdana" w:hAnsi="Verdana"/>
        </w:rPr>
      </w:pPr>
      <w:r w:rsidRPr="00326F60">
        <w:rPr>
          <w:rFonts w:ascii="Verdana" w:hAnsi="Verdana"/>
          <w:i/>
          <w:iCs/>
        </w:rPr>
        <w:t xml:space="preserve">El saldo a favor de que trata el inciso 2 del presente artículo, solamente podrá ser objeto de devolución en los términos previstos en el artículo 1.8.2.4.8 del presente Decreto, por los contribuyentes cuya certificación y valor registrado en la casilla que se adopte para el crédito fiscal, supere las mil (1.000) unidades de valor tributario - UVT </w:t>
      </w:r>
      <w:r w:rsidRPr="00326F60">
        <w:rPr>
          <w:rFonts w:ascii="Verdana" w:hAnsi="Verdana"/>
          <w:i/>
          <w:iCs/>
        </w:rPr>
        <w:lastRenderedPageBreak/>
        <w:t>siempre que se cumplan, los requisitos previstos en el artículo 256-1 del Estatuto Tributario y en este capítulo, y se cumplan los términos y condiciones que establezca el Consejo Nacional de Beneficios Tributarios - CNBT. Lo anterior sin perjuicio de la posibilidad de solicitar la devolución y/o compensación de los saldos a favor generados por otros conceptos.”</w:t>
      </w:r>
    </w:p>
    <w:p w14:paraId="078C2F18" w14:textId="77777777" w:rsidR="00326F60" w:rsidRDefault="00326F60" w:rsidP="001A3C71">
      <w:pPr>
        <w:pStyle w:val="Sinespaciado"/>
        <w:jc w:val="both"/>
        <w:rPr>
          <w:rFonts w:ascii="Verdana" w:hAnsi="Verdana"/>
        </w:rPr>
      </w:pPr>
    </w:p>
    <w:p w14:paraId="02631A78" w14:textId="0A76B862" w:rsidR="006F018F" w:rsidRPr="001A3C71" w:rsidRDefault="00326F60" w:rsidP="001A3C71">
      <w:pPr>
        <w:pStyle w:val="Sinespaciado"/>
        <w:jc w:val="both"/>
        <w:rPr>
          <w:rFonts w:ascii="Verdana" w:hAnsi="Verdana"/>
        </w:rPr>
      </w:pPr>
      <w:r w:rsidRPr="001A3C71">
        <w:rPr>
          <w:rFonts w:ascii="Verdana" w:hAnsi="Verdana"/>
        </w:rPr>
        <w:t>Por su parte, el artículo 258 del Estatuto Tributario señala:</w:t>
      </w:r>
    </w:p>
    <w:p w14:paraId="56768512" w14:textId="77777777" w:rsidR="00326F60" w:rsidRDefault="00326F60" w:rsidP="001A3C71">
      <w:pPr>
        <w:pStyle w:val="Sinespaciado"/>
        <w:jc w:val="both"/>
        <w:rPr>
          <w:rStyle w:val="Cuerpodeltexto221"/>
          <w:rFonts w:ascii="Verdana" w:hAnsi="Verdana"/>
          <w:sz w:val="24"/>
          <w:szCs w:val="24"/>
        </w:rPr>
      </w:pPr>
    </w:p>
    <w:p w14:paraId="2EFB2006" w14:textId="27F754A2" w:rsidR="006F018F" w:rsidRPr="00326F60" w:rsidRDefault="00326F60" w:rsidP="00326F60">
      <w:pPr>
        <w:pStyle w:val="Sinespaciado"/>
        <w:ind w:left="708"/>
        <w:jc w:val="both"/>
        <w:rPr>
          <w:rFonts w:ascii="Verdana" w:hAnsi="Verdana"/>
          <w:i/>
          <w:iCs/>
        </w:rPr>
      </w:pPr>
      <w:r w:rsidRPr="00326F60">
        <w:rPr>
          <w:rStyle w:val="Cuerpodeltexto221"/>
          <w:rFonts w:ascii="Verdana" w:hAnsi="Verdana"/>
          <w:sz w:val="24"/>
          <w:szCs w:val="24"/>
        </w:rPr>
        <w:t xml:space="preserve">“ARTÍCULO 258. LIMITACIONES A LOS DESCUENTOS TRIBUTARIOS DE QUE TRATAN LOS ARTÍCULOS 255, 256 </w:t>
      </w:r>
      <w:r w:rsidRPr="00326F60">
        <w:rPr>
          <w:rStyle w:val="Cuerpodeltexto223"/>
          <w:rFonts w:ascii="Verdana" w:hAnsi="Verdana"/>
          <w:sz w:val="24"/>
          <w:szCs w:val="24"/>
        </w:rPr>
        <w:t>Y257</w:t>
      </w:r>
      <w:r w:rsidRPr="00326F60">
        <w:rPr>
          <w:rStyle w:val="Cuerpodeltexto221"/>
          <w:rFonts w:ascii="Verdana" w:hAnsi="Verdana"/>
          <w:sz w:val="24"/>
          <w:szCs w:val="24"/>
        </w:rPr>
        <w:t xml:space="preserve"> DEL ESTATUTO TRIBUTARIO</w:t>
      </w:r>
      <w:r w:rsidRPr="00326F60">
        <w:rPr>
          <w:rStyle w:val="Cuerpodeltexto22Sinnegrita"/>
          <w:rFonts w:ascii="Verdana" w:hAnsi="Verdana"/>
          <w:b w:val="0"/>
          <w:bCs w:val="0"/>
          <w:sz w:val="24"/>
          <w:szCs w:val="24"/>
        </w:rPr>
        <w:t xml:space="preserve">. </w:t>
      </w:r>
      <w:r w:rsidRPr="00326F60">
        <w:rPr>
          <w:rStyle w:val="Cuerpodeltexto222"/>
          <w:rFonts w:ascii="Verdana" w:hAnsi="Verdana"/>
          <w:sz w:val="24"/>
          <w:szCs w:val="24"/>
        </w:rPr>
        <w:t>Los descuentos de que tratan los artículos 255, 256 y 257 del Estatuto Tributario tomados en su conjunto no podrán exceder del 25% del impuesto sobre la renta a cargo del contribuyente en el respectivo año gravable</w:t>
      </w:r>
      <w:r w:rsidRPr="00326F60">
        <w:rPr>
          <w:rStyle w:val="Cuerpodeltexto22Sinnegrita"/>
          <w:rFonts w:ascii="Verdana" w:hAnsi="Verdana"/>
          <w:b w:val="0"/>
          <w:bCs w:val="0"/>
          <w:sz w:val="24"/>
          <w:szCs w:val="24"/>
        </w:rPr>
        <w:t>. El exceso no descontado en el año tendrá el siguiente tratamiento:</w:t>
      </w:r>
    </w:p>
    <w:p w14:paraId="5D8EFAFC" w14:textId="77777777" w:rsidR="00326F60" w:rsidRDefault="00326F60" w:rsidP="00326F60">
      <w:pPr>
        <w:pStyle w:val="Sinespaciado"/>
        <w:ind w:left="708"/>
        <w:jc w:val="both"/>
        <w:rPr>
          <w:rFonts w:ascii="Verdana" w:hAnsi="Verdana"/>
          <w:i/>
          <w:iCs/>
        </w:rPr>
      </w:pPr>
    </w:p>
    <w:p w14:paraId="352E9C19" w14:textId="77777777" w:rsidR="00326F60" w:rsidRDefault="00326F60" w:rsidP="001A3C71">
      <w:pPr>
        <w:pStyle w:val="Sinespaciado"/>
        <w:numPr>
          <w:ilvl w:val="0"/>
          <w:numId w:val="2"/>
        </w:numPr>
        <w:jc w:val="both"/>
        <w:rPr>
          <w:rFonts w:ascii="Verdana" w:hAnsi="Verdana"/>
        </w:rPr>
      </w:pPr>
      <w:r w:rsidRPr="00326F60">
        <w:rPr>
          <w:rFonts w:ascii="Verdana" w:hAnsi="Verdana"/>
          <w:i/>
          <w:iCs/>
        </w:rPr>
        <w:t>El exceso originado en el descuento de que trata el artículo 255 del Estatuto Tributario, podrá tomarse dentro de los cuatro (4) períodos gravables siguientes a aquel en que se efectuó la inversión en control y mejoramiento del medio ambiente.</w:t>
      </w:r>
    </w:p>
    <w:p w14:paraId="72B1C441" w14:textId="77777777" w:rsidR="00326F60" w:rsidRDefault="00326F60" w:rsidP="00326F60">
      <w:pPr>
        <w:pStyle w:val="Sinespaciado"/>
        <w:ind w:left="1068"/>
        <w:jc w:val="both"/>
        <w:rPr>
          <w:rFonts w:ascii="Verdana" w:hAnsi="Verdana"/>
        </w:rPr>
      </w:pPr>
    </w:p>
    <w:p w14:paraId="245DDB2F" w14:textId="77777777" w:rsidR="00326F60" w:rsidRDefault="00326F60" w:rsidP="001A3C71">
      <w:pPr>
        <w:pStyle w:val="Sinespaciado"/>
        <w:numPr>
          <w:ilvl w:val="0"/>
          <w:numId w:val="2"/>
        </w:numPr>
        <w:jc w:val="both"/>
        <w:rPr>
          <w:rFonts w:ascii="Verdana" w:hAnsi="Verdana"/>
        </w:rPr>
      </w:pPr>
      <w:r w:rsidRPr="00326F60">
        <w:rPr>
          <w:rFonts w:ascii="Verdana" w:hAnsi="Verdana"/>
          <w:i/>
          <w:iCs/>
        </w:rPr>
        <w:t>El exceso originado en el descuento de que trata el artículo 256 del Estatuto Tributario, podrá tomarse dentro de los cuatro (4) períodos gravables siguientes a aquel en que se efectuó la inversión en investigación, desarrollo e innovación.</w:t>
      </w:r>
    </w:p>
    <w:p w14:paraId="3FAE71E4" w14:textId="77777777" w:rsidR="00326F60" w:rsidRDefault="00326F60" w:rsidP="00326F60">
      <w:pPr>
        <w:pStyle w:val="Prrafodelista"/>
        <w:rPr>
          <w:rFonts w:ascii="Verdana" w:hAnsi="Verdana"/>
        </w:rPr>
      </w:pPr>
    </w:p>
    <w:p w14:paraId="6207068F" w14:textId="272A7F2E" w:rsidR="006F018F" w:rsidRPr="00326F60" w:rsidRDefault="00326F60" w:rsidP="001A3C71">
      <w:pPr>
        <w:pStyle w:val="Sinespaciado"/>
        <w:numPr>
          <w:ilvl w:val="0"/>
          <w:numId w:val="2"/>
        </w:numPr>
        <w:jc w:val="both"/>
        <w:rPr>
          <w:rFonts w:ascii="Verdana" w:hAnsi="Verdana"/>
          <w:i/>
          <w:iCs/>
        </w:rPr>
      </w:pPr>
      <w:r w:rsidRPr="00326F60">
        <w:rPr>
          <w:rFonts w:ascii="Verdana" w:hAnsi="Verdana"/>
          <w:i/>
          <w:iCs/>
        </w:rPr>
        <w:t xml:space="preserve">El exceso originado en el descuento de que trata el artículo 257 del Estatuto Tributario, podrá tomarse dentro del periodo gravable siguiente a aquel en que se efectuó la donación”. </w:t>
      </w:r>
      <w:r w:rsidRPr="00326F60">
        <w:rPr>
          <w:rStyle w:val="Cuerpodeltexto2995ptoSincursiva"/>
          <w:rFonts w:ascii="Verdana" w:hAnsi="Verdana"/>
          <w:i w:val="0"/>
          <w:iCs w:val="0"/>
          <w:sz w:val="24"/>
          <w:szCs w:val="24"/>
        </w:rPr>
        <w:t>(Subraya y negrilla fuera de texto)</w:t>
      </w:r>
    </w:p>
    <w:p w14:paraId="0D8A268E" w14:textId="77777777" w:rsidR="00326F60" w:rsidRDefault="00326F60" w:rsidP="001A3C71">
      <w:pPr>
        <w:pStyle w:val="Sinespaciado"/>
        <w:jc w:val="both"/>
        <w:rPr>
          <w:rFonts w:ascii="Verdana" w:hAnsi="Verdana"/>
        </w:rPr>
      </w:pPr>
    </w:p>
    <w:p w14:paraId="42938167" w14:textId="22540D2C" w:rsidR="006F018F" w:rsidRPr="001A3C71" w:rsidRDefault="00326F60" w:rsidP="001A3C71">
      <w:pPr>
        <w:pStyle w:val="Sinespaciado"/>
        <w:jc w:val="both"/>
        <w:rPr>
          <w:rFonts w:ascii="Verdana" w:hAnsi="Verdana"/>
        </w:rPr>
      </w:pPr>
      <w:r w:rsidRPr="001A3C71">
        <w:rPr>
          <w:rFonts w:ascii="Verdana" w:hAnsi="Verdana"/>
        </w:rPr>
        <w:t>En ese orden de ideas, se encuentra que la limitación a los descuentos tributarios establecida en el artículo 258 del Estatuto Tributario (25% del impuesto sobre la renta a cargo del contribuyente) no incluye el crédito fiscal de que trata el 256-1 del mismo Estatuto, por ser éste un crédito fiscal con una naturaleza especial. Así, dicho descuento se regirá por las disposiciones previstas en el artículo 256-1 del Estatuto Tributario y el Decreto 1011 de 2020.</w:t>
      </w:r>
    </w:p>
    <w:p w14:paraId="7DAD5FC5" w14:textId="77777777" w:rsidR="00326F60" w:rsidRDefault="00326F60" w:rsidP="001A3C71">
      <w:pPr>
        <w:pStyle w:val="Sinespaciado"/>
        <w:jc w:val="both"/>
        <w:rPr>
          <w:rFonts w:ascii="Verdana" w:hAnsi="Verdana"/>
        </w:rPr>
      </w:pPr>
    </w:p>
    <w:p w14:paraId="2FD82403" w14:textId="327816FE" w:rsidR="006F018F" w:rsidRPr="001A3C71" w:rsidRDefault="00326F60" w:rsidP="001A3C71">
      <w:pPr>
        <w:pStyle w:val="Sinespaciado"/>
        <w:jc w:val="both"/>
        <w:rPr>
          <w:rFonts w:ascii="Verdana" w:hAnsi="Verdana"/>
        </w:rPr>
      </w:pPr>
      <w:r w:rsidRPr="001A3C71">
        <w:rPr>
          <w:rFonts w:ascii="Verdana" w:hAnsi="Verdana"/>
        </w:rPr>
        <w:t xml:space="preserve">En los anteriores términos se resuelve su solicitud y finalmente le manifestamos que la Dirección de Impuestos y Aduanas Nacionales-DIAN-, </w:t>
      </w:r>
      <w:r w:rsidRPr="001A3C71">
        <w:rPr>
          <w:rFonts w:ascii="Verdana" w:hAnsi="Verdana"/>
        </w:rPr>
        <w:lastRenderedPageBreak/>
        <w:t>con el fin de facilitar a los contribuyentes, usuarios y público en general el acceso directo a sus pronunciamientos doctrinarios, ha publicado en su página de internet</w:t>
      </w:r>
      <w:r w:rsidRPr="00326F60">
        <w:rPr>
          <w:rFonts w:ascii="Verdana" w:hAnsi="Verdana"/>
        </w:rPr>
        <w:t xml:space="preserve"> www.dian.gov.co</w:t>
      </w:r>
      <w:r w:rsidRPr="00326F60">
        <w:rPr>
          <w:rFonts w:ascii="Verdana" w:hAnsi="Verdana"/>
          <w:lang w:val="en-US" w:eastAsia="en-US" w:bidi="en-US"/>
        </w:rPr>
        <w:t>,</w:t>
      </w:r>
      <w:r w:rsidRPr="001A3C71">
        <w:rPr>
          <w:rFonts w:ascii="Verdana" w:hAnsi="Verdana"/>
          <w:lang w:val="en-US" w:eastAsia="en-US" w:bidi="en-US"/>
        </w:rPr>
        <w:t xml:space="preserve"> </w:t>
      </w:r>
      <w:r w:rsidRPr="001A3C71">
        <w:rPr>
          <w:rFonts w:ascii="Verdana" w:hAnsi="Verdana"/>
        </w:rPr>
        <w:t xml:space="preserve">la base de conceptos en materia tributaria, aduanera y cambiaria expedidos desde el año 2001, la cual se puede ingresar por el icono de “Normatividad” </w:t>
      </w:r>
      <w:r>
        <w:rPr>
          <w:rFonts w:ascii="Verdana" w:hAnsi="Verdana"/>
        </w:rPr>
        <w:t>– “</w:t>
      </w:r>
      <w:r w:rsidRPr="001A3C71">
        <w:rPr>
          <w:rFonts w:ascii="Verdana" w:hAnsi="Verdana"/>
        </w:rPr>
        <w:t xml:space="preserve">Doctrina”-, dando click en el link </w:t>
      </w:r>
      <w:r>
        <w:rPr>
          <w:rFonts w:ascii="Verdana" w:hAnsi="Verdana"/>
        </w:rPr>
        <w:t>“</w:t>
      </w:r>
      <w:r w:rsidRPr="001A3C71">
        <w:rPr>
          <w:rFonts w:ascii="Verdana" w:hAnsi="Verdana"/>
        </w:rPr>
        <w:t>Doctrina Dirección de Gestión Jurídica”.</w:t>
      </w:r>
    </w:p>
    <w:p w14:paraId="214533FE" w14:textId="77777777" w:rsidR="00326F60" w:rsidRDefault="00326F60" w:rsidP="001A3C71">
      <w:pPr>
        <w:pStyle w:val="Sinespaciado"/>
        <w:jc w:val="both"/>
        <w:rPr>
          <w:rFonts w:ascii="Verdana" w:hAnsi="Verdana"/>
        </w:rPr>
      </w:pPr>
    </w:p>
    <w:p w14:paraId="4D4862B7" w14:textId="77777777" w:rsidR="00326F60" w:rsidRDefault="00326F60" w:rsidP="001A3C71">
      <w:pPr>
        <w:pStyle w:val="Sinespaciado"/>
        <w:jc w:val="both"/>
        <w:rPr>
          <w:rFonts w:ascii="Verdana" w:hAnsi="Verdana"/>
        </w:rPr>
      </w:pPr>
    </w:p>
    <w:p w14:paraId="11EA4788" w14:textId="76E86A71" w:rsidR="006F018F" w:rsidRPr="001A3C71" w:rsidRDefault="00326F60" w:rsidP="001A3C71">
      <w:pPr>
        <w:pStyle w:val="Sinespaciado"/>
        <w:jc w:val="both"/>
        <w:rPr>
          <w:rFonts w:ascii="Verdana" w:hAnsi="Verdana"/>
        </w:rPr>
      </w:pPr>
      <w:r w:rsidRPr="001A3C71">
        <w:rPr>
          <w:rFonts w:ascii="Verdana" w:hAnsi="Verdana"/>
        </w:rPr>
        <w:t>Atentamente,</w:t>
      </w:r>
    </w:p>
    <w:p w14:paraId="3C130662" w14:textId="77777777" w:rsidR="00326F60" w:rsidRDefault="00326F60" w:rsidP="001A3C71">
      <w:pPr>
        <w:pStyle w:val="Sinespaciado"/>
        <w:jc w:val="both"/>
        <w:rPr>
          <w:rFonts w:ascii="Verdana" w:hAnsi="Verdana"/>
        </w:rPr>
      </w:pPr>
    </w:p>
    <w:p w14:paraId="395C8C89" w14:textId="77777777" w:rsidR="00326F60" w:rsidRDefault="00326F60" w:rsidP="001A3C71">
      <w:pPr>
        <w:pStyle w:val="Sinespaciado"/>
        <w:jc w:val="both"/>
        <w:rPr>
          <w:rFonts w:ascii="Verdana" w:hAnsi="Verdana"/>
        </w:rPr>
      </w:pPr>
    </w:p>
    <w:p w14:paraId="3B6B5E73" w14:textId="77777777" w:rsidR="00326F60" w:rsidRDefault="00326F60" w:rsidP="001A3C71">
      <w:pPr>
        <w:pStyle w:val="Sinespaciado"/>
        <w:jc w:val="both"/>
        <w:rPr>
          <w:rFonts w:ascii="Verdana" w:hAnsi="Verdana"/>
        </w:rPr>
      </w:pPr>
    </w:p>
    <w:p w14:paraId="61A36B20" w14:textId="2E883BD0" w:rsidR="006F018F" w:rsidRPr="00326F60" w:rsidRDefault="00326F60" w:rsidP="001A3C71">
      <w:pPr>
        <w:pStyle w:val="Sinespaciado"/>
        <w:jc w:val="both"/>
        <w:rPr>
          <w:rFonts w:ascii="Verdana" w:hAnsi="Verdana"/>
          <w:b/>
          <w:bCs/>
        </w:rPr>
      </w:pPr>
      <w:r w:rsidRPr="00326F60">
        <w:rPr>
          <w:rFonts w:ascii="Verdana" w:hAnsi="Verdana"/>
          <w:b/>
          <w:bCs/>
        </w:rPr>
        <w:t>PABLO EMILIO MENDOZA VELILLA</w:t>
      </w:r>
    </w:p>
    <w:p w14:paraId="55519600" w14:textId="77777777" w:rsidR="006F018F" w:rsidRPr="001A3C71" w:rsidRDefault="00326F60" w:rsidP="001A3C71">
      <w:pPr>
        <w:pStyle w:val="Sinespaciado"/>
        <w:jc w:val="both"/>
        <w:rPr>
          <w:rFonts w:ascii="Verdana" w:hAnsi="Verdana"/>
        </w:rPr>
      </w:pPr>
      <w:r w:rsidRPr="001A3C71">
        <w:rPr>
          <w:rFonts w:ascii="Verdana" w:hAnsi="Verdana"/>
        </w:rPr>
        <w:t>Subdirector de Gestión Normativa y Doctrina</w:t>
      </w:r>
    </w:p>
    <w:p w14:paraId="35F453A5" w14:textId="77777777" w:rsidR="006F018F" w:rsidRPr="001A3C71" w:rsidRDefault="00326F60" w:rsidP="001A3C71">
      <w:pPr>
        <w:pStyle w:val="Sinespaciado"/>
        <w:jc w:val="both"/>
        <w:rPr>
          <w:rFonts w:ascii="Verdana" w:hAnsi="Verdana"/>
        </w:rPr>
      </w:pPr>
      <w:r w:rsidRPr="001A3C71">
        <w:rPr>
          <w:rFonts w:ascii="Verdana" w:hAnsi="Verdana"/>
        </w:rPr>
        <w:t>Dirección de Gestión Jurídica</w:t>
      </w:r>
    </w:p>
    <w:p w14:paraId="7939AC04" w14:textId="77777777" w:rsidR="006F018F" w:rsidRPr="001A3C71" w:rsidRDefault="00326F60" w:rsidP="001A3C71">
      <w:pPr>
        <w:pStyle w:val="Sinespaciado"/>
        <w:jc w:val="both"/>
        <w:rPr>
          <w:rFonts w:ascii="Verdana" w:hAnsi="Verdana"/>
        </w:rPr>
      </w:pPr>
      <w:r w:rsidRPr="001A3C71">
        <w:rPr>
          <w:rFonts w:ascii="Verdana" w:hAnsi="Verdana"/>
        </w:rPr>
        <w:t>UAE-DIAN</w:t>
      </w:r>
    </w:p>
    <w:p w14:paraId="70C42E33" w14:textId="77777777" w:rsidR="00326F60" w:rsidRDefault="00326F60" w:rsidP="001A3C71">
      <w:pPr>
        <w:pStyle w:val="Sinespaciado"/>
        <w:jc w:val="both"/>
        <w:rPr>
          <w:rFonts w:ascii="Verdana" w:hAnsi="Verdana"/>
        </w:rPr>
      </w:pPr>
      <w:r w:rsidRPr="001A3C71">
        <w:rPr>
          <w:rFonts w:ascii="Verdana" w:hAnsi="Verdana"/>
        </w:rPr>
        <w:t>Car. 8 N° 6C-38 Piso 4, Edificio San Agustín</w:t>
      </w:r>
    </w:p>
    <w:p w14:paraId="348915CE" w14:textId="7764CAC7" w:rsidR="006F018F" w:rsidRPr="001A3C71" w:rsidRDefault="00326F60" w:rsidP="001A3C71">
      <w:pPr>
        <w:pStyle w:val="Sinespaciado"/>
        <w:jc w:val="both"/>
        <w:rPr>
          <w:rFonts w:ascii="Verdana" w:hAnsi="Verdana"/>
        </w:rPr>
      </w:pPr>
      <w:r w:rsidRPr="001A3C71">
        <w:rPr>
          <w:rFonts w:ascii="Verdana" w:hAnsi="Verdana"/>
        </w:rPr>
        <w:t>Bogotá D.C.</w:t>
      </w:r>
    </w:p>
    <w:sectPr w:rsidR="006F018F" w:rsidRPr="001A3C71" w:rsidSect="001A3C71">
      <w:headerReference w:type="default" r:id="rId7"/>
      <w:pgSz w:w="12240" w:h="15840" w:code="1"/>
      <w:pgMar w:top="1701" w:right="1418" w:bottom="1701" w:left="1418"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A7FF0" w14:textId="77777777" w:rsidR="00F5277B" w:rsidRDefault="00F5277B">
      <w:r>
        <w:separator/>
      </w:r>
    </w:p>
  </w:endnote>
  <w:endnote w:type="continuationSeparator" w:id="0">
    <w:p w14:paraId="4F921E9C" w14:textId="77777777" w:rsidR="00F5277B" w:rsidRDefault="00F5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FB818" w14:textId="77777777" w:rsidR="00F5277B" w:rsidRDefault="00F5277B"/>
  </w:footnote>
  <w:footnote w:type="continuationSeparator" w:id="0">
    <w:p w14:paraId="0017A868" w14:textId="77777777" w:rsidR="00F5277B" w:rsidRDefault="00F527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4825" w14:textId="77777777" w:rsidR="006F018F" w:rsidRDefault="006F01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7102"/>
    <w:multiLevelType w:val="hybridMultilevel"/>
    <w:tmpl w:val="F4AAC836"/>
    <w:lvl w:ilvl="0" w:tplc="ACC46A06">
      <w:start w:val="1"/>
      <w:numFmt w:val="decimal"/>
      <w:lvlText w:val="%1."/>
      <w:lvlJc w:val="left"/>
      <w:pPr>
        <w:ind w:left="1068" w:hanging="360"/>
      </w:pPr>
      <w:rPr>
        <w:rFonts w:hint="default"/>
        <w:i/>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26DE43D3"/>
    <w:multiLevelType w:val="multilevel"/>
    <w:tmpl w:val="778CD666"/>
    <w:lvl w:ilvl="0">
      <w:start w:val="1"/>
      <w:numFmt w:val="decimal"/>
      <w:lvlText w:val="%1."/>
      <w:lvlJc w:val="left"/>
      <w:rPr>
        <w:rFonts w:ascii="Arial" w:eastAsia="Arial" w:hAnsi="Arial" w:cs="Arial"/>
        <w:b w:val="0"/>
        <w:bCs w:val="0"/>
        <w:i/>
        <w:iCs/>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18F"/>
    <w:rsid w:val="001A3C71"/>
    <w:rsid w:val="00326F60"/>
    <w:rsid w:val="006D2BCE"/>
    <w:rsid w:val="006F018F"/>
    <w:rsid w:val="00E92DC3"/>
    <w:rsid w:val="00F527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3244B"/>
  <w15:docId w15:val="{15D1903F-DA0F-4BA6-98D7-CB33D952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20"/>
      <w:szCs w:val="20"/>
      <w:u w:val="none"/>
    </w:rPr>
  </w:style>
  <w:style w:type="character" w:customStyle="1" w:styleId="Encabezamientoopiedepgina">
    <w:name w:val="Encabezamiento o pie de página_"/>
    <w:basedOn w:val="Fuentedeprrafopredeter"/>
    <w:link w:val="Encabezamientoopiedepgina0"/>
    <w:rPr>
      <w:rFonts w:ascii="Calibri" w:eastAsia="Calibri" w:hAnsi="Calibri" w:cs="Calibri"/>
      <w:b w:val="0"/>
      <w:bCs w:val="0"/>
      <w:i w:val="0"/>
      <w:iCs w:val="0"/>
      <w:smallCaps w:val="0"/>
      <w:strike w:val="0"/>
      <w:sz w:val="17"/>
      <w:szCs w:val="17"/>
      <w:u w:val="none"/>
    </w:rPr>
  </w:style>
  <w:style w:type="character" w:customStyle="1" w:styleId="EncabezamientoopiedepginaArial11pto">
    <w:name w:val="Encabezamiento o pie de página + Arial;11 pto"/>
    <w:basedOn w:val="Encabezamientoopiedepgina"/>
    <w:rPr>
      <w:rFonts w:ascii="Arial" w:eastAsia="Arial" w:hAnsi="Arial" w:cs="Arial"/>
      <w:b w:val="0"/>
      <w:bCs w:val="0"/>
      <w:i w:val="0"/>
      <w:iCs w:val="0"/>
      <w:smallCaps w:val="0"/>
      <w:strike w:val="0"/>
      <w:color w:val="000000"/>
      <w:spacing w:val="0"/>
      <w:w w:val="100"/>
      <w:position w:val="0"/>
      <w:sz w:val="22"/>
      <w:szCs w:val="22"/>
      <w:u w:val="none"/>
      <w:lang w:val="es-ES" w:eastAsia="es-ES" w:bidi="es-ES"/>
    </w:rPr>
  </w:style>
  <w:style w:type="character" w:customStyle="1" w:styleId="Cuerpodeltexto4">
    <w:name w:val="Cuerpo del texto (4)_"/>
    <w:basedOn w:val="Fuentedeprrafopredeter"/>
    <w:link w:val="Cuerpodeltexto40"/>
    <w:rPr>
      <w:rFonts w:ascii="Arial" w:eastAsia="Arial" w:hAnsi="Arial" w:cs="Arial"/>
      <w:b w:val="0"/>
      <w:bCs w:val="0"/>
      <w:i/>
      <w:iCs/>
      <w:smallCaps w:val="0"/>
      <w:strike w:val="0"/>
      <w:sz w:val="20"/>
      <w:szCs w:val="20"/>
      <w:u w:val="none"/>
    </w:rPr>
  </w:style>
  <w:style w:type="character" w:customStyle="1" w:styleId="Cuerpodeltexto29">
    <w:name w:val="Cuerpo del texto (29)_"/>
    <w:basedOn w:val="Fuentedeprrafopredeter"/>
    <w:link w:val="Cuerpodeltexto290"/>
    <w:rPr>
      <w:rFonts w:ascii="Arial" w:eastAsia="Arial" w:hAnsi="Arial" w:cs="Arial"/>
      <w:b w:val="0"/>
      <w:bCs w:val="0"/>
      <w:i/>
      <w:iCs/>
      <w:smallCaps w:val="0"/>
      <w:strike w:val="0"/>
      <w:sz w:val="20"/>
      <w:szCs w:val="20"/>
      <w:u w:val="none"/>
    </w:rPr>
  </w:style>
  <w:style w:type="character" w:customStyle="1" w:styleId="Cuerpodeltexto29Negrita">
    <w:name w:val="Cuerpo del texto (29) + Negrita"/>
    <w:basedOn w:val="Cuerpodeltexto29"/>
    <w:rPr>
      <w:rFonts w:ascii="Arial" w:eastAsia="Arial" w:hAnsi="Arial" w:cs="Arial"/>
      <w:b/>
      <w:bCs/>
      <w:i/>
      <w:iCs/>
      <w:smallCaps w:val="0"/>
      <w:strike w:val="0"/>
      <w:color w:val="000000"/>
      <w:spacing w:val="0"/>
      <w:w w:val="100"/>
      <w:position w:val="0"/>
      <w:sz w:val="20"/>
      <w:szCs w:val="20"/>
      <w:u w:val="none"/>
      <w:lang w:val="es-ES" w:eastAsia="es-ES" w:bidi="es-ES"/>
    </w:rPr>
  </w:style>
  <w:style w:type="character" w:customStyle="1" w:styleId="Cuerpodeltexto22">
    <w:name w:val="Cuerpo del texto (22)_"/>
    <w:basedOn w:val="Fuentedeprrafopredeter"/>
    <w:link w:val="Cuerpodeltexto220"/>
    <w:rPr>
      <w:rFonts w:ascii="Arial" w:eastAsia="Arial" w:hAnsi="Arial" w:cs="Arial"/>
      <w:b/>
      <w:bCs/>
      <w:i/>
      <w:iCs/>
      <w:smallCaps w:val="0"/>
      <w:strike w:val="0"/>
      <w:sz w:val="20"/>
      <w:szCs w:val="20"/>
      <w:u w:val="none"/>
    </w:rPr>
  </w:style>
  <w:style w:type="character" w:customStyle="1" w:styleId="Cuerpodeltexto221">
    <w:name w:val="Cuerpo del texto (22)"/>
    <w:basedOn w:val="Cuerpodeltexto22"/>
    <w:rPr>
      <w:rFonts w:ascii="Arial" w:eastAsia="Arial" w:hAnsi="Arial" w:cs="Arial"/>
      <w:b/>
      <w:bCs/>
      <w:i/>
      <w:iCs/>
      <w:smallCaps w:val="0"/>
      <w:strike w:val="0"/>
      <w:color w:val="000000"/>
      <w:spacing w:val="0"/>
      <w:w w:val="100"/>
      <w:position w:val="0"/>
      <w:sz w:val="20"/>
      <w:szCs w:val="20"/>
      <w:u w:val="none"/>
      <w:lang w:val="es-ES" w:eastAsia="es-ES" w:bidi="es-ES"/>
    </w:rPr>
  </w:style>
  <w:style w:type="character" w:customStyle="1" w:styleId="Cuerpodeltexto222">
    <w:name w:val="Cuerpo del texto (22)"/>
    <w:basedOn w:val="Cuerpodeltexto22"/>
    <w:rPr>
      <w:rFonts w:ascii="Arial" w:eastAsia="Arial" w:hAnsi="Arial" w:cs="Arial"/>
      <w:b/>
      <w:bCs/>
      <w:i/>
      <w:iCs/>
      <w:smallCaps w:val="0"/>
      <w:strike w:val="0"/>
      <w:color w:val="000000"/>
      <w:spacing w:val="0"/>
      <w:w w:val="100"/>
      <w:position w:val="0"/>
      <w:sz w:val="20"/>
      <w:szCs w:val="20"/>
      <w:u w:val="single"/>
      <w:lang w:val="es-ES" w:eastAsia="es-ES" w:bidi="es-ES"/>
    </w:rPr>
  </w:style>
  <w:style w:type="character" w:customStyle="1" w:styleId="Cuerpodeltexto22Sinnegrita">
    <w:name w:val="Cuerpo del texto (22) + Sin negrita"/>
    <w:basedOn w:val="Cuerpodeltexto22"/>
    <w:rPr>
      <w:rFonts w:ascii="Arial" w:eastAsia="Arial" w:hAnsi="Arial" w:cs="Arial"/>
      <w:b/>
      <w:bCs/>
      <w:i/>
      <w:iCs/>
      <w:smallCaps w:val="0"/>
      <w:strike w:val="0"/>
      <w:color w:val="000000"/>
      <w:spacing w:val="0"/>
      <w:w w:val="100"/>
      <w:position w:val="0"/>
      <w:sz w:val="20"/>
      <w:szCs w:val="20"/>
      <w:u w:val="none"/>
      <w:lang w:val="es-ES" w:eastAsia="es-ES" w:bidi="es-ES"/>
    </w:rPr>
  </w:style>
  <w:style w:type="character" w:customStyle="1" w:styleId="Cuerpodeltexto223">
    <w:name w:val="Cuerpo del texto (22)"/>
    <w:basedOn w:val="Cuerpodeltexto22"/>
    <w:rPr>
      <w:rFonts w:ascii="Arial" w:eastAsia="Arial" w:hAnsi="Arial" w:cs="Arial"/>
      <w:b/>
      <w:bCs/>
      <w:i/>
      <w:iCs/>
      <w:smallCaps w:val="0"/>
      <w:strike w:val="0"/>
      <w:color w:val="000000"/>
      <w:spacing w:val="0"/>
      <w:w w:val="100"/>
      <w:position w:val="0"/>
      <w:sz w:val="20"/>
      <w:szCs w:val="20"/>
      <w:u w:val="none"/>
      <w:lang w:val="es-ES" w:eastAsia="es-ES" w:bidi="es-ES"/>
    </w:rPr>
  </w:style>
  <w:style w:type="character" w:customStyle="1" w:styleId="Cuerpodeltexto2995ptoSincursiva">
    <w:name w:val="Cuerpo del texto (29) + 9;5 pto;Sin cursiva"/>
    <w:basedOn w:val="Cuerpodeltexto29"/>
    <w:rPr>
      <w:rFonts w:ascii="Arial" w:eastAsia="Arial" w:hAnsi="Arial" w:cs="Arial"/>
      <w:b w:val="0"/>
      <w:bCs w:val="0"/>
      <w:i/>
      <w:iCs/>
      <w:smallCaps w:val="0"/>
      <w:strike w:val="0"/>
      <w:color w:val="000000"/>
      <w:spacing w:val="0"/>
      <w:w w:val="100"/>
      <w:position w:val="0"/>
      <w:sz w:val="19"/>
      <w:szCs w:val="19"/>
      <w:u w:val="none"/>
      <w:lang w:val="es-ES" w:eastAsia="es-ES" w:bidi="es-ES"/>
    </w:rPr>
  </w:style>
  <w:style w:type="character" w:customStyle="1" w:styleId="Cuerpodeltexto21">
    <w:name w:val="Cuerpo del texto (2)"/>
    <w:basedOn w:val="Cuerpodeltexto2"/>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Cuerpodeltexto26">
    <w:name w:val="Cuerpo del texto (26)_"/>
    <w:basedOn w:val="Fuentedeprrafopredeter"/>
    <w:link w:val="Cuerpodeltexto260"/>
    <w:rPr>
      <w:rFonts w:ascii="Segoe UI" w:eastAsia="Segoe UI" w:hAnsi="Segoe UI" w:cs="Segoe UI"/>
      <w:b w:val="0"/>
      <w:bCs w:val="0"/>
      <w:i w:val="0"/>
      <w:iCs w:val="0"/>
      <w:smallCaps w:val="0"/>
      <w:strike w:val="0"/>
      <w:sz w:val="12"/>
      <w:szCs w:val="12"/>
      <w:u w:val="none"/>
    </w:rPr>
  </w:style>
  <w:style w:type="character" w:customStyle="1" w:styleId="Cuerpodeltexto2685ptoCursiva">
    <w:name w:val="Cuerpo del texto (26) + 8;5 pto;Cursiva"/>
    <w:basedOn w:val="Cuerpodeltexto26"/>
    <w:rPr>
      <w:rFonts w:ascii="Segoe UI" w:eastAsia="Segoe UI" w:hAnsi="Segoe UI" w:cs="Segoe UI"/>
      <w:b w:val="0"/>
      <w:bCs w:val="0"/>
      <w:i/>
      <w:iCs/>
      <w:smallCaps w:val="0"/>
      <w:strike w:val="0"/>
      <w:color w:val="000000"/>
      <w:spacing w:val="0"/>
      <w:w w:val="100"/>
      <w:position w:val="0"/>
      <w:sz w:val="17"/>
      <w:szCs w:val="17"/>
      <w:u w:val="none"/>
      <w:lang w:val="es-ES" w:eastAsia="es-ES" w:bidi="es-ES"/>
    </w:rPr>
  </w:style>
  <w:style w:type="character" w:customStyle="1" w:styleId="Cuerpodeltexto2685ptoCursiva0">
    <w:name w:val="Cuerpo del texto (26) + 8;5 pto;Cursiva"/>
    <w:basedOn w:val="Cuerpodeltexto26"/>
    <w:rPr>
      <w:rFonts w:ascii="Segoe UI" w:eastAsia="Segoe UI" w:hAnsi="Segoe UI" w:cs="Segoe UI"/>
      <w:b w:val="0"/>
      <w:bCs w:val="0"/>
      <w:i/>
      <w:iCs/>
      <w:smallCaps w:val="0"/>
      <w:strike w:val="0"/>
      <w:color w:val="000000"/>
      <w:spacing w:val="0"/>
      <w:w w:val="100"/>
      <w:position w:val="0"/>
      <w:sz w:val="17"/>
      <w:szCs w:val="17"/>
      <w:u w:val="none"/>
      <w:lang w:val="es-ES" w:eastAsia="es-ES" w:bidi="es-ES"/>
    </w:rPr>
  </w:style>
  <w:style w:type="character" w:customStyle="1" w:styleId="Cuerpodeltexto27">
    <w:name w:val="Cuerpo del texto (27)_"/>
    <w:basedOn w:val="Fuentedeprrafopredeter"/>
    <w:link w:val="Cuerpodeltexto270"/>
    <w:rPr>
      <w:rFonts w:ascii="Arial" w:eastAsia="Arial" w:hAnsi="Arial" w:cs="Arial"/>
      <w:b/>
      <w:bCs/>
      <w:i w:val="0"/>
      <w:iCs w:val="0"/>
      <w:smallCaps w:val="0"/>
      <w:strike w:val="0"/>
      <w:sz w:val="11"/>
      <w:szCs w:val="11"/>
      <w:u w:val="none"/>
    </w:rPr>
  </w:style>
  <w:style w:type="character" w:customStyle="1" w:styleId="Cuerpodeltexto2712ptoSinnegritaCursivaEspaciado-1pto">
    <w:name w:val="Cuerpo del texto (27) + 12 pto;Sin negrita;Cursiva;Espaciado -1 pto"/>
    <w:basedOn w:val="Cuerpodeltexto27"/>
    <w:rPr>
      <w:rFonts w:ascii="Arial" w:eastAsia="Arial" w:hAnsi="Arial" w:cs="Arial"/>
      <w:b/>
      <w:bCs/>
      <w:i/>
      <w:iCs/>
      <w:smallCaps w:val="0"/>
      <w:strike w:val="0"/>
      <w:color w:val="000000"/>
      <w:spacing w:val="-20"/>
      <w:w w:val="100"/>
      <w:position w:val="0"/>
      <w:sz w:val="24"/>
      <w:szCs w:val="24"/>
      <w:u w:val="none"/>
      <w:lang w:val="es-ES" w:eastAsia="es-ES" w:bidi="es-ES"/>
    </w:rPr>
  </w:style>
  <w:style w:type="character" w:customStyle="1" w:styleId="Cuerpodeltexto2712ptoSinnegritaCursivaEspaciado-1pto0">
    <w:name w:val="Cuerpo del texto (27) + 12 pto;Sin negrita;Cursiva;Espaciado -1 pto"/>
    <w:basedOn w:val="Cuerpodeltexto27"/>
    <w:rPr>
      <w:rFonts w:ascii="Arial" w:eastAsia="Arial" w:hAnsi="Arial" w:cs="Arial"/>
      <w:b/>
      <w:bCs/>
      <w:i/>
      <w:iCs/>
      <w:smallCaps w:val="0"/>
      <w:strike w:val="0"/>
      <w:color w:val="000000"/>
      <w:spacing w:val="-20"/>
      <w:w w:val="100"/>
      <w:position w:val="0"/>
      <w:sz w:val="24"/>
      <w:szCs w:val="24"/>
      <w:u w:val="none"/>
      <w:lang w:val="es-ES" w:eastAsia="es-ES" w:bidi="es-ES"/>
    </w:rPr>
  </w:style>
  <w:style w:type="character" w:customStyle="1" w:styleId="Cuerpodeltexto9">
    <w:name w:val="Cuerpo del texto (9)_"/>
    <w:basedOn w:val="Fuentedeprrafopredeter"/>
    <w:link w:val="Cuerpodeltexto90"/>
    <w:rPr>
      <w:rFonts w:ascii="Arial" w:eastAsia="Arial" w:hAnsi="Arial" w:cs="Arial"/>
      <w:b/>
      <w:bCs/>
      <w:i w:val="0"/>
      <w:iCs w:val="0"/>
      <w:smallCaps w:val="0"/>
      <w:strike w:val="0"/>
      <w:sz w:val="21"/>
      <w:szCs w:val="21"/>
      <w:u w:val="none"/>
    </w:rPr>
  </w:style>
  <w:style w:type="paragraph" w:customStyle="1" w:styleId="Cuerpodeltexto20">
    <w:name w:val="Cuerpo del texto (2)"/>
    <w:basedOn w:val="Normal"/>
    <w:link w:val="Cuerpodeltexto2"/>
    <w:pPr>
      <w:shd w:val="clear" w:color="auto" w:fill="FFFFFF"/>
      <w:spacing w:before="180" w:after="1440" w:line="538" w:lineRule="exact"/>
      <w:ind w:hanging="720"/>
    </w:pPr>
    <w:rPr>
      <w:rFonts w:ascii="Arial" w:eastAsia="Arial" w:hAnsi="Arial" w:cs="Arial"/>
      <w:sz w:val="20"/>
      <w:szCs w:val="20"/>
    </w:rPr>
  </w:style>
  <w:style w:type="paragraph" w:customStyle="1" w:styleId="Encabezamientoopiedepgina0">
    <w:name w:val="Encabezamiento o pie de página"/>
    <w:basedOn w:val="Normal"/>
    <w:link w:val="Encabezamientoopiedepgina"/>
    <w:pPr>
      <w:shd w:val="clear" w:color="auto" w:fill="FFFFFF"/>
      <w:spacing w:line="230" w:lineRule="exact"/>
      <w:jc w:val="both"/>
    </w:pPr>
    <w:rPr>
      <w:rFonts w:ascii="Calibri" w:eastAsia="Calibri" w:hAnsi="Calibri" w:cs="Calibri"/>
      <w:sz w:val="17"/>
      <w:szCs w:val="17"/>
    </w:rPr>
  </w:style>
  <w:style w:type="paragraph" w:customStyle="1" w:styleId="Cuerpodeltexto40">
    <w:name w:val="Cuerpo del texto (4)"/>
    <w:basedOn w:val="Normal"/>
    <w:link w:val="Cuerpodeltexto4"/>
    <w:pPr>
      <w:shd w:val="clear" w:color="auto" w:fill="FFFFFF"/>
      <w:spacing w:before="300" w:after="180" w:line="250" w:lineRule="exact"/>
      <w:ind w:hanging="720"/>
      <w:jc w:val="both"/>
    </w:pPr>
    <w:rPr>
      <w:rFonts w:ascii="Arial" w:eastAsia="Arial" w:hAnsi="Arial" w:cs="Arial"/>
      <w:i/>
      <w:iCs/>
      <w:sz w:val="20"/>
      <w:szCs w:val="20"/>
    </w:rPr>
  </w:style>
  <w:style w:type="paragraph" w:customStyle="1" w:styleId="Cuerpodeltexto290">
    <w:name w:val="Cuerpo del texto (29)"/>
    <w:basedOn w:val="Normal"/>
    <w:link w:val="Cuerpodeltexto29"/>
    <w:pPr>
      <w:shd w:val="clear" w:color="auto" w:fill="FFFFFF"/>
      <w:spacing w:before="240" w:after="180" w:line="230" w:lineRule="exact"/>
      <w:ind w:hanging="720"/>
      <w:jc w:val="both"/>
    </w:pPr>
    <w:rPr>
      <w:rFonts w:ascii="Arial" w:eastAsia="Arial" w:hAnsi="Arial" w:cs="Arial"/>
      <w:i/>
      <w:iCs/>
      <w:sz w:val="20"/>
      <w:szCs w:val="20"/>
    </w:rPr>
  </w:style>
  <w:style w:type="paragraph" w:customStyle="1" w:styleId="Cuerpodeltexto220">
    <w:name w:val="Cuerpo del texto (22)"/>
    <w:basedOn w:val="Normal"/>
    <w:link w:val="Cuerpodeltexto22"/>
    <w:pPr>
      <w:shd w:val="clear" w:color="auto" w:fill="FFFFFF"/>
      <w:spacing w:before="480" w:after="180" w:line="250" w:lineRule="exact"/>
      <w:ind w:hanging="600"/>
      <w:jc w:val="both"/>
    </w:pPr>
    <w:rPr>
      <w:rFonts w:ascii="Arial" w:eastAsia="Arial" w:hAnsi="Arial" w:cs="Arial"/>
      <w:b/>
      <w:bCs/>
      <w:i/>
      <w:iCs/>
      <w:sz w:val="20"/>
      <w:szCs w:val="20"/>
    </w:rPr>
  </w:style>
  <w:style w:type="paragraph" w:customStyle="1" w:styleId="Cuerpodeltexto260">
    <w:name w:val="Cuerpo del texto (26)"/>
    <w:basedOn w:val="Normal"/>
    <w:link w:val="Cuerpodeltexto26"/>
    <w:pPr>
      <w:shd w:val="clear" w:color="auto" w:fill="FFFFFF"/>
      <w:spacing w:before="180" w:line="158" w:lineRule="exact"/>
    </w:pPr>
    <w:rPr>
      <w:rFonts w:ascii="Segoe UI" w:eastAsia="Segoe UI" w:hAnsi="Segoe UI" w:cs="Segoe UI"/>
      <w:sz w:val="12"/>
      <w:szCs w:val="12"/>
    </w:rPr>
  </w:style>
  <w:style w:type="paragraph" w:customStyle="1" w:styleId="Cuerpodeltexto270">
    <w:name w:val="Cuerpo del texto (27)"/>
    <w:basedOn w:val="Normal"/>
    <w:link w:val="Cuerpodeltexto27"/>
    <w:pPr>
      <w:shd w:val="clear" w:color="auto" w:fill="FFFFFF"/>
      <w:spacing w:line="158" w:lineRule="exact"/>
      <w:ind w:hanging="280"/>
      <w:jc w:val="both"/>
    </w:pPr>
    <w:rPr>
      <w:rFonts w:ascii="Arial" w:eastAsia="Arial" w:hAnsi="Arial" w:cs="Arial"/>
      <w:b/>
      <w:bCs/>
      <w:sz w:val="11"/>
      <w:szCs w:val="11"/>
    </w:rPr>
  </w:style>
  <w:style w:type="paragraph" w:customStyle="1" w:styleId="Cuerpodeltexto90">
    <w:name w:val="Cuerpo del texto (9)"/>
    <w:basedOn w:val="Normal"/>
    <w:link w:val="Cuerpodeltexto9"/>
    <w:pPr>
      <w:shd w:val="clear" w:color="auto" w:fill="FFFFFF"/>
      <w:spacing w:before="120" w:line="250" w:lineRule="exact"/>
      <w:jc w:val="both"/>
    </w:pPr>
    <w:rPr>
      <w:rFonts w:ascii="Arial" w:eastAsia="Arial" w:hAnsi="Arial" w:cs="Arial"/>
      <w:b/>
      <w:bCs/>
      <w:sz w:val="21"/>
      <w:szCs w:val="21"/>
    </w:rPr>
  </w:style>
  <w:style w:type="paragraph" w:styleId="Sinespaciado">
    <w:name w:val="No Spacing"/>
    <w:uiPriority w:val="1"/>
    <w:qFormat/>
    <w:rsid w:val="001A3C71"/>
    <w:rPr>
      <w:color w:val="000000"/>
    </w:rPr>
  </w:style>
  <w:style w:type="paragraph" w:styleId="Encabezado">
    <w:name w:val="header"/>
    <w:basedOn w:val="Normal"/>
    <w:link w:val="EncabezadoCar"/>
    <w:uiPriority w:val="99"/>
    <w:unhideWhenUsed/>
    <w:rsid w:val="001A3C71"/>
    <w:pPr>
      <w:tabs>
        <w:tab w:val="center" w:pos="4419"/>
        <w:tab w:val="right" w:pos="8838"/>
      </w:tabs>
    </w:pPr>
  </w:style>
  <w:style w:type="character" w:customStyle="1" w:styleId="EncabezadoCar">
    <w:name w:val="Encabezado Car"/>
    <w:basedOn w:val="Fuentedeprrafopredeter"/>
    <w:link w:val="Encabezado"/>
    <w:uiPriority w:val="99"/>
    <w:rsid w:val="001A3C71"/>
    <w:rPr>
      <w:color w:val="000000"/>
    </w:rPr>
  </w:style>
  <w:style w:type="paragraph" w:styleId="Piedepgina">
    <w:name w:val="footer"/>
    <w:basedOn w:val="Normal"/>
    <w:link w:val="PiedepginaCar"/>
    <w:uiPriority w:val="99"/>
    <w:unhideWhenUsed/>
    <w:rsid w:val="001A3C71"/>
    <w:pPr>
      <w:tabs>
        <w:tab w:val="center" w:pos="4419"/>
        <w:tab w:val="right" w:pos="8838"/>
      </w:tabs>
    </w:pPr>
  </w:style>
  <w:style w:type="character" w:customStyle="1" w:styleId="PiedepginaCar">
    <w:name w:val="Pie de página Car"/>
    <w:basedOn w:val="Fuentedeprrafopredeter"/>
    <w:link w:val="Piedepgina"/>
    <w:uiPriority w:val="99"/>
    <w:rsid w:val="001A3C71"/>
    <w:rPr>
      <w:color w:val="000000"/>
    </w:rPr>
  </w:style>
  <w:style w:type="paragraph" w:styleId="Prrafodelista">
    <w:name w:val="List Paragraph"/>
    <w:basedOn w:val="Normal"/>
    <w:uiPriority w:val="34"/>
    <w:qFormat/>
    <w:rsid w:val="00326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1062</Words>
  <Characters>5841</Characters>
  <Application>Microsoft Office Word</Application>
  <DocSecurity>0</DocSecurity>
  <Lines>48</Lines>
  <Paragraphs>13</Paragraphs>
  <ScaleCrop>false</ScaleCrop>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Steven Espinel Laverde</dc:creator>
  <cp:keywords/>
  <cp:lastModifiedBy>Guillermo Alzate Duque</cp:lastModifiedBy>
  <cp:revision>2</cp:revision>
  <dcterms:created xsi:type="dcterms:W3CDTF">2021-06-17T21:46:00Z</dcterms:created>
  <dcterms:modified xsi:type="dcterms:W3CDTF">2021-06-17T21:46:00Z</dcterms:modified>
</cp:coreProperties>
</file>