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61B4" w14:textId="77777777" w:rsidR="00B531A3" w:rsidRPr="00B31533" w:rsidRDefault="00B31533" w:rsidP="00B31533">
      <w:pPr>
        <w:pStyle w:val="Sinespaciado"/>
        <w:jc w:val="both"/>
        <w:rPr>
          <w:rFonts w:ascii="Verdana" w:hAnsi="Verdana"/>
          <w:b/>
        </w:rPr>
      </w:pPr>
      <w:r w:rsidRPr="00B31533">
        <w:rPr>
          <w:rFonts w:ascii="Verdana" w:hAnsi="Verdana"/>
          <w:b/>
        </w:rPr>
        <w:t>CONCEPTO 222 DEL 19 DE FEBRERO DE 2021</w:t>
      </w:r>
    </w:p>
    <w:p w14:paraId="7FCF0AFB" w14:textId="77777777" w:rsidR="00B31533" w:rsidRPr="00B31533" w:rsidRDefault="00B31533" w:rsidP="00B31533">
      <w:pPr>
        <w:pStyle w:val="Sinespaciado"/>
        <w:jc w:val="both"/>
        <w:rPr>
          <w:rFonts w:ascii="Verdana" w:hAnsi="Verdana"/>
          <w:b/>
        </w:rPr>
      </w:pPr>
      <w:r w:rsidRPr="00B31533">
        <w:rPr>
          <w:rFonts w:ascii="Verdana" w:hAnsi="Verdana"/>
          <w:b/>
        </w:rPr>
        <w:t>DIRECCIÓN DE IMPUESTOS Y ADUANAS NACIONALES</w:t>
      </w:r>
    </w:p>
    <w:p w14:paraId="44E54229" w14:textId="77777777" w:rsidR="00B531A3" w:rsidRPr="00B31533" w:rsidRDefault="00B531A3" w:rsidP="00B31533">
      <w:pPr>
        <w:pStyle w:val="Sinespaciado"/>
        <w:jc w:val="both"/>
        <w:rPr>
          <w:rFonts w:ascii="Verdana" w:hAnsi="Verdana"/>
        </w:rPr>
      </w:pPr>
    </w:p>
    <w:p w14:paraId="2A27E5DA" w14:textId="77777777" w:rsidR="00B531A3" w:rsidRPr="00B31533" w:rsidRDefault="00B31533" w:rsidP="00B31533">
      <w:pPr>
        <w:pStyle w:val="Sinespaciado"/>
        <w:jc w:val="both"/>
        <w:rPr>
          <w:rFonts w:ascii="Verdana" w:hAnsi="Verdana"/>
        </w:rPr>
      </w:pPr>
      <w:r>
        <w:rPr>
          <w:rFonts w:ascii="Verdana" w:hAnsi="Verdana"/>
        </w:rPr>
        <w:t>Bogotá, D.C.</w:t>
      </w:r>
    </w:p>
    <w:p w14:paraId="57A9B68F" w14:textId="77777777" w:rsidR="00B531A3" w:rsidRPr="00B31533" w:rsidRDefault="00B531A3" w:rsidP="00B31533">
      <w:pPr>
        <w:pStyle w:val="Sinespaciado"/>
        <w:jc w:val="both"/>
        <w:rPr>
          <w:rFonts w:ascii="Verdana" w:hAnsi="Verdana"/>
        </w:rPr>
      </w:pPr>
    </w:p>
    <w:p w14:paraId="24CD680A" w14:textId="77777777" w:rsidR="00B531A3" w:rsidRPr="00B31533" w:rsidRDefault="00B11C83" w:rsidP="00B31533">
      <w:pPr>
        <w:pStyle w:val="Sinespaciado"/>
        <w:jc w:val="both"/>
        <w:rPr>
          <w:rFonts w:ascii="Verdana" w:hAnsi="Verdana"/>
        </w:rPr>
      </w:pPr>
      <w:r w:rsidRPr="00B31533">
        <w:rPr>
          <w:rFonts w:ascii="Verdana" w:hAnsi="Verdana"/>
          <w:b/>
        </w:rPr>
        <w:t>Tema</w:t>
      </w:r>
      <w:r w:rsidR="00B31533">
        <w:rPr>
          <w:rFonts w:ascii="Verdana" w:hAnsi="Verdana"/>
          <w:b/>
        </w:rPr>
        <w:tab/>
      </w:r>
      <w:r w:rsidR="00B31533">
        <w:rPr>
          <w:rFonts w:ascii="Verdana" w:hAnsi="Verdana"/>
          <w:b/>
        </w:rPr>
        <w:tab/>
      </w:r>
      <w:r w:rsidR="00B31533">
        <w:rPr>
          <w:rFonts w:ascii="Verdana" w:hAnsi="Verdana"/>
          <w:b/>
        </w:rPr>
        <w:tab/>
      </w:r>
      <w:r w:rsidRPr="00B31533">
        <w:rPr>
          <w:rFonts w:ascii="Verdana" w:hAnsi="Verdana"/>
        </w:rPr>
        <w:t>Impuesto sobre las ventas</w:t>
      </w:r>
    </w:p>
    <w:p w14:paraId="771D042C" w14:textId="77777777" w:rsidR="00B531A3" w:rsidRPr="00B31533" w:rsidRDefault="00B11C83" w:rsidP="00B31533">
      <w:pPr>
        <w:pStyle w:val="Sinespaciado"/>
        <w:ind w:left="2124" w:firstLine="708"/>
        <w:jc w:val="both"/>
        <w:rPr>
          <w:rFonts w:ascii="Verdana" w:hAnsi="Verdana"/>
        </w:rPr>
      </w:pPr>
      <w:r w:rsidRPr="00B31533">
        <w:rPr>
          <w:rFonts w:ascii="Verdana" w:hAnsi="Verdana"/>
        </w:rPr>
        <w:t>Procedimiento tributario</w:t>
      </w:r>
    </w:p>
    <w:p w14:paraId="2F360332" w14:textId="77777777" w:rsidR="00B531A3" w:rsidRPr="00B31533" w:rsidRDefault="00B11C83" w:rsidP="00B31533">
      <w:pPr>
        <w:pStyle w:val="Sinespaciado"/>
        <w:jc w:val="both"/>
        <w:rPr>
          <w:rFonts w:ascii="Verdana" w:hAnsi="Verdana"/>
        </w:rPr>
      </w:pPr>
      <w:r w:rsidRPr="00B31533">
        <w:rPr>
          <w:rFonts w:ascii="Verdana" w:hAnsi="Verdana"/>
          <w:b/>
        </w:rPr>
        <w:t>Descriptores</w:t>
      </w:r>
      <w:r w:rsidR="00B31533">
        <w:rPr>
          <w:rFonts w:ascii="Verdana" w:hAnsi="Verdana"/>
          <w:b/>
        </w:rPr>
        <w:tab/>
      </w:r>
      <w:r w:rsidR="00B31533">
        <w:rPr>
          <w:rFonts w:ascii="Verdana" w:hAnsi="Verdana"/>
          <w:b/>
        </w:rPr>
        <w:tab/>
      </w:r>
      <w:r w:rsidRPr="00B31533">
        <w:rPr>
          <w:rFonts w:ascii="Verdana" w:hAnsi="Verdana"/>
        </w:rPr>
        <w:t>Periodicidad del impuesto sobre las ventas</w:t>
      </w:r>
    </w:p>
    <w:p w14:paraId="46256EB4" w14:textId="77777777" w:rsidR="00B531A3" w:rsidRPr="00B31533" w:rsidRDefault="00B11C83" w:rsidP="00B31533">
      <w:pPr>
        <w:pStyle w:val="Sinespaciado"/>
        <w:ind w:left="2832" w:hanging="2832"/>
        <w:jc w:val="both"/>
        <w:rPr>
          <w:rFonts w:ascii="Verdana" w:hAnsi="Verdana"/>
        </w:rPr>
      </w:pPr>
      <w:r w:rsidRPr="00B31533">
        <w:rPr>
          <w:rFonts w:ascii="Verdana" w:hAnsi="Verdana"/>
          <w:b/>
        </w:rPr>
        <w:t>Fuentes formales</w:t>
      </w:r>
      <w:r w:rsidR="00B31533">
        <w:rPr>
          <w:rFonts w:ascii="Verdana" w:hAnsi="Verdana"/>
          <w:b/>
        </w:rPr>
        <w:tab/>
      </w:r>
      <w:r w:rsidRPr="00B31533">
        <w:rPr>
          <w:rFonts w:ascii="Verdana" w:hAnsi="Verdana"/>
        </w:rPr>
        <w:t>Artículo 600 del Estatuto Tributario y artículo 1.6.1.6.3. del</w:t>
      </w:r>
      <w:r w:rsidR="00B31533">
        <w:rPr>
          <w:rFonts w:ascii="Verdana" w:hAnsi="Verdana"/>
        </w:rPr>
        <w:t xml:space="preserve"> </w:t>
      </w:r>
      <w:r w:rsidRPr="00B31533">
        <w:rPr>
          <w:rFonts w:ascii="Verdana" w:hAnsi="Verdana"/>
        </w:rPr>
        <w:t>Decreto 1625 de 2016</w:t>
      </w:r>
    </w:p>
    <w:p w14:paraId="2514CB8E" w14:textId="77777777" w:rsidR="00B31533" w:rsidRDefault="00B31533" w:rsidP="00B31533">
      <w:pPr>
        <w:pStyle w:val="Sinespaciado"/>
        <w:jc w:val="both"/>
        <w:rPr>
          <w:rFonts w:ascii="Verdana" w:hAnsi="Verdana"/>
        </w:rPr>
      </w:pPr>
    </w:p>
    <w:p w14:paraId="29D1CA19" w14:textId="77777777" w:rsidR="00B531A3" w:rsidRPr="00B31533" w:rsidRDefault="00B11C83" w:rsidP="00B31533">
      <w:pPr>
        <w:pStyle w:val="Sinespaciado"/>
        <w:jc w:val="both"/>
        <w:rPr>
          <w:rFonts w:ascii="Verdana" w:hAnsi="Verdana"/>
        </w:rPr>
      </w:pPr>
      <w:r w:rsidRPr="00B31533">
        <w:rPr>
          <w:rFonts w:ascii="Verdana" w:hAnsi="Verdana"/>
        </w:rPr>
        <w:t>Cordial saludo.</w:t>
      </w:r>
    </w:p>
    <w:p w14:paraId="7042EDCE" w14:textId="77777777" w:rsidR="00B31533" w:rsidRDefault="00B31533" w:rsidP="00B31533">
      <w:pPr>
        <w:pStyle w:val="Sinespaciado"/>
        <w:jc w:val="both"/>
        <w:rPr>
          <w:rFonts w:ascii="Verdana" w:hAnsi="Verdana"/>
        </w:rPr>
      </w:pPr>
    </w:p>
    <w:p w14:paraId="52A9F80A" w14:textId="77777777" w:rsidR="00B531A3" w:rsidRPr="00B31533" w:rsidRDefault="00B11C83" w:rsidP="00B31533">
      <w:pPr>
        <w:pStyle w:val="Sinespaciado"/>
        <w:jc w:val="both"/>
        <w:rPr>
          <w:rFonts w:ascii="Verdana" w:hAnsi="Verdana"/>
        </w:rPr>
      </w:pPr>
      <w:r w:rsidRPr="00B31533">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D9D6961" w14:textId="77777777" w:rsidR="00B31533" w:rsidRDefault="00B31533" w:rsidP="00B31533">
      <w:pPr>
        <w:pStyle w:val="Sinespaciado"/>
        <w:jc w:val="both"/>
        <w:rPr>
          <w:rFonts w:ascii="Verdana" w:hAnsi="Verdana"/>
        </w:rPr>
      </w:pPr>
    </w:p>
    <w:p w14:paraId="7AE08E98" w14:textId="77777777" w:rsidR="00B531A3" w:rsidRPr="00B31533" w:rsidRDefault="00B11C83" w:rsidP="00B31533">
      <w:pPr>
        <w:pStyle w:val="Sinespaciado"/>
        <w:jc w:val="both"/>
        <w:rPr>
          <w:rFonts w:ascii="Verdana" w:hAnsi="Verdana"/>
        </w:rPr>
      </w:pPr>
      <w:r w:rsidRPr="00B31533">
        <w:rPr>
          <w:rFonts w:ascii="Verdana" w:hAnsi="Verdana"/>
        </w:rPr>
        <w:t>Mediante el radicado de la referencia, el peticionario consulta textualmente lo siguiente:</w:t>
      </w:r>
    </w:p>
    <w:p w14:paraId="13CB4DB0" w14:textId="77777777" w:rsidR="00B31533" w:rsidRDefault="00B31533" w:rsidP="00B31533">
      <w:pPr>
        <w:pStyle w:val="Sinespaciado"/>
        <w:jc w:val="both"/>
        <w:rPr>
          <w:rFonts w:ascii="Verdana" w:hAnsi="Verdana"/>
        </w:rPr>
      </w:pPr>
    </w:p>
    <w:p w14:paraId="79702523" w14:textId="77777777" w:rsidR="00B531A3" w:rsidRPr="00B31533" w:rsidRDefault="00B11C83" w:rsidP="00B31533">
      <w:pPr>
        <w:pStyle w:val="Sinespaciado"/>
        <w:jc w:val="both"/>
        <w:rPr>
          <w:rFonts w:ascii="Verdana" w:hAnsi="Verdana"/>
          <w:i/>
        </w:rPr>
      </w:pPr>
      <w:r w:rsidRPr="00B31533">
        <w:rPr>
          <w:rFonts w:ascii="Verdana" w:hAnsi="Verdana"/>
          <w:i/>
        </w:rPr>
        <w:t>“1. ¿Es aplicable la facultad contenida en el artículo 43 de la Ley 962 de 2005, respecto a la corrección de errores cometidos al momento de diligenciar un formulario de una declaración de IVA, en cuanto al haber presentado declaraciones con periodicidad bimestral, siendo aplicable la periodicidad cuatrimestral?</w:t>
      </w:r>
    </w:p>
    <w:p w14:paraId="5E4DA580" w14:textId="77777777" w:rsidR="00B31533" w:rsidRDefault="00B31533" w:rsidP="00B31533">
      <w:pPr>
        <w:pStyle w:val="Sinespaciado"/>
        <w:jc w:val="both"/>
        <w:rPr>
          <w:rFonts w:ascii="Verdana" w:hAnsi="Verdana"/>
          <w:i/>
        </w:rPr>
      </w:pPr>
    </w:p>
    <w:p w14:paraId="63D30E04" w14:textId="77777777" w:rsidR="00B531A3" w:rsidRPr="00B31533" w:rsidRDefault="00B31533" w:rsidP="00B31533">
      <w:pPr>
        <w:pStyle w:val="Sinespaciado"/>
        <w:jc w:val="both"/>
        <w:rPr>
          <w:rFonts w:ascii="Verdana" w:hAnsi="Verdana"/>
          <w:i/>
        </w:rPr>
      </w:pPr>
      <w:r>
        <w:rPr>
          <w:rFonts w:ascii="Verdana" w:hAnsi="Verdana"/>
          <w:i/>
        </w:rPr>
        <w:t xml:space="preserve">2. </w:t>
      </w:r>
      <w:r w:rsidR="00B11C83" w:rsidRPr="00B31533">
        <w:rPr>
          <w:rFonts w:ascii="Verdana" w:hAnsi="Verdana"/>
          <w:i/>
        </w:rPr>
        <w:t>¿En caso que consideren no aplicable el procedimiento previsto en la ley antitrámites a la situación expuesta, favor señalar cuál es el procedimiento a seguir?”</w:t>
      </w:r>
    </w:p>
    <w:p w14:paraId="32CDAC96" w14:textId="77777777" w:rsidR="00B31533" w:rsidRDefault="00B31533" w:rsidP="00B31533">
      <w:pPr>
        <w:pStyle w:val="Sinespaciado"/>
        <w:jc w:val="both"/>
        <w:rPr>
          <w:rFonts w:ascii="Verdana" w:hAnsi="Verdana"/>
        </w:rPr>
      </w:pPr>
    </w:p>
    <w:p w14:paraId="1762B702" w14:textId="77777777" w:rsidR="00B531A3" w:rsidRPr="00B31533" w:rsidRDefault="00B11C83" w:rsidP="00B31533">
      <w:pPr>
        <w:pStyle w:val="Sinespaciado"/>
        <w:jc w:val="both"/>
        <w:rPr>
          <w:rFonts w:ascii="Verdana" w:hAnsi="Verdana"/>
        </w:rPr>
      </w:pPr>
      <w:r w:rsidRPr="00B31533">
        <w:rPr>
          <w:rFonts w:ascii="Verdana" w:hAnsi="Verdana"/>
        </w:rPr>
        <w:t>Al respecto, las consideraciones de este Despacho son las siguientes:</w:t>
      </w:r>
    </w:p>
    <w:p w14:paraId="41138A43" w14:textId="77777777" w:rsidR="00B31533" w:rsidRDefault="00B31533" w:rsidP="00B31533">
      <w:pPr>
        <w:pStyle w:val="Sinespaciado"/>
        <w:jc w:val="both"/>
        <w:rPr>
          <w:rFonts w:ascii="Verdana" w:hAnsi="Verdana"/>
        </w:rPr>
      </w:pPr>
    </w:p>
    <w:p w14:paraId="25AC1192" w14:textId="77777777" w:rsidR="00B531A3" w:rsidRPr="00B31533" w:rsidRDefault="00B11C83" w:rsidP="00B31533">
      <w:pPr>
        <w:pStyle w:val="Sinespaciado"/>
        <w:jc w:val="both"/>
        <w:rPr>
          <w:rFonts w:ascii="Verdana" w:hAnsi="Verdana"/>
        </w:rPr>
      </w:pPr>
      <w:r w:rsidRPr="00B31533">
        <w:rPr>
          <w:rFonts w:ascii="Verdana" w:hAnsi="Verdana"/>
        </w:rPr>
        <w:t>El artículo 600 del Estatuto Tributario dispone:</w:t>
      </w:r>
    </w:p>
    <w:p w14:paraId="552AD0B9" w14:textId="77777777" w:rsidR="00B31533" w:rsidRDefault="00B31533" w:rsidP="00B31533">
      <w:pPr>
        <w:pStyle w:val="Sinespaciado"/>
        <w:jc w:val="both"/>
        <w:rPr>
          <w:rFonts w:ascii="Verdana" w:hAnsi="Verdana"/>
        </w:rPr>
      </w:pPr>
    </w:p>
    <w:p w14:paraId="66963C5F" w14:textId="77777777" w:rsidR="00B531A3" w:rsidRPr="00B31533" w:rsidRDefault="00B11C83" w:rsidP="00B31533">
      <w:pPr>
        <w:pStyle w:val="Sinespaciado"/>
        <w:jc w:val="both"/>
        <w:rPr>
          <w:rFonts w:ascii="Verdana" w:hAnsi="Verdana"/>
        </w:rPr>
      </w:pPr>
      <w:r w:rsidRPr="00B31533">
        <w:rPr>
          <w:rFonts w:ascii="Verdana" w:hAnsi="Verdana"/>
          <w:b/>
          <w:i/>
        </w:rPr>
        <w:t>“Artículo 600. Periodo gravable del impuesto sobre las ventas.</w:t>
      </w:r>
      <w:r w:rsidRPr="00B31533">
        <w:rPr>
          <w:rFonts w:ascii="Verdana" w:hAnsi="Verdana"/>
        </w:rPr>
        <w:t xml:space="preserve"> </w:t>
      </w:r>
      <w:r w:rsidRPr="00B31533">
        <w:rPr>
          <w:rStyle w:val="Cuerpodeltexto1111ptoSinnegrita"/>
          <w:rFonts w:ascii="Verdana" w:hAnsi="Verdana"/>
          <w:b w:val="0"/>
          <w:bCs w:val="0"/>
          <w:sz w:val="24"/>
          <w:szCs w:val="24"/>
        </w:rPr>
        <w:t>El período gravable del impuesto sobre las ventas será así:</w:t>
      </w:r>
    </w:p>
    <w:p w14:paraId="2C96E952" w14:textId="77777777" w:rsidR="00B31533" w:rsidRDefault="00B31533" w:rsidP="00B31533">
      <w:pPr>
        <w:pStyle w:val="Sinespaciado"/>
        <w:jc w:val="both"/>
        <w:rPr>
          <w:rStyle w:val="Cuerpodeltexto151"/>
          <w:rFonts w:ascii="Verdana" w:hAnsi="Verdana"/>
          <w:sz w:val="24"/>
          <w:szCs w:val="24"/>
        </w:rPr>
      </w:pPr>
    </w:p>
    <w:p w14:paraId="3481BC57" w14:textId="77777777" w:rsidR="00B531A3" w:rsidRPr="00B31533" w:rsidRDefault="00B11C83" w:rsidP="00B31533">
      <w:pPr>
        <w:pStyle w:val="Sinespaciado"/>
        <w:numPr>
          <w:ilvl w:val="0"/>
          <w:numId w:val="3"/>
        </w:numPr>
        <w:jc w:val="both"/>
        <w:rPr>
          <w:rFonts w:ascii="Verdana" w:hAnsi="Verdana"/>
          <w:i/>
        </w:rPr>
      </w:pPr>
      <w:r w:rsidRPr="00B31533">
        <w:rPr>
          <w:rStyle w:val="Cuerpodeltexto151"/>
          <w:rFonts w:ascii="Verdana" w:hAnsi="Verdana"/>
          <w:sz w:val="24"/>
          <w:szCs w:val="24"/>
        </w:rPr>
        <w:t xml:space="preserve">Declaración y pago bimestral para aquellos responsables de este </w:t>
      </w:r>
      <w:r w:rsidRPr="00B31533">
        <w:rPr>
          <w:rStyle w:val="Cuerpodeltexto151"/>
          <w:rFonts w:ascii="Verdana" w:hAnsi="Verdana"/>
          <w:sz w:val="24"/>
          <w:szCs w:val="24"/>
        </w:rPr>
        <w:lastRenderedPageBreak/>
        <w:t>impuesto,</w:t>
      </w:r>
      <w:r w:rsidRPr="00B31533">
        <w:rPr>
          <w:rFonts w:ascii="Verdana" w:hAnsi="Verdana"/>
        </w:rPr>
        <w:t xml:space="preserve"> </w:t>
      </w:r>
      <w:r w:rsidRPr="00B31533">
        <w:rPr>
          <w:rFonts w:ascii="Verdana" w:hAnsi="Verdana"/>
          <w:i/>
        </w:rPr>
        <w:t>grandes contribuyentes y aquellas personas jurídicas y naturales cuyos ingresos brutos a 31 de diciembre del año gravable anterior sean iguales o superiores a noventa y dos mil (92.000) UVT y para los responsables de que tratan los artículos 477 y 481 de este Estatuto. Los períodos bimestrales son: enero-febrero; marzo-abril; mayo-junio; julio- agosto; septiembre-octubre; y noviembre-diciembre.</w:t>
      </w:r>
    </w:p>
    <w:p w14:paraId="70232F5E" w14:textId="77777777" w:rsidR="00B31533" w:rsidRDefault="00B31533" w:rsidP="00B31533">
      <w:pPr>
        <w:pStyle w:val="Sinespaciado"/>
        <w:jc w:val="both"/>
        <w:rPr>
          <w:rStyle w:val="Cuerpodeltexto151"/>
          <w:rFonts w:ascii="Verdana" w:hAnsi="Verdana"/>
          <w:sz w:val="24"/>
          <w:szCs w:val="24"/>
        </w:rPr>
      </w:pPr>
    </w:p>
    <w:p w14:paraId="10DD1A38" w14:textId="77777777" w:rsidR="00B531A3" w:rsidRPr="00B31533" w:rsidRDefault="00B11C83" w:rsidP="00B31533">
      <w:pPr>
        <w:pStyle w:val="Sinespaciado"/>
        <w:numPr>
          <w:ilvl w:val="0"/>
          <w:numId w:val="3"/>
        </w:numPr>
        <w:jc w:val="both"/>
        <w:rPr>
          <w:rFonts w:ascii="Verdana" w:hAnsi="Verdana"/>
          <w:i/>
        </w:rPr>
      </w:pPr>
      <w:r w:rsidRPr="00B31533">
        <w:rPr>
          <w:rStyle w:val="Cuerpodeltexto151"/>
          <w:rFonts w:ascii="Verdana" w:hAnsi="Verdana"/>
          <w:sz w:val="24"/>
          <w:szCs w:val="24"/>
        </w:rPr>
        <w:t>Declaración y pago cuatrimestral para aquellos responsables de este impuesto</w:t>
      </w:r>
      <w:r w:rsidR="00B31533" w:rsidRPr="00B31533">
        <w:rPr>
          <w:rStyle w:val="Cuerpodeltexto151"/>
          <w:rFonts w:ascii="Verdana" w:hAnsi="Verdana"/>
          <w:sz w:val="24"/>
          <w:szCs w:val="24"/>
          <w:u w:val="none"/>
        </w:rPr>
        <w:t>,</w:t>
      </w:r>
      <w:r w:rsidRPr="00B31533">
        <w:rPr>
          <w:rStyle w:val="Cuerpodeltexto151"/>
          <w:rFonts w:ascii="Verdana" w:hAnsi="Verdana"/>
          <w:sz w:val="24"/>
          <w:szCs w:val="24"/>
          <w:u w:val="none"/>
        </w:rPr>
        <w:t xml:space="preserve"> </w:t>
      </w:r>
      <w:r w:rsidRPr="00B31533">
        <w:rPr>
          <w:rFonts w:ascii="Verdana" w:hAnsi="Verdana"/>
          <w:i/>
        </w:rPr>
        <w:t>personas jurídicas y naturales cuyos ingresos brutos a 31 de diciembre del año gravable anterior sean inferiores a noventa y dos mil (92.000) UVT. Los periodos cuatrimestrales serán enero-abril; mayo-agosto; y septiembre-diciembre (...)”.</w:t>
      </w:r>
    </w:p>
    <w:p w14:paraId="0D438D92" w14:textId="77777777" w:rsidR="00B31533" w:rsidRDefault="00B31533" w:rsidP="00B31533">
      <w:pPr>
        <w:pStyle w:val="Sinespaciado"/>
        <w:jc w:val="both"/>
        <w:rPr>
          <w:rFonts w:ascii="Verdana" w:hAnsi="Verdana"/>
        </w:rPr>
      </w:pPr>
    </w:p>
    <w:p w14:paraId="739AC87E" w14:textId="77777777" w:rsidR="00B531A3" w:rsidRPr="00B31533" w:rsidRDefault="00B11C83" w:rsidP="00B31533">
      <w:pPr>
        <w:pStyle w:val="Sinespaciado"/>
        <w:jc w:val="both"/>
        <w:rPr>
          <w:rFonts w:ascii="Verdana" w:hAnsi="Verdana"/>
        </w:rPr>
      </w:pPr>
      <w:r w:rsidRPr="00B31533">
        <w:rPr>
          <w:rFonts w:ascii="Verdana" w:hAnsi="Verdana"/>
        </w:rPr>
        <w:t>En cuanto a la consecuencia de la presentación de declaraciones del impuesto sobre las ventas en periodos diferentes a los establecidos en la ley, el artículo 1.6.1.6.3. del Decreto 1625 de 2016 determina:</w:t>
      </w:r>
    </w:p>
    <w:p w14:paraId="140A7B4B" w14:textId="77777777" w:rsidR="00B31533" w:rsidRDefault="00B31533" w:rsidP="00B31533">
      <w:pPr>
        <w:pStyle w:val="Sinespaciado"/>
        <w:jc w:val="both"/>
        <w:rPr>
          <w:rFonts w:ascii="Verdana" w:hAnsi="Verdana"/>
        </w:rPr>
      </w:pPr>
    </w:p>
    <w:p w14:paraId="7128A6EA" w14:textId="77777777" w:rsidR="00B531A3" w:rsidRPr="00B31533" w:rsidRDefault="00B11C83" w:rsidP="00B31533">
      <w:pPr>
        <w:pStyle w:val="Sinespaciado"/>
        <w:jc w:val="both"/>
        <w:rPr>
          <w:rFonts w:ascii="Verdana" w:hAnsi="Verdana"/>
        </w:rPr>
      </w:pPr>
      <w:r w:rsidRPr="00B31533">
        <w:rPr>
          <w:rFonts w:ascii="Verdana" w:hAnsi="Verdana"/>
        </w:rPr>
        <w:t>“</w:t>
      </w:r>
      <w:r w:rsidRPr="00B31533">
        <w:rPr>
          <w:rStyle w:val="Cuerpodeltexto1510ptoNegrita"/>
          <w:rFonts w:ascii="Verdana" w:hAnsi="Verdana"/>
          <w:sz w:val="24"/>
          <w:szCs w:val="24"/>
        </w:rPr>
        <w:t xml:space="preserve">Artículo 1.6.1.6.3. Nuevos periodos gravables del impuesto sobre las ventas: declaración y pago. </w:t>
      </w:r>
      <w:r w:rsidRPr="00B31533">
        <w:rPr>
          <w:rFonts w:ascii="Verdana" w:hAnsi="Verdana"/>
          <w:i/>
        </w:rPr>
        <w:t>De conformidad con lo dispuesto en el artículo 600 del Estatuto Tributario,</w:t>
      </w:r>
      <w:r w:rsidRPr="00B31533">
        <w:rPr>
          <w:rFonts w:ascii="Verdana" w:hAnsi="Verdana"/>
        </w:rPr>
        <w:t xml:space="preserve"> </w:t>
      </w:r>
      <w:r w:rsidRPr="00B31533">
        <w:rPr>
          <w:rStyle w:val="Cuerpodeltexto151"/>
          <w:rFonts w:ascii="Verdana" w:hAnsi="Verdana"/>
          <w:sz w:val="24"/>
          <w:szCs w:val="24"/>
        </w:rPr>
        <w:t xml:space="preserve">los periodos gravables del impuesto sobre las ventas son bimestral. cuatrimestral y anual, según que se cumplan los presupuestos allí establecidos para cada periodo, </w:t>
      </w:r>
      <w:r w:rsidRPr="00B31533">
        <w:rPr>
          <w:rStyle w:val="Cuerpodeltexto1510ptoNegrita0"/>
          <w:rFonts w:ascii="Verdana" w:hAnsi="Verdana"/>
          <w:sz w:val="24"/>
          <w:szCs w:val="24"/>
        </w:rPr>
        <w:t>los cuales son de obligatorio cumplimiento</w:t>
      </w:r>
      <w:r w:rsidRPr="00B31533">
        <w:rPr>
          <w:rStyle w:val="Cuerpodeltexto151"/>
          <w:rFonts w:ascii="Verdana" w:hAnsi="Verdana"/>
          <w:b/>
          <w:sz w:val="24"/>
          <w:szCs w:val="24"/>
        </w:rPr>
        <w:t>.</w:t>
      </w:r>
    </w:p>
    <w:p w14:paraId="3F984177" w14:textId="77777777" w:rsidR="00B31533" w:rsidRDefault="00B31533" w:rsidP="00B31533">
      <w:pPr>
        <w:pStyle w:val="Sinespaciado"/>
        <w:jc w:val="both"/>
        <w:rPr>
          <w:rFonts w:ascii="Verdana" w:hAnsi="Verdana"/>
        </w:rPr>
      </w:pPr>
    </w:p>
    <w:p w14:paraId="4F143FC8" w14:textId="77777777" w:rsidR="00B531A3" w:rsidRPr="00B31533" w:rsidRDefault="00B11C83" w:rsidP="00B31533">
      <w:pPr>
        <w:pStyle w:val="Sinespaciado"/>
        <w:jc w:val="both"/>
        <w:rPr>
          <w:rFonts w:ascii="Verdana" w:hAnsi="Verdana"/>
          <w:i/>
        </w:rPr>
      </w:pPr>
      <w:r w:rsidRPr="00B31533">
        <w:rPr>
          <w:rFonts w:ascii="Verdana" w:hAnsi="Verdana"/>
          <w:i/>
        </w:rPr>
        <w:t>(</w:t>
      </w:r>
      <w:r w:rsidR="00B31533">
        <w:rPr>
          <w:rFonts w:ascii="Verdana" w:hAnsi="Verdana"/>
          <w:i/>
        </w:rPr>
        <w:t>…</w:t>
      </w:r>
      <w:r w:rsidRPr="00B31533">
        <w:rPr>
          <w:rFonts w:ascii="Verdana" w:hAnsi="Verdana"/>
          <w:i/>
        </w:rPr>
        <w:t>)</w:t>
      </w:r>
    </w:p>
    <w:p w14:paraId="56DFB56B" w14:textId="77777777" w:rsidR="00B31533" w:rsidRDefault="00B31533" w:rsidP="00B31533">
      <w:pPr>
        <w:pStyle w:val="Sinespaciado"/>
        <w:jc w:val="both"/>
        <w:rPr>
          <w:rStyle w:val="Cuerpodeltexto1510ptoNegrita"/>
          <w:rFonts w:ascii="Verdana" w:hAnsi="Verdana"/>
          <w:sz w:val="24"/>
          <w:szCs w:val="24"/>
        </w:rPr>
      </w:pPr>
    </w:p>
    <w:p w14:paraId="5F3FBAF0" w14:textId="77777777" w:rsidR="00B531A3" w:rsidRPr="00B31533" w:rsidRDefault="00B11C83" w:rsidP="00B31533">
      <w:pPr>
        <w:pStyle w:val="Sinespaciado"/>
        <w:jc w:val="both"/>
        <w:rPr>
          <w:rFonts w:ascii="Verdana" w:hAnsi="Verdana"/>
        </w:rPr>
      </w:pPr>
      <w:r w:rsidRPr="00B31533">
        <w:rPr>
          <w:rStyle w:val="Cuerpodeltexto1510ptoNegrita"/>
          <w:rFonts w:ascii="Verdana" w:hAnsi="Verdana"/>
          <w:sz w:val="24"/>
          <w:szCs w:val="24"/>
        </w:rPr>
        <w:t xml:space="preserve">Parágrafo 2. </w:t>
      </w:r>
      <w:r w:rsidRPr="00B31533">
        <w:rPr>
          <w:rFonts w:ascii="Verdana" w:hAnsi="Verdana"/>
          <w:i/>
        </w:rPr>
        <w:t>Los responsables cuyo periodo gravable es cuatrimestral o anual conforme a lo establecido en el presente artículo, que hubieren presentado la declaración del impuesto sobre las ventas en forma bimestral,</w:t>
      </w:r>
      <w:r w:rsidRPr="00B31533">
        <w:rPr>
          <w:rFonts w:ascii="Verdana" w:hAnsi="Verdana"/>
        </w:rPr>
        <w:t xml:space="preserve"> </w:t>
      </w:r>
      <w:r w:rsidRPr="00B31533">
        <w:rPr>
          <w:rStyle w:val="Cuerpodeltexto151"/>
          <w:rFonts w:ascii="Verdana" w:hAnsi="Verdana"/>
          <w:sz w:val="24"/>
          <w:szCs w:val="24"/>
        </w:rPr>
        <w:t xml:space="preserve">deberán presentar la declaración de acuerdo con el periodo que les corresponde. </w:t>
      </w:r>
      <w:r w:rsidRPr="00B31533">
        <w:rPr>
          <w:rStyle w:val="Cuerpodeltexto1510ptoNegrita0"/>
          <w:rFonts w:ascii="Verdana" w:hAnsi="Verdana"/>
          <w:sz w:val="24"/>
          <w:szCs w:val="24"/>
        </w:rPr>
        <w:t>Las declaraciones que se hubieren presentado en periodos diferentes a los establecidos por la ley no tienen efecto legal alguno</w:t>
      </w:r>
      <w:r w:rsidRPr="00B31533">
        <w:rPr>
          <w:rStyle w:val="Cuerpodeltexto1510ptoNegrita0"/>
          <w:rFonts w:ascii="Verdana" w:hAnsi="Verdana"/>
          <w:sz w:val="24"/>
          <w:szCs w:val="24"/>
          <w:u w:val="none"/>
        </w:rPr>
        <w:t xml:space="preserve">; </w:t>
      </w:r>
      <w:r w:rsidRPr="00B31533">
        <w:rPr>
          <w:rStyle w:val="Cuerpodeltexto151"/>
          <w:rFonts w:ascii="Verdana" w:hAnsi="Verdana"/>
          <w:sz w:val="24"/>
          <w:szCs w:val="24"/>
          <w:u w:val="none"/>
        </w:rPr>
        <w:t>p</w:t>
      </w:r>
      <w:r w:rsidRPr="00B31533">
        <w:rPr>
          <w:rFonts w:ascii="Verdana" w:hAnsi="Verdana"/>
          <w:i/>
        </w:rPr>
        <w:t>or lo tanto, los valores efectivamente pagados con dichas declaraciones podrán ser tomados como un abono al saldo a pagar en la declaración del impuesto sobre las ventas del periodo correspondiente.”</w:t>
      </w:r>
      <w:r w:rsidRPr="00B31533">
        <w:rPr>
          <w:rStyle w:val="Cuerpodeltexto15Sincursiva"/>
          <w:rFonts w:ascii="Verdana" w:hAnsi="Verdana"/>
          <w:i w:val="0"/>
          <w:iCs w:val="0"/>
          <w:sz w:val="24"/>
          <w:szCs w:val="24"/>
        </w:rPr>
        <w:t xml:space="preserve"> (Negrilla y subrayado fuera de texto)</w:t>
      </w:r>
    </w:p>
    <w:p w14:paraId="2AF366B3" w14:textId="77777777" w:rsidR="00B31533" w:rsidRDefault="00B31533" w:rsidP="00B31533">
      <w:pPr>
        <w:pStyle w:val="Sinespaciado"/>
        <w:jc w:val="both"/>
        <w:rPr>
          <w:rFonts w:ascii="Verdana" w:hAnsi="Verdana"/>
        </w:rPr>
      </w:pPr>
    </w:p>
    <w:p w14:paraId="56B7AEE0" w14:textId="77777777" w:rsidR="00B531A3" w:rsidRPr="00B31533" w:rsidRDefault="00B11C83" w:rsidP="00B31533">
      <w:pPr>
        <w:pStyle w:val="Sinespaciado"/>
        <w:jc w:val="both"/>
        <w:rPr>
          <w:rFonts w:ascii="Verdana" w:hAnsi="Verdana"/>
        </w:rPr>
      </w:pPr>
      <w:r w:rsidRPr="00B31533">
        <w:rPr>
          <w:rFonts w:ascii="Verdana" w:hAnsi="Verdana"/>
        </w:rPr>
        <w:t xml:space="preserve">Conforme a lo señalado anteriormente, este Despacho concluye que no es posible corregir las declaraciones del impuesto sobre las ventas presentadas en periodos diferentes al establecido en el artículo 600 del Estatuto Tributario, aplicando el artículo 43 de la Ley 962 de 2005 y su procedimiento contemplado en la Circular DIAN 118 de 2005, </w:t>
      </w:r>
      <w:r w:rsidRPr="00B31533">
        <w:rPr>
          <w:rStyle w:val="Cuerpodeltexto141"/>
          <w:rFonts w:ascii="Verdana" w:hAnsi="Verdana"/>
          <w:sz w:val="24"/>
          <w:szCs w:val="24"/>
        </w:rPr>
        <w:t xml:space="preserve">toda vez que el procedimiento aplicable es el previsto en el parágrafo 2 del </w:t>
      </w:r>
      <w:r w:rsidRPr="00B31533">
        <w:rPr>
          <w:rStyle w:val="Cuerpodeltexto141"/>
          <w:rFonts w:ascii="Verdana" w:hAnsi="Verdana"/>
          <w:sz w:val="24"/>
          <w:szCs w:val="24"/>
        </w:rPr>
        <w:lastRenderedPageBreak/>
        <w:t>artículo 1.6.1.6.3. del Decreto 1625 de 2016</w:t>
      </w:r>
      <w:r w:rsidRPr="00B31533">
        <w:rPr>
          <w:rFonts w:ascii="Verdana" w:hAnsi="Verdana"/>
        </w:rPr>
        <w:t>. Lo anterior sin perjuicio de la sanción por extemporaneidad y los intereses moratorios, si los hubiere, para lo cual deberá analizarse cada situación en particular.</w:t>
      </w:r>
    </w:p>
    <w:p w14:paraId="5FBCBD03" w14:textId="77777777" w:rsidR="00B31533" w:rsidRDefault="00B31533" w:rsidP="00B31533">
      <w:pPr>
        <w:pStyle w:val="Sinespaciado"/>
        <w:jc w:val="both"/>
        <w:rPr>
          <w:rFonts w:ascii="Verdana" w:hAnsi="Verdana"/>
        </w:rPr>
      </w:pPr>
    </w:p>
    <w:p w14:paraId="6F09317E" w14:textId="77777777" w:rsidR="00B31533" w:rsidRDefault="00B31533" w:rsidP="00B31533">
      <w:pPr>
        <w:pStyle w:val="Sinespaciado"/>
        <w:jc w:val="both"/>
        <w:rPr>
          <w:rFonts w:ascii="Verdana" w:hAnsi="Verdana"/>
        </w:rPr>
      </w:pPr>
    </w:p>
    <w:p w14:paraId="4EBC94E6" w14:textId="77777777" w:rsidR="00B31533" w:rsidRDefault="00B31533" w:rsidP="00B31533">
      <w:pPr>
        <w:pStyle w:val="Sinespaciado"/>
        <w:jc w:val="both"/>
        <w:rPr>
          <w:rFonts w:ascii="Verdana" w:hAnsi="Verdana"/>
        </w:rPr>
      </w:pPr>
    </w:p>
    <w:p w14:paraId="33A92B93" w14:textId="77777777" w:rsidR="00B531A3" w:rsidRPr="00B31533" w:rsidRDefault="00B11C83" w:rsidP="00B31533">
      <w:pPr>
        <w:pStyle w:val="Sinespaciado"/>
        <w:jc w:val="both"/>
        <w:rPr>
          <w:rFonts w:ascii="Verdana" w:hAnsi="Verdana"/>
        </w:rPr>
      </w:pPr>
      <w:r w:rsidRPr="00B31533">
        <w:rPr>
          <w:rFonts w:ascii="Verdana" w:hAnsi="Verdana"/>
        </w:rPr>
        <w:t>Atentamente,</w:t>
      </w:r>
    </w:p>
    <w:p w14:paraId="7BF96F14" w14:textId="77777777" w:rsidR="00B31533" w:rsidRDefault="00B31533" w:rsidP="00B31533">
      <w:pPr>
        <w:pStyle w:val="Sinespaciado"/>
        <w:jc w:val="both"/>
        <w:rPr>
          <w:rFonts w:ascii="Verdana" w:hAnsi="Verdana"/>
        </w:rPr>
      </w:pPr>
    </w:p>
    <w:p w14:paraId="2B2759D0" w14:textId="77777777" w:rsidR="00B31533" w:rsidRDefault="00B31533" w:rsidP="00B31533">
      <w:pPr>
        <w:pStyle w:val="Sinespaciado"/>
        <w:jc w:val="both"/>
        <w:rPr>
          <w:rFonts w:ascii="Verdana" w:hAnsi="Verdana"/>
        </w:rPr>
      </w:pPr>
    </w:p>
    <w:p w14:paraId="1FAD4AAB" w14:textId="77777777" w:rsidR="00B31533" w:rsidRDefault="00B31533" w:rsidP="00B31533">
      <w:pPr>
        <w:pStyle w:val="Sinespaciado"/>
        <w:jc w:val="both"/>
        <w:rPr>
          <w:rFonts w:ascii="Verdana" w:hAnsi="Verdana"/>
        </w:rPr>
      </w:pPr>
    </w:p>
    <w:p w14:paraId="56164E3F" w14:textId="77777777" w:rsidR="00B531A3" w:rsidRPr="00B31533" w:rsidRDefault="00B11C83" w:rsidP="00B31533">
      <w:pPr>
        <w:pStyle w:val="Sinespaciado"/>
        <w:jc w:val="both"/>
        <w:rPr>
          <w:rFonts w:ascii="Verdana" w:hAnsi="Verdana"/>
          <w:b/>
        </w:rPr>
      </w:pPr>
      <w:r w:rsidRPr="00B31533">
        <w:rPr>
          <w:rFonts w:ascii="Verdana" w:hAnsi="Verdana"/>
          <w:b/>
        </w:rPr>
        <w:t>PABLO EMILIO MENDOZA VELILLA</w:t>
      </w:r>
    </w:p>
    <w:p w14:paraId="30C4B5B5" w14:textId="77777777" w:rsidR="00B31533" w:rsidRDefault="00B11C83" w:rsidP="00B31533">
      <w:pPr>
        <w:pStyle w:val="Sinespaciado"/>
        <w:jc w:val="both"/>
        <w:rPr>
          <w:rFonts w:ascii="Verdana" w:hAnsi="Verdana"/>
        </w:rPr>
      </w:pPr>
      <w:r w:rsidRPr="00B31533">
        <w:rPr>
          <w:rFonts w:ascii="Verdana" w:hAnsi="Verdana"/>
        </w:rPr>
        <w:t xml:space="preserve">Subdirector </w:t>
      </w:r>
      <w:r w:rsidR="00B31533">
        <w:rPr>
          <w:rFonts w:ascii="Verdana" w:hAnsi="Verdana"/>
        </w:rPr>
        <w:t>de Gestión Normativa y Doctrina</w:t>
      </w:r>
    </w:p>
    <w:p w14:paraId="057BAD09" w14:textId="77777777" w:rsidR="00B31533" w:rsidRDefault="00B11C83" w:rsidP="00B31533">
      <w:pPr>
        <w:pStyle w:val="Sinespaciado"/>
        <w:jc w:val="both"/>
        <w:rPr>
          <w:rFonts w:ascii="Verdana" w:hAnsi="Verdana"/>
        </w:rPr>
      </w:pPr>
      <w:r w:rsidRPr="00B31533">
        <w:rPr>
          <w:rFonts w:ascii="Verdana" w:hAnsi="Verdana"/>
        </w:rPr>
        <w:t xml:space="preserve">Dirección de Gestión </w:t>
      </w:r>
      <w:r w:rsidR="00B31533">
        <w:rPr>
          <w:rFonts w:ascii="Verdana" w:hAnsi="Verdana"/>
        </w:rPr>
        <w:t>Jurídica</w:t>
      </w:r>
    </w:p>
    <w:p w14:paraId="74A9E24C" w14:textId="77777777" w:rsidR="00B31533" w:rsidRDefault="00B31533" w:rsidP="00B31533">
      <w:pPr>
        <w:pStyle w:val="Sinespaciado"/>
        <w:jc w:val="both"/>
        <w:rPr>
          <w:rFonts w:ascii="Verdana" w:hAnsi="Verdana"/>
        </w:rPr>
      </w:pPr>
      <w:r>
        <w:rPr>
          <w:rFonts w:ascii="Verdana" w:hAnsi="Verdana"/>
        </w:rPr>
        <w:t>UAE-DIAN</w:t>
      </w:r>
    </w:p>
    <w:p w14:paraId="345B6802" w14:textId="77777777" w:rsidR="00B31533" w:rsidRDefault="00B11C83" w:rsidP="00B31533">
      <w:pPr>
        <w:pStyle w:val="Sinespaciado"/>
        <w:jc w:val="both"/>
        <w:rPr>
          <w:rFonts w:ascii="Verdana" w:hAnsi="Verdana"/>
        </w:rPr>
      </w:pPr>
      <w:r w:rsidRPr="00B31533">
        <w:rPr>
          <w:rFonts w:ascii="Verdana" w:hAnsi="Verdana"/>
        </w:rPr>
        <w:t>Cra. 8 N° 6C-</w:t>
      </w:r>
      <w:r w:rsidR="00B31533">
        <w:rPr>
          <w:rFonts w:ascii="Verdana" w:hAnsi="Verdana"/>
        </w:rPr>
        <w:t>38 Piso 4, Edificio San Agustín</w:t>
      </w:r>
    </w:p>
    <w:p w14:paraId="31B1EBDF" w14:textId="77777777" w:rsidR="00B531A3" w:rsidRPr="00B31533" w:rsidRDefault="00B11C83" w:rsidP="00B31533">
      <w:pPr>
        <w:pStyle w:val="Sinespaciado"/>
        <w:jc w:val="both"/>
        <w:rPr>
          <w:rFonts w:ascii="Verdana" w:hAnsi="Verdana"/>
        </w:rPr>
      </w:pPr>
      <w:r w:rsidRPr="00B31533">
        <w:rPr>
          <w:rFonts w:ascii="Verdana" w:hAnsi="Verdana"/>
        </w:rPr>
        <w:t>Bogotá D.C.</w:t>
      </w:r>
    </w:p>
    <w:sectPr w:rsidR="00B531A3" w:rsidRPr="00B31533" w:rsidSect="00B31533">
      <w:type w:val="continuous"/>
      <w:pgSz w:w="12240" w:h="15840" w:code="1"/>
      <w:pgMar w:top="1418" w:right="1701" w:bottom="1418" w:left="1701"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04C8" w14:textId="77777777" w:rsidR="005F1C26" w:rsidRDefault="005F1C26">
      <w:r>
        <w:separator/>
      </w:r>
    </w:p>
  </w:endnote>
  <w:endnote w:type="continuationSeparator" w:id="0">
    <w:p w14:paraId="3894FF46" w14:textId="77777777" w:rsidR="005F1C26" w:rsidRDefault="005F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9F53" w14:textId="77777777" w:rsidR="005F1C26" w:rsidRDefault="005F1C26"/>
  </w:footnote>
  <w:footnote w:type="continuationSeparator" w:id="0">
    <w:p w14:paraId="1FBCABBB" w14:textId="77777777" w:rsidR="005F1C26" w:rsidRDefault="005F1C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30AED"/>
    <w:multiLevelType w:val="multilevel"/>
    <w:tmpl w:val="B5146AA6"/>
    <w:lvl w:ilvl="0">
      <w:start w:val="2"/>
      <w:numFmt w:val="decimal"/>
      <w:lvlText w:val="%1."/>
      <w:lvlJc w:val="left"/>
      <w:rPr>
        <w:rFonts w:ascii="Arial" w:eastAsia="Arial" w:hAnsi="Arial" w:cs="Arial"/>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A539AF"/>
    <w:multiLevelType w:val="hybridMultilevel"/>
    <w:tmpl w:val="978C5ECC"/>
    <w:lvl w:ilvl="0" w:tplc="330A7CE0">
      <w:start w:val="1"/>
      <w:numFmt w:val="decimal"/>
      <w:lvlText w:val="%1."/>
      <w:lvlJc w:val="left"/>
      <w:pPr>
        <w:ind w:left="720" w:hanging="360"/>
      </w:pPr>
      <w:rPr>
        <w:rFonts w:eastAsia="Arial" w:cs="Arial" w:hint="default"/>
        <w:i/>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D3364C3"/>
    <w:multiLevelType w:val="multilevel"/>
    <w:tmpl w:val="D5B41BCC"/>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A3"/>
    <w:rsid w:val="005233DA"/>
    <w:rsid w:val="005F1C26"/>
    <w:rsid w:val="00B11C83"/>
    <w:rsid w:val="00B31533"/>
    <w:rsid w:val="00B531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91E3"/>
  <w15:docId w15:val="{E029CDEE-3049-448A-A40A-B2184681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14">
    <w:name w:val="Cuerpo del texto (14)_"/>
    <w:basedOn w:val="Fuentedeprrafopredeter"/>
    <w:link w:val="Cuerpodeltexto140"/>
    <w:rPr>
      <w:rFonts w:ascii="Arial" w:eastAsia="Arial" w:hAnsi="Arial" w:cs="Arial"/>
      <w:b w:val="0"/>
      <w:bCs w:val="0"/>
      <w:i w:val="0"/>
      <w:iCs w:val="0"/>
      <w:smallCaps w:val="0"/>
      <w:strike w:val="0"/>
      <w:sz w:val="22"/>
      <w:szCs w:val="22"/>
      <w:u w:val="none"/>
    </w:rPr>
  </w:style>
  <w:style w:type="character" w:customStyle="1" w:styleId="Cuerpodeltexto15">
    <w:name w:val="Cuerpo del texto (15)_"/>
    <w:basedOn w:val="Fuentedeprrafopredeter"/>
    <w:link w:val="Cuerpodeltexto150"/>
    <w:rPr>
      <w:rFonts w:ascii="Arial" w:eastAsia="Arial" w:hAnsi="Arial" w:cs="Arial"/>
      <w:b w:val="0"/>
      <w:bCs w:val="0"/>
      <w:i/>
      <w:iCs/>
      <w:smallCaps w:val="0"/>
      <w:strike w:val="0"/>
      <w:sz w:val="22"/>
      <w:szCs w:val="22"/>
      <w:u w:val="none"/>
    </w:rPr>
  </w:style>
  <w:style w:type="character" w:customStyle="1" w:styleId="Cuerpodeltexto11">
    <w:name w:val="Cuerpo del texto (11)_"/>
    <w:basedOn w:val="Fuentedeprrafopredeter"/>
    <w:link w:val="Cuerpodeltexto110"/>
    <w:rPr>
      <w:rFonts w:ascii="Arial" w:eastAsia="Arial" w:hAnsi="Arial" w:cs="Arial"/>
      <w:b/>
      <w:bCs/>
      <w:i/>
      <w:iCs/>
      <w:smallCaps w:val="0"/>
      <w:strike w:val="0"/>
      <w:sz w:val="20"/>
      <w:szCs w:val="20"/>
      <w:u w:val="none"/>
    </w:rPr>
  </w:style>
  <w:style w:type="character" w:customStyle="1" w:styleId="Cuerpodeltexto1111ptoSinnegrita">
    <w:name w:val="Cuerpo del texto (11) + 11 pto;Sin negrita"/>
    <w:basedOn w:val="Cuerpodeltexto11"/>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Cuerpodeltexto151">
    <w:name w:val="Cuerpo del texto (15)"/>
    <w:basedOn w:val="Cuerpodeltexto15"/>
    <w:rPr>
      <w:rFonts w:ascii="Arial" w:eastAsia="Arial" w:hAnsi="Arial" w:cs="Arial"/>
      <w:b w:val="0"/>
      <w:bCs w:val="0"/>
      <w:i/>
      <w:iCs/>
      <w:smallCaps w:val="0"/>
      <w:strike w:val="0"/>
      <w:color w:val="000000"/>
      <w:spacing w:val="0"/>
      <w:w w:val="100"/>
      <w:position w:val="0"/>
      <w:sz w:val="22"/>
      <w:szCs w:val="22"/>
      <w:u w:val="single"/>
      <w:lang w:val="es-ES" w:eastAsia="es-ES" w:bidi="es-ES"/>
    </w:rPr>
  </w:style>
  <w:style w:type="character" w:customStyle="1" w:styleId="Cuerpodeltexto1510ptoNegrita">
    <w:name w:val="Cuerpo del texto (15) + 10 pto;Negrita"/>
    <w:basedOn w:val="Cuerpodeltexto15"/>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1510ptoNegrita0">
    <w:name w:val="Cuerpo del texto (15) + 10 pto;Negrita"/>
    <w:basedOn w:val="Cuerpodeltexto15"/>
    <w:rPr>
      <w:rFonts w:ascii="Arial" w:eastAsia="Arial" w:hAnsi="Arial" w:cs="Arial"/>
      <w:b/>
      <w:bCs/>
      <w:i/>
      <w:iCs/>
      <w:smallCaps w:val="0"/>
      <w:strike w:val="0"/>
      <w:color w:val="000000"/>
      <w:spacing w:val="0"/>
      <w:w w:val="100"/>
      <w:position w:val="0"/>
      <w:sz w:val="20"/>
      <w:szCs w:val="20"/>
      <w:u w:val="single"/>
      <w:lang w:val="es-ES" w:eastAsia="es-ES" w:bidi="es-ES"/>
    </w:rPr>
  </w:style>
  <w:style w:type="character" w:customStyle="1" w:styleId="Cuerpodeltexto15Sincursiva">
    <w:name w:val="Cuerpo del texto (15) + Sin cursiva"/>
    <w:basedOn w:val="Cuerpodeltexto15"/>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character" w:customStyle="1" w:styleId="Cuerpodeltexto141">
    <w:name w:val="Cuerpo del texto (14)"/>
    <w:basedOn w:val="Cuerpodeltexto14"/>
    <w:rPr>
      <w:rFonts w:ascii="Arial" w:eastAsia="Arial" w:hAnsi="Arial" w:cs="Arial"/>
      <w:b w:val="0"/>
      <w:bCs w:val="0"/>
      <w:i w:val="0"/>
      <w:iCs w:val="0"/>
      <w:smallCaps w:val="0"/>
      <w:strike w:val="0"/>
      <w:color w:val="000000"/>
      <w:spacing w:val="0"/>
      <w:w w:val="100"/>
      <w:position w:val="0"/>
      <w:sz w:val="22"/>
      <w:szCs w:val="22"/>
      <w:u w:val="single"/>
      <w:lang w:val="es-ES" w:eastAsia="es-ES" w:bidi="es-ES"/>
    </w:rPr>
  </w:style>
  <w:style w:type="character" w:customStyle="1" w:styleId="Cuerpodeltexto142">
    <w:name w:val="Cuerpo del texto (14)"/>
    <w:basedOn w:val="Cuerpodeltexto14"/>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Cuerpodeltexto29">
    <w:name w:val="Cuerpo del texto (29)_"/>
    <w:basedOn w:val="Fuentedeprrafopredeter"/>
    <w:link w:val="Cuerpodeltexto290"/>
    <w:rPr>
      <w:rFonts w:ascii="Arial" w:eastAsia="Arial" w:hAnsi="Arial" w:cs="Arial"/>
      <w:b w:val="0"/>
      <w:bCs w:val="0"/>
      <w:i w:val="0"/>
      <w:iCs w:val="0"/>
      <w:smallCaps w:val="0"/>
      <w:strike w:val="0"/>
      <w:sz w:val="11"/>
      <w:szCs w:val="11"/>
      <w:u w:val="none"/>
    </w:rPr>
  </w:style>
  <w:style w:type="character" w:customStyle="1" w:styleId="Cuerpodeltexto29Consolas95ptoCursiva">
    <w:name w:val="Cuerpo del texto (29) + Consolas;9;5 pto;Cursiva"/>
    <w:basedOn w:val="Cuerpodeltexto29"/>
    <w:rPr>
      <w:rFonts w:ascii="Consolas" w:eastAsia="Consolas" w:hAnsi="Consolas" w:cs="Consolas"/>
      <w:b/>
      <w:bCs/>
      <w:i/>
      <w:iCs/>
      <w:smallCaps w:val="0"/>
      <w:strike w:val="0"/>
      <w:color w:val="000000"/>
      <w:spacing w:val="0"/>
      <w:w w:val="100"/>
      <w:position w:val="0"/>
      <w:sz w:val="19"/>
      <w:szCs w:val="19"/>
      <w:u w:val="none"/>
      <w:lang w:val="es-ES" w:eastAsia="es-ES" w:bidi="es-ES"/>
    </w:rPr>
  </w:style>
  <w:style w:type="character" w:customStyle="1" w:styleId="Cuerpodeltexto29Consolas95ptoCursiva0">
    <w:name w:val="Cuerpo del texto (29) + Consolas;9;5 pto;Cursiva"/>
    <w:basedOn w:val="Cuerpodeltexto29"/>
    <w:rPr>
      <w:rFonts w:ascii="Consolas" w:eastAsia="Consolas" w:hAnsi="Consolas" w:cs="Consolas"/>
      <w:b/>
      <w:bCs/>
      <w:i/>
      <w:iCs/>
      <w:smallCaps w:val="0"/>
      <w:strike w:val="0"/>
      <w:color w:val="000000"/>
      <w:spacing w:val="0"/>
      <w:w w:val="100"/>
      <w:position w:val="0"/>
      <w:sz w:val="19"/>
      <w:szCs w:val="19"/>
      <w:u w:val="none"/>
      <w:lang w:val="es-ES" w:eastAsia="es-ES" w:bidi="es-ES"/>
    </w:rPr>
  </w:style>
  <w:style w:type="character" w:customStyle="1" w:styleId="Cuerpodeltexto291">
    <w:name w:val="Cuerpo del texto (29)"/>
    <w:basedOn w:val="Cuerpodeltexto29"/>
    <w:rPr>
      <w:rFonts w:ascii="Arial" w:eastAsia="Arial" w:hAnsi="Arial" w:cs="Arial"/>
      <w:b w:val="0"/>
      <w:bCs w:val="0"/>
      <w:i w:val="0"/>
      <w:iCs w:val="0"/>
      <w:smallCaps w:val="0"/>
      <w:strike w:val="0"/>
      <w:color w:val="000000"/>
      <w:spacing w:val="0"/>
      <w:w w:val="100"/>
      <w:position w:val="0"/>
      <w:sz w:val="11"/>
      <w:szCs w:val="11"/>
      <w:u w:val="none"/>
      <w:lang w:val="es-ES" w:eastAsia="es-ES" w:bidi="es-ES"/>
    </w:rPr>
  </w:style>
  <w:style w:type="character" w:customStyle="1" w:styleId="Cuerpodeltexto16">
    <w:name w:val="Cuerpo del texto (16)_"/>
    <w:basedOn w:val="Fuentedeprrafopredeter"/>
    <w:link w:val="Cuerpodeltexto160"/>
    <w:rPr>
      <w:rFonts w:ascii="Arial" w:eastAsia="Arial" w:hAnsi="Arial" w:cs="Arial"/>
      <w:b/>
      <w:bCs/>
      <w:i w:val="0"/>
      <w:iCs w:val="0"/>
      <w:smallCaps w:val="0"/>
      <w:strike w:val="0"/>
      <w:sz w:val="22"/>
      <w:szCs w:val="22"/>
      <w:u w:val="none"/>
    </w:rPr>
  </w:style>
  <w:style w:type="paragraph" w:customStyle="1" w:styleId="Cuerpodeltexto140">
    <w:name w:val="Cuerpo del texto (14)"/>
    <w:basedOn w:val="Normal"/>
    <w:link w:val="Cuerpodeltexto14"/>
    <w:pPr>
      <w:shd w:val="clear" w:color="auto" w:fill="FFFFFF"/>
      <w:spacing w:before="420" w:after="2160" w:line="518" w:lineRule="exact"/>
    </w:pPr>
    <w:rPr>
      <w:rFonts w:ascii="Arial" w:eastAsia="Arial" w:hAnsi="Arial" w:cs="Arial"/>
      <w:sz w:val="22"/>
      <w:szCs w:val="22"/>
    </w:rPr>
  </w:style>
  <w:style w:type="paragraph" w:customStyle="1" w:styleId="Cuerpodeltexto150">
    <w:name w:val="Cuerpo del texto (15)"/>
    <w:basedOn w:val="Normal"/>
    <w:link w:val="Cuerpodeltexto15"/>
    <w:pPr>
      <w:shd w:val="clear" w:color="auto" w:fill="FFFFFF"/>
      <w:spacing w:before="300" w:after="240" w:line="264" w:lineRule="exact"/>
      <w:jc w:val="both"/>
    </w:pPr>
    <w:rPr>
      <w:rFonts w:ascii="Arial" w:eastAsia="Arial" w:hAnsi="Arial" w:cs="Arial"/>
      <w:i/>
      <w:iCs/>
      <w:sz w:val="22"/>
      <w:szCs w:val="22"/>
    </w:rPr>
  </w:style>
  <w:style w:type="paragraph" w:customStyle="1" w:styleId="Cuerpodeltexto110">
    <w:name w:val="Cuerpo del texto (11)"/>
    <w:basedOn w:val="Normal"/>
    <w:link w:val="Cuerpodeltexto11"/>
    <w:pPr>
      <w:shd w:val="clear" w:color="auto" w:fill="FFFFFF"/>
      <w:spacing w:before="240" w:after="240" w:line="250" w:lineRule="exact"/>
      <w:ind w:hanging="320"/>
      <w:jc w:val="both"/>
    </w:pPr>
    <w:rPr>
      <w:rFonts w:ascii="Arial" w:eastAsia="Arial" w:hAnsi="Arial" w:cs="Arial"/>
      <w:b/>
      <w:bCs/>
      <w:i/>
      <w:iCs/>
      <w:sz w:val="20"/>
      <w:szCs w:val="20"/>
    </w:rPr>
  </w:style>
  <w:style w:type="paragraph" w:customStyle="1" w:styleId="Cuerpodeltexto290">
    <w:name w:val="Cuerpo del texto (29)"/>
    <w:basedOn w:val="Normal"/>
    <w:link w:val="Cuerpodeltexto29"/>
    <w:pPr>
      <w:shd w:val="clear" w:color="auto" w:fill="FFFFFF"/>
      <w:spacing w:before="180" w:line="158" w:lineRule="exact"/>
      <w:jc w:val="both"/>
    </w:pPr>
    <w:rPr>
      <w:rFonts w:ascii="Arial" w:eastAsia="Arial" w:hAnsi="Arial" w:cs="Arial"/>
      <w:sz w:val="11"/>
      <w:szCs w:val="11"/>
    </w:rPr>
  </w:style>
  <w:style w:type="paragraph" w:customStyle="1" w:styleId="Cuerpodeltexto160">
    <w:name w:val="Cuerpo del texto (16)"/>
    <w:basedOn w:val="Normal"/>
    <w:link w:val="Cuerpodeltexto16"/>
    <w:pPr>
      <w:shd w:val="clear" w:color="auto" w:fill="FFFFFF"/>
      <w:spacing w:before="180" w:line="264" w:lineRule="exact"/>
      <w:jc w:val="both"/>
    </w:pPr>
    <w:rPr>
      <w:rFonts w:ascii="Arial" w:eastAsia="Arial" w:hAnsi="Arial" w:cs="Arial"/>
      <w:b/>
      <w:bCs/>
      <w:sz w:val="22"/>
      <w:szCs w:val="22"/>
    </w:rPr>
  </w:style>
  <w:style w:type="paragraph" w:styleId="Sinespaciado">
    <w:name w:val="No Spacing"/>
    <w:uiPriority w:val="1"/>
    <w:qFormat/>
    <w:rsid w:val="00B315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3877</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2021-06-16T02:46:00Z</dcterms:created>
  <dcterms:modified xsi:type="dcterms:W3CDTF">2021-06-16T02:46:00Z</dcterms:modified>
</cp:coreProperties>
</file>