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D98A" w14:textId="77777777" w:rsidR="009D3E66" w:rsidRPr="009D3E66" w:rsidRDefault="009D3E66" w:rsidP="009D3E66">
      <w:pPr>
        <w:pStyle w:val="Sinespaciado"/>
        <w:jc w:val="both"/>
        <w:rPr>
          <w:rFonts w:ascii="Verdana" w:hAnsi="Verdana"/>
          <w:b/>
        </w:rPr>
      </w:pPr>
      <w:r w:rsidRPr="009D3E66">
        <w:rPr>
          <w:rFonts w:ascii="Verdana" w:hAnsi="Verdana"/>
          <w:b/>
        </w:rPr>
        <w:t>CONCEPTO 65 DEL 26 DE ENERO DE 2021</w:t>
      </w:r>
    </w:p>
    <w:p w14:paraId="4E9967C3" w14:textId="77777777" w:rsidR="009D3E66" w:rsidRPr="009D3E66" w:rsidRDefault="009D3E66" w:rsidP="009D3E66">
      <w:pPr>
        <w:pStyle w:val="Sinespaciado"/>
        <w:jc w:val="both"/>
        <w:rPr>
          <w:rFonts w:ascii="Verdana" w:hAnsi="Verdana"/>
          <w:b/>
        </w:rPr>
      </w:pPr>
      <w:r w:rsidRPr="009D3E66">
        <w:rPr>
          <w:rFonts w:ascii="Verdana" w:hAnsi="Verdana"/>
          <w:b/>
        </w:rPr>
        <w:t>DIRECCIÓN DE IMPUESTOS Y ADUANAS NACIONALES</w:t>
      </w:r>
    </w:p>
    <w:p w14:paraId="6E2E7B81" w14:textId="77777777" w:rsidR="009D3E66" w:rsidRDefault="009D3E66" w:rsidP="009D3E66">
      <w:pPr>
        <w:pStyle w:val="Sinespaciado"/>
        <w:jc w:val="both"/>
        <w:rPr>
          <w:rFonts w:ascii="Verdana" w:hAnsi="Verdana"/>
        </w:rPr>
      </w:pPr>
    </w:p>
    <w:p w14:paraId="0844F1A3" w14:textId="77777777" w:rsidR="009D3E66" w:rsidRDefault="009D3E66" w:rsidP="009D3E66">
      <w:pPr>
        <w:pStyle w:val="Sinespaciado"/>
        <w:jc w:val="both"/>
        <w:rPr>
          <w:rFonts w:ascii="Verdana" w:hAnsi="Verdana"/>
        </w:rPr>
      </w:pPr>
      <w:r>
        <w:rPr>
          <w:rFonts w:ascii="Verdana" w:hAnsi="Verdana"/>
        </w:rPr>
        <w:t>Bogotá, D.C.</w:t>
      </w:r>
    </w:p>
    <w:p w14:paraId="57F6B1BC" w14:textId="77777777" w:rsidR="009D3E66" w:rsidRDefault="009D3E66" w:rsidP="009D3E66">
      <w:pPr>
        <w:pStyle w:val="Sinespaciado"/>
        <w:jc w:val="both"/>
        <w:rPr>
          <w:rFonts w:ascii="Verdana" w:hAnsi="Verdana"/>
        </w:rPr>
      </w:pPr>
    </w:p>
    <w:p w14:paraId="2E0D69FE" w14:textId="77777777" w:rsidR="009D3E66" w:rsidRDefault="009D3E66" w:rsidP="009D3E66">
      <w:pPr>
        <w:pStyle w:val="Sinespaciado"/>
        <w:jc w:val="both"/>
        <w:rPr>
          <w:rFonts w:ascii="Verdana" w:hAnsi="Verdana"/>
        </w:rPr>
      </w:pPr>
      <w:r w:rsidRPr="009D3E66">
        <w:rPr>
          <w:rFonts w:ascii="Verdana" w:hAnsi="Verdana"/>
          <w:b/>
        </w:rPr>
        <w:t>Tema</w:t>
      </w:r>
      <w:r>
        <w:rPr>
          <w:rFonts w:ascii="Verdana" w:hAnsi="Verdana"/>
          <w:b/>
        </w:rPr>
        <w:tab/>
      </w:r>
      <w:r>
        <w:rPr>
          <w:rFonts w:ascii="Verdana" w:hAnsi="Verdana"/>
          <w:b/>
        </w:rPr>
        <w:tab/>
      </w:r>
      <w:r>
        <w:rPr>
          <w:rFonts w:ascii="Verdana" w:hAnsi="Verdana"/>
          <w:b/>
        </w:rPr>
        <w:tab/>
      </w:r>
      <w:r w:rsidRPr="009D3E66">
        <w:rPr>
          <w:rFonts w:ascii="Verdana" w:hAnsi="Verdana"/>
        </w:rPr>
        <w:t>Impuesto sobre las ventas</w:t>
      </w:r>
    </w:p>
    <w:p w14:paraId="53A7EFF1" w14:textId="77777777" w:rsidR="001B5F19" w:rsidRPr="009D3E66" w:rsidRDefault="001A2F63" w:rsidP="009D3E66">
      <w:pPr>
        <w:pStyle w:val="Sinespaciado"/>
        <w:jc w:val="both"/>
        <w:rPr>
          <w:rFonts w:ascii="Verdana" w:hAnsi="Verdana"/>
        </w:rPr>
      </w:pPr>
      <w:r w:rsidRPr="009D3E66">
        <w:rPr>
          <w:rFonts w:ascii="Verdana" w:hAnsi="Verdana"/>
          <w:b/>
        </w:rPr>
        <w:t>Descriptores</w:t>
      </w:r>
      <w:r w:rsidR="009D3E66">
        <w:rPr>
          <w:rFonts w:ascii="Verdana" w:hAnsi="Verdana"/>
          <w:b/>
        </w:rPr>
        <w:tab/>
      </w:r>
      <w:r w:rsidR="009D3E66">
        <w:rPr>
          <w:rFonts w:ascii="Verdana" w:hAnsi="Verdana"/>
          <w:b/>
        </w:rPr>
        <w:tab/>
      </w:r>
      <w:r w:rsidRPr="009D3E66">
        <w:rPr>
          <w:rFonts w:ascii="Verdana" w:hAnsi="Verdana"/>
        </w:rPr>
        <w:t>Servicios excluidos</w:t>
      </w:r>
    </w:p>
    <w:p w14:paraId="6CACD301" w14:textId="77777777" w:rsidR="001B5F19" w:rsidRPr="009D3E66" w:rsidRDefault="001A2F63" w:rsidP="009D3E66">
      <w:pPr>
        <w:pStyle w:val="Sinespaciado"/>
        <w:ind w:left="2124" w:firstLine="708"/>
        <w:jc w:val="both"/>
        <w:rPr>
          <w:rFonts w:ascii="Verdana" w:hAnsi="Verdana"/>
        </w:rPr>
      </w:pPr>
      <w:r w:rsidRPr="009D3E66">
        <w:rPr>
          <w:rFonts w:ascii="Verdana" w:hAnsi="Verdana"/>
        </w:rPr>
        <w:t>Contrato de construcción de obra pública</w:t>
      </w:r>
    </w:p>
    <w:p w14:paraId="3D27C121" w14:textId="77777777" w:rsidR="001B5F19" w:rsidRPr="009D3E66" w:rsidRDefault="001A2F63" w:rsidP="009D3E66">
      <w:pPr>
        <w:pStyle w:val="Sinespaciado"/>
        <w:jc w:val="both"/>
        <w:rPr>
          <w:rFonts w:ascii="Verdana" w:hAnsi="Verdana"/>
        </w:rPr>
      </w:pPr>
      <w:r w:rsidRPr="009D3E66">
        <w:rPr>
          <w:rFonts w:ascii="Verdana" w:hAnsi="Verdana"/>
          <w:b/>
        </w:rPr>
        <w:t>Fuentes formales</w:t>
      </w:r>
      <w:r w:rsidR="009D3E66">
        <w:rPr>
          <w:rFonts w:ascii="Verdana" w:hAnsi="Verdana"/>
          <w:b/>
        </w:rPr>
        <w:tab/>
      </w:r>
      <w:r w:rsidRPr="009D3E66">
        <w:rPr>
          <w:rFonts w:ascii="Verdana" w:hAnsi="Verdana"/>
        </w:rPr>
        <w:t>Artículo 286 de la Constitución</w:t>
      </w:r>
      <w:r w:rsidR="009D3E66">
        <w:rPr>
          <w:rFonts w:ascii="Verdana" w:hAnsi="Verdana"/>
        </w:rPr>
        <w:t xml:space="preserve"> </w:t>
      </w:r>
      <w:r w:rsidRPr="009D3E66">
        <w:rPr>
          <w:rFonts w:ascii="Verdana" w:hAnsi="Verdana"/>
        </w:rPr>
        <w:t>Política</w:t>
      </w:r>
    </w:p>
    <w:p w14:paraId="3928DAE4" w14:textId="77777777" w:rsidR="009D3E66" w:rsidRDefault="001A2F63" w:rsidP="009D3E66">
      <w:pPr>
        <w:pStyle w:val="Sinespaciado"/>
        <w:ind w:left="2124" w:firstLine="708"/>
        <w:jc w:val="both"/>
        <w:rPr>
          <w:rFonts w:ascii="Verdana" w:hAnsi="Verdana"/>
        </w:rPr>
      </w:pPr>
      <w:r w:rsidRPr="009D3E66">
        <w:rPr>
          <w:rFonts w:ascii="Verdana" w:hAnsi="Verdana"/>
        </w:rPr>
        <w:t>Ar</w:t>
      </w:r>
      <w:r w:rsidR="009D3E66">
        <w:rPr>
          <w:rFonts w:ascii="Verdana" w:hAnsi="Verdana"/>
        </w:rPr>
        <w:t>tículo 100 de la Ley 21 de 1992</w:t>
      </w:r>
    </w:p>
    <w:p w14:paraId="6F6236BD" w14:textId="77777777" w:rsidR="009D3E66" w:rsidRDefault="001A2F63" w:rsidP="009D3E66">
      <w:pPr>
        <w:pStyle w:val="Sinespaciado"/>
        <w:ind w:left="2124" w:firstLine="708"/>
        <w:jc w:val="both"/>
        <w:rPr>
          <w:rFonts w:ascii="Verdana" w:hAnsi="Verdana"/>
        </w:rPr>
      </w:pPr>
      <w:r w:rsidRPr="009D3E66">
        <w:rPr>
          <w:rFonts w:ascii="Verdana" w:hAnsi="Verdana"/>
        </w:rPr>
        <w:t>Ar</w:t>
      </w:r>
      <w:r w:rsidR="009D3E66">
        <w:rPr>
          <w:rFonts w:ascii="Verdana" w:hAnsi="Verdana"/>
        </w:rPr>
        <w:t>tículo 69 de la Ley 489 de 1998</w:t>
      </w:r>
    </w:p>
    <w:p w14:paraId="25DAEFAA" w14:textId="77777777" w:rsidR="009D3E66" w:rsidRDefault="009D3E66" w:rsidP="009D3E66">
      <w:pPr>
        <w:pStyle w:val="Sinespaciado"/>
        <w:ind w:left="2124" w:firstLine="708"/>
        <w:jc w:val="both"/>
        <w:rPr>
          <w:rFonts w:ascii="Verdana" w:hAnsi="Verdana"/>
        </w:rPr>
      </w:pPr>
      <w:r>
        <w:rPr>
          <w:rFonts w:ascii="Verdana" w:hAnsi="Verdana"/>
        </w:rPr>
        <w:t>Oficio DIAN N° 017132 de 2004</w:t>
      </w:r>
    </w:p>
    <w:p w14:paraId="5B29221A" w14:textId="77777777" w:rsidR="001B5F19" w:rsidRPr="009D3E66" w:rsidRDefault="001A2F63" w:rsidP="009D3E66">
      <w:pPr>
        <w:pStyle w:val="Sinespaciado"/>
        <w:ind w:left="2124" w:firstLine="708"/>
        <w:jc w:val="both"/>
        <w:rPr>
          <w:rFonts w:ascii="Verdana" w:hAnsi="Verdana"/>
        </w:rPr>
      </w:pPr>
      <w:r w:rsidRPr="009D3E66">
        <w:rPr>
          <w:rFonts w:ascii="Verdana" w:hAnsi="Verdana"/>
        </w:rPr>
        <w:t>Oficio DIAN N° 023336 de 2015</w:t>
      </w:r>
    </w:p>
    <w:p w14:paraId="540E1503" w14:textId="77777777" w:rsidR="009D3E66" w:rsidRDefault="009D3E66" w:rsidP="009D3E66">
      <w:pPr>
        <w:pStyle w:val="Sinespaciado"/>
        <w:jc w:val="both"/>
        <w:rPr>
          <w:rFonts w:ascii="Verdana" w:hAnsi="Verdana"/>
        </w:rPr>
      </w:pPr>
    </w:p>
    <w:p w14:paraId="3B48FE90" w14:textId="77777777" w:rsidR="001B5F19" w:rsidRPr="009D3E66" w:rsidRDefault="001A2F63" w:rsidP="009D3E66">
      <w:pPr>
        <w:pStyle w:val="Sinespaciado"/>
        <w:jc w:val="both"/>
        <w:rPr>
          <w:rFonts w:ascii="Verdana" w:hAnsi="Verdana"/>
        </w:rPr>
      </w:pPr>
      <w:r w:rsidRPr="009D3E66">
        <w:rPr>
          <w:rFonts w:ascii="Verdana" w:hAnsi="Verdana"/>
        </w:rPr>
        <w:t>Cordial saludo,</w:t>
      </w:r>
    </w:p>
    <w:p w14:paraId="7A5AB86B" w14:textId="77777777" w:rsidR="009D3E66" w:rsidRDefault="009D3E66" w:rsidP="009D3E66">
      <w:pPr>
        <w:pStyle w:val="Sinespaciado"/>
        <w:jc w:val="both"/>
        <w:rPr>
          <w:rFonts w:ascii="Verdana" w:hAnsi="Verdana"/>
        </w:rPr>
      </w:pPr>
    </w:p>
    <w:p w14:paraId="0561E679" w14:textId="77777777" w:rsidR="001B5F19" w:rsidRPr="009D3E66" w:rsidRDefault="001A2F63" w:rsidP="009D3E66">
      <w:pPr>
        <w:pStyle w:val="Sinespaciado"/>
        <w:jc w:val="both"/>
        <w:rPr>
          <w:rFonts w:ascii="Verdana" w:hAnsi="Verdana"/>
        </w:rPr>
      </w:pPr>
      <w:r w:rsidRPr="009D3E66">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7D35E57" w14:textId="77777777" w:rsidR="009D3E66" w:rsidRDefault="009D3E66" w:rsidP="009D3E66">
      <w:pPr>
        <w:pStyle w:val="Sinespaciado"/>
        <w:jc w:val="both"/>
        <w:rPr>
          <w:rFonts w:ascii="Verdana" w:hAnsi="Verdana"/>
        </w:rPr>
      </w:pPr>
    </w:p>
    <w:p w14:paraId="22D6F3CB" w14:textId="77777777" w:rsidR="001B5F19" w:rsidRPr="009D3E66" w:rsidRDefault="001A2F63" w:rsidP="009D3E66">
      <w:pPr>
        <w:pStyle w:val="Sinespaciado"/>
        <w:jc w:val="both"/>
        <w:rPr>
          <w:rFonts w:ascii="Verdana" w:hAnsi="Verdana"/>
        </w:rPr>
      </w:pPr>
      <w:r w:rsidRPr="009D3E66">
        <w:rPr>
          <w:rFonts w:ascii="Verdana" w:hAnsi="Verdana"/>
        </w:rPr>
        <w:t>Mediante el radicado de la referencia, el peticionario consulta textualmente:</w:t>
      </w:r>
    </w:p>
    <w:p w14:paraId="2B537176" w14:textId="77777777" w:rsidR="009D3E66" w:rsidRDefault="009D3E66" w:rsidP="009D3E66">
      <w:pPr>
        <w:pStyle w:val="Sinespaciado"/>
        <w:jc w:val="both"/>
        <w:rPr>
          <w:rFonts w:ascii="Verdana" w:hAnsi="Verdana"/>
        </w:rPr>
      </w:pPr>
    </w:p>
    <w:p w14:paraId="3B3496FB" w14:textId="77777777" w:rsidR="001B5F19" w:rsidRPr="009D3E66" w:rsidRDefault="009D3E66" w:rsidP="009D3E66">
      <w:pPr>
        <w:pStyle w:val="Sinespaciado"/>
        <w:ind w:left="708"/>
        <w:jc w:val="both"/>
        <w:rPr>
          <w:rFonts w:ascii="Verdana" w:hAnsi="Verdana"/>
          <w:i/>
        </w:rPr>
      </w:pPr>
      <w:r>
        <w:rPr>
          <w:rFonts w:ascii="Verdana" w:hAnsi="Verdana"/>
          <w:i/>
        </w:rPr>
        <w:t>“</w:t>
      </w:r>
      <w:r w:rsidR="001A2F63" w:rsidRPr="009D3E66">
        <w:rPr>
          <w:rFonts w:ascii="Verdana" w:hAnsi="Verdana"/>
          <w:i/>
        </w:rPr>
        <w:t xml:space="preserve">¿En virtud de un convenio celebrado entre una entidad del Orden Nacional y una Entidad del Orden Territorial, esta última como ente ejecutor, entre sus múltiples obligaciones, tiene la de celebrar un contrato de obra pública, por lo cual y teniendo en cuenta que la Entidad del Orden Nacional es quien Financia (sic) el convenio con recursos Nación (sic), </w:t>
      </w:r>
      <w:r w:rsidR="001A2F63" w:rsidRPr="009D3E66">
        <w:rPr>
          <w:rFonts w:ascii="Verdana" w:hAnsi="Verdana"/>
          <w:b/>
          <w:i/>
        </w:rPr>
        <w:t>es viable aplicar lo contemplado en el artículo 100 de la Ley 21 de 1992 en el sentido que el contrato no causa el impuesto sobre las ventas?</w:t>
      </w:r>
      <w:r w:rsidRPr="009D3E66">
        <w:rPr>
          <w:rFonts w:ascii="Verdana" w:hAnsi="Verdana"/>
          <w:b/>
          <w:i/>
        </w:rPr>
        <w:t>”</w:t>
      </w:r>
      <w:r w:rsidR="001A2F63" w:rsidRPr="009D3E66">
        <w:rPr>
          <w:rStyle w:val="Cuerpodeltexto11Sincursiva"/>
          <w:rFonts w:ascii="Verdana" w:hAnsi="Verdana"/>
          <w:i w:val="0"/>
          <w:iCs w:val="0"/>
          <w:sz w:val="24"/>
          <w:szCs w:val="24"/>
        </w:rPr>
        <w:t xml:space="preserve"> (resaltado fuera de texto)</w:t>
      </w:r>
    </w:p>
    <w:p w14:paraId="6B90F03A" w14:textId="77777777" w:rsidR="009D3E66" w:rsidRDefault="009D3E66" w:rsidP="009D3E66">
      <w:pPr>
        <w:pStyle w:val="Sinespaciado"/>
        <w:jc w:val="both"/>
        <w:rPr>
          <w:rFonts w:ascii="Verdana" w:hAnsi="Verdana"/>
        </w:rPr>
      </w:pPr>
    </w:p>
    <w:p w14:paraId="325CC121" w14:textId="77777777" w:rsidR="009D3E66" w:rsidRDefault="001A2F63" w:rsidP="009D3E66">
      <w:pPr>
        <w:pStyle w:val="Sinespaciado"/>
        <w:jc w:val="both"/>
        <w:rPr>
          <w:rFonts w:ascii="Verdana" w:hAnsi="Verdana"/>
        </w:rPr>
      </w:pPr>
      <w:r w:rsidRPr="009D3E66">
        <w:rPr>
          <w:rFonts w:ascii="Verdana" w:hAnsi="Verdana"/>
        </w:rPr>
        <w:t>Sobre el particular, las consideraciones de este Despacho son las siguientes:</w:t>
      </w:r>
    </w:p>
    <w:p w14:paraId="2B69E3BC" w14:textId="77777777" w:rsidR="009D3E66" w:rsidRDefault="009D3E66" w:rsidP="009D3E66">
      <w:pPr>
        <w:pStyle w:val="Sinespaciado"/>
        <w:jc w:val="both"/>
        <w:rPr>
          <w:rFonts w:ascii="Verdana" w:hAnsi="Verdana"/>
        </w:rPr>
      </w:pPr>
    </w:p>
    <w:p w14:paraId="1852677C" w14:textId="77777777" w:rsidR="001B5F19" w:rsidRPr="009D3E66" w:rsidRDefault="001A2F63" w:rsidP="009D3E66">
      <w:pPr>
        <w:pStyle w:val="Sinespaciado"/>
        <w:jc w:val="both"/>
        <w:rPr>
          <w:rFonts w:ascii="Verdana" w:hAnsi="Verdana"/>
          <w:i/>
        </w:rPr>
      </w:pPr>
      <w:r w:rsidRPr="009D3E66">
        <w:rPr>
          <w:rStyle w:val="Cuerpodeltexto11Sincursiva"/>
          <w:rFonts w:ascii="Verdana" w:hAnsi="Verdana"/>
          <w:i w:val="0"/>
          <w:iCs w:val="0"/>
          <w:sz w:val="24"/>
          <w:szCs w:val="24"/>
        </w:rPr>
        <w:t xml:space="preserve">El artículo 100 de la Ley 21 de 1992 establece que </w:t>
      </w:r>
      <w:r w:rsidR="009D3E66">
        <w:rPr>
          <w:rFonts w:ascii="Verdana" w:hAnsi="Verdana"/>
          <w:i/>
        </w:rPr>
        <w:t>“</w:t>
      </w:r>
      <w:r w:rsidRPr="009D3E66">
        <w:rPr>
          <w:rFonts w:ascii="Verdana" w:hAnsi="Verdana"/>
          <w:i/>
        </w:rPr>
        <w:t xml:space="preserve">Los contratos de Obras Públicas que celebren las personas naturales o jurídicas con las </w:t>
      </w:r>
      <w:r w:rsidRPr="009D3E66">
        <w:rPr>
          <w:rFonts w:ascii="Verdana" w:hAnsi="Verdana"/>
          <w:i/>
        </w:rPr>
        <w:lastRenderedPageBreak/>
        <w:t>Entidades Territoriales y/o Entidades Descentralizadas del Orden Departamental y Municipal estarán excluidos del IVA</w:t>
      </w:r>
      <w:r w:rsidR="009D3E66">
        <w:rPr>
          <w:rFonts w:ascii="Verdana" w:hAnsi="Verdana"/>
          <w:i/>
        </w:rPr>
        <w:t>”</w:t>
      </w:r>
      <w:r w:rsidRPr="009D3E66">
        <w:rPr>
          <w:rFonts w:ascii="Verdana" w:hAnsi="Verdana"/>
          <w:i/>
        </w:rPr>
        <w:t xml:space="preserve"> </w:t>
      </w:r>
      <w:r w:rsidRPr="009D3E66">
        <w:rPr>
          <w:rStyle w:val="Cuerpodeltexto11Sincursiva"/>
          <w:rFonts w:ascii="Verdana" w:hAnsi="Verdana"/>
          <w:i w:val="0"/>
          <w:iCs w:val="0"/>
          <w:sz w:val="24"/>
          <w:szCs w:val="24"/>
        </w:rPr>
        <w:t>(resaltado fuera de texto).</w:t>
      </w:r>
    </w:p>
    <w:p w14:paraId="2C58BEC3" w14:textId="77777777" w:rsidR="009D3E66" w:rsidRDefault="009D3E66" w:rsidP="009D3E66">
      <w:pPr>
        <w:pStyle w:val="Sinespaciado"/>
        <w:jc w:val="both"/>
        <w:rPr>
          <w:rFonts w:ascii="Verdana" w:hAnsi="Verdana"/>
        </w:rPr>
      </w:pPr>
    </w:p>
    <w:p w14:paraId="639B19F3" w14:textId="77777777" w:rsidR="001B5F19" w:rsidRPr="009D3E66" w:rsidRDefault="001A2F63" w:rsidP="009D3E66">
      <w:pPr>
        <w:pStyle w:val="Sinespaciado"/>
        <w:jc w:val="both"/>
        <w:rPr>
          <w:rFonts w:ascii="Verdana" w:hAnsi="Verdana"/>
        </w:rPr>
      </w:pPr>
      <w:r w:rsidRPr="009D3E66">
        <w:rPr>
          <w:rFonts w:ascii="Verdana" w:hAnsi="Verdana"/>
        </w:rPr>
        <w:t>Al respecto, en el Oficio N° 017132 del 24 de marzo de 2004, ratificado por el Oficio N° 010792 del 17 de febrero de 2012, se manifestó:</w:t>
      </w:r>
    </w:p>
    <w:p w14:paraId="503F7AAF" w14:textId="77777777" w:rsidR="009D3E66" w:rsidRDefault="009D3E66" w:rsidP="009D3E66">
      <w:pPr>
        <w:pStyle w:val="Sinespaciado"/>
        <w:jc w:val="both"/>
        <w:rPr>
          <w:rFonts w:ascii="Verdana" w:hAnsi="Verdana"/>
        </w:rPr>
      </w:pPr>
    </w:p>
    <w:p w14:paraId="2E526BA2" w14:textId="77777777" w:rsidR="001B5F19" w:rsidRPr="009D3E66" w:rsidRDefault="009D3E66" w:rsidP="009D3E66">
      <w:pPr>
        <w:pStyle w:val="Sinespaciado"/>
        <w:ind w:left="708"/>
        <w:jc w:val="both"/>
        <w:rPr>
          <w:rFonts w:ascii="Verdana" w:hAnsi="Verdana"/>
          <w:i/>
        </w:rPr>
      </w:pPr>
      <w:r>
        <w:rPr>
          <w:rFonts w:ascii="Verdana" w:hAnsi="Verdana"/>
          <w:i/>
        </w:rPr>
        <w:t>“</w:t>
      </w:r>
      <w:r w:rsidR="001A2F63" w:rsidRPr="009D3E66">
        <w:rPr>
          <w:rFonts w:ascii="Verdana" w:hAnsi="Verdana"/>
          <w:i/>
        </w:rPr>
        <w:t xml:space="preserve">El Estatuto de Contratación Administrativa Ley 80 de 1993 señala que son contratos de obra los que celebren las entidades estatales </w:t>
      </w:r>
      <w:r w:rsidR="001A2F63" w:rsidRPr="009D3E66">
        <w:rPr>
          <w:rFonts w:ascii="Verdana" w:hAnsi="Verdana"/>
          <w:b/>
          <w:i/>
        </w:rPr>
        <w:t>para la construcción, mantenimiento, instalación y en general, para la realización de cualquier otro trabajo material sobre bienes inmuebles</w:t>
      </w:r>
      <w:r w:rsidR="001A2F63" w:rsidRPr="009D3E66">
        <w:rPr>
          <w:rFonts w:ascii="Verdana" w:hAnsi="Verdana"/>
          <w:i/>
        </w:rPr>
        <w:t xml:space="preserve"> cualquiera que sea la modalidad de ejecución o pago son considerados contratos de obra.</w:t>
      </w:r>
    </w:p>
    <w:p w14:paraId="2AF7FA72" w14:textId="77777777" w:rsidR="009D3E66" w:rsidRDefault="009D3E66" w:rsidP="009D3E66">
      <w:pPr>
        <w:pStyle w:val="Sinespaciado"/>
        <w:ind w:left="708"/>
        <w:jc w:val="both"/>
        <w:rPr>
          <w:rFonts w:ascii="Verdana" w:hAnsi="Verdana"/>
          <w:i/>
        </w:rPr>
      </w:pPr>
    </w:p>
    <w:p w14:paraId="064FC407" w14:textId="77777777" w:rsidR="001B5F19" w:rsidRPr="009D3E66" w:rsidRDefault="001A2F63" w:rsidP="009D3E66">
      <w:pPr>
        <w:pStyle w:val="Sinespaciado"/>
        <w:ind w:left="708"/>
        <w:jc w:val="both"/>
        <w:rPr>
          <w:rFonts w:ascii="Verdana" w:hAnsi="Verdana"/>
          <w:i/>
        </w:rPr>
      </w:pPr>
      <w:r w:rsidRPr="009D3E66">
        <w:rPr>
          <w:rFonts w:ascii="Verdana" w:hAnsi="Verdana"/>
          <w:i/>
        </w:rPr>
        <w:t>(...)</w:t>
      </w:r>
    </w:p>
    <w:p w14:paraId="3D200780" w14:textId="77777777" w:rsidR="009D3E66" w:rsidRDefault="009D3E66" w:rsidP="009D3E66">
      <w:pPr>
        <w:pStyle w:val="Sinespaciado"/>
        <w:ind w:left="708"/>
        <w:jc w:val="both"/>
        <w:rPr>
          <w:rFonts w:ascii="Verdana" w:hAnsi="Verdana"/>
          <w:i/>
        </w:rPr>
      </w:pPr>
    </w:p>
    <w:p w14:paraId="10CC93DE" w14:textId="77777777" w:rsidR="001B5F19" w:rsidRPr="009D3E66" w:rsidRDefault="001A2F63" w:rsidP="009D3E66">
      <w:pPr>
        <w:pStyle w:val="Sinespaciado"/>
        <w:ind w:left="708"/>
        <w:jc w:val="both"/>
        <w:rPr>
          <w:rFonts w:ascii="Verdana" w:hAnsi="Verdana"/>
        </w:rPr>
      </w:pPr>
      <w:r w:rsidRPr="009D3E66">
        <w:rPr>
          <w:rFonts w:ascii="Verdana" w:hAnsi="Verdana"/>
          <w:i/>
        </w:rPr>
        <w:t xml:space="preserve">Ahora bien, de conformidad con lo dispuesto por el artículo 100 de la ley 21 de 1992, (...) los contratistas </w:t>
      </w:r>
      <w:r w:rsidRPr="009D3E66">
        <w:rPr>
          <w:rFonts w:ascii="Verdana" w:hAnsi="Verdana"/>
          <w:b/>
          <w:i/>
        </w:rPr>
        <w:t>no cobran el IVA sobre sus honorarios o utilidad</w:t>
      </w:r>
      <w:r w:rsidRPr="009D3E66">
        <w:rPr>
          <w:rFonts w:ascii="Verdana" w:hAnsi="Verdana"/>
          <w:i/>
        </w:rPr>
        <w:t xml:space="preserve"> (...)” </w:t>
      </w:r>
      <w:r w:rsidRPr="009D3E66">
        <w:rPr>
          <w:rStyle w:val="Cuerpodeltexto11Sincursiva"/>
          <w:rFonts w:ascii="Verdana" w:hAnsi="Verdana"/>
          <w:i w:val="0"/>
          <w:iCs w:val="0"/>
          <w:sz w:val="24"/>
          <w:szCs w:val="24"/>
        </w:rPr>
        <w:t>(resaltado fuera de texto).</w:t>
      </w:r>
    </w:p>
    <w:p w14:paraId="13516160" w14:textId="77777777" w:rsidR="009D3E66" w:rsidRDefault="009D3E66" w:rsidP="009D3E66">
      <w:pPr>
        <w:pStyle w:val="Sinespaciado"/>
        <w:jc w:val="both"/>
        <w:rPr>
          <w:rFonts w:ascii="Verdana" w:hAnsi="Verdana"/>
        </w:rPr>
      </w:pPr>
    </w:p>
    <w:p w14:paraId="34115C6B" w14:textId="77777777" w:rsidR="001B5F19" w:rsidRPr="009D3E66" w:rsidRDefault="001A2F63" w:rsidP="009D3E66">
      <w:pPr>
        <w:pStyle w:val="Sinespaciado"/>
        <w:jc w:val="both"/>
        <w:rPr>
          <w:rFonts w:ascii="Verdana" w:hAnsi="Verdana"/>
        </w:rPr>
      </w:pPr>
      <w:r w:rsidRPr="009D3E66">
        <w:rPr>
          <w:rFonts w:ascii="Verdana" w:hAnsi="Verdana"/>
        </w:rPr>
        <w:t>A su vez, en torno al artículo 100 de la mencionada Ley 21, en el Oficio N° 023336 del 11 de agosto de 2015 se indicó:</w:t>
      </w:r>
    </w:p>
    <w:p w14:paraId="191345B9" w14:textId="77777777" w:rsidR="009D3E66" w:rsidRDefault="009D3E66" w:rsidP="009D3E66">
      <w:pPr>
        <w:pStyle w:val="Sinespaciado"/>
        <w:jc w:val="both"/>
        <w:rPr>
          <w:rFonts w:ascii="Verdana" w:hAnsi="Verdana"/>
        </w:rPr>
      </w:pPr>
    </w:p>
    <w:p w14:paraId="13667D50" w14:textId="77777777" w:rsidR="001B5F19" w:rsidRPr="009D3E66" w:rsidRDefault="001A2F63" w:rsidP="009D3E66">
      <w:pPr>
        <w:pStyle w:val="Sinespaciado"/>
        <w:ind w:left="708"/>
        <w:jc w:val="both"/>
        <w:rPr>
          <w:rFonts w:ascii="Verdana" w:hAnsi="Verdana"/>
          <w:i/>
        </w:rPr>
      </w:pPr>
      <w:r w:rsidRPr="009D3E66">
        <w:rPr>
          <w:rFonts w:ascii="Verdana" w:hAnsi="Verdana"/>
          <w:i/>
        </w:rPr>
        <w:t xml:space="preserve">“Nótese como la exclusión </w:t>
      </w:r>
      <w:r w:rsidRPr="009D3E66">
        <w:rPr>
          <w:rFonts w:ascii="Verdana" w:hAnsi="Verdana"/>
          <w:b/>
          <w:i/>
        </w:rPr>
        <w:t>opera en función del tipo de contrato</w:t>
      </w:r>
      <w:r w:rsidRPr="009D3E66">
        <w:rPr>
          <w:rFonts w:ascii="Verdana" w:hAnsi="Verdana"/>
          <w:i/>
        </w:rPr>
        <w:t xml:space="preserve"> que se desarrolla, en este caso de obra pública y no de la calidad del sujeto que lo desarrolla” </w:t>
      </w:r>
      <w:r w:rsidRPr="009D3E66">
        <w:rPr>
          <w:rStyle w:val="Cuerpodeltexto11Sincursiva"/>
          <w:rFonts w:ascii="Verdana" w:hAnsi="Verdana"/>
          <w:i w:val="0"/>
          <w:iCs w:val="0"/>
          <w:sz w:val="24"/>
          <w:szCs w:val="24"/>
        </w:rPr>
        <w:t>(resaltado fuera de texto).</w:t>
      </w:r>
    </w:p>
    <w:p w14:paraId="5DE214E4" w14:textId="77777777" w:rsidR="009D3E66" w:rsidRDefault="009D3E66" w:rsidP="009D3E66">
      <w:pPr>
        <w:pStyle w:val="Sinespaciado"/>
        <w:jc w:val="both"/>
        <w:rPr>
          <w:rFonts w:ascii="Verdana" w:hAnsi="Verdana"/>
        </w:rPr>
      </w:pPr>
    </w:p>
    <w:p w14:paraId="45485CD3" w14:textId="77777777" w:rsidR="001B5F19" w:rsidRPr="009D3E66" w:rsidRDefault="001A2F63" w:rsidP="009D3E66">
      <w:pPr>
        <w:pStyle w:val="Sinespaciado"/>
        <w:jc w:val="both"/>
        <w:rPr>
          <w:rFonts w:ascii="Verdana" w:hAnsi="Verdana"/>
        </w:rPr>
      </w:pPr>
      <w:r w:rsidRPr="009D3E66">
        <w:rPr>
          <w:rFonts w:ascii="Verdana" w:hAnsi="Verdana"/>
        </w:rPr>
        <w:t>En este último pronunciamiento igualmente se aclaró que la referida exclusión del IVA opera inclusive cuando los contratistas emplean figuras asociativas para el desarrollo del contrato de obra pública, tales como consorcios, uniones temporales o Asociaciones Público Privadas - APP.</w:t>
      </w:r>
    </w:p>
    <w:p w14:paraId="041DD702" w14:textId="77777777" w:rsidR="009D3E66" w:rsidRDefault="009D3E66" w:rsidP="009D3E66">
      <w:pPr>
        <w:pStyle w:val="Sinespaciado"/>
        <w:jc w:val="both"/>
        <w:rPr>
          <w:rFonts w:ascii="Verdana" w:hAnsi="Verdana"/>
        </w:rPr>
      </w:pPr>
    </w:p>
    <w:p w14:paraId="07CE1EBA" w14:textId="77777777" w:rsidR="001B5F19" w:rsidRPr="009D3E66" w:rsidRDefault="001A2F63" w:rsidP="009D3E66">
      <w:pPr>
        <w:pStyle w:val="Sinespaciado"/>
        <w:jc w:val="both"/>
        <w:rPr>
          <w:rFonts w:ascii="Verdana" w:hAnsi="Verdana"/>
        </w:rPr>
      </w:pPr>
      <w:r w:rsidRPr="009D3E66">
        <w:rPr>
          <w:rFonts w:ascii="Verdana" w:hAnsi="Verdana"/>
        </w:rPr>
        <w:t>Así las cosas, para efectos de la procedencia de la exclusión del IVA de que trata el artículo 100 de la Ley 21 de 1992, es necesaria la concurrencia de los siguientes elementos:</w:t>
      </w:r>
    </w:p>
    <w:p w14:paraId="097D857D" w14:textId="77777777" w:rsidR="009D3E66" w:rsidRDefault="009D3E66" w:rsidP="009D3E66">
      <w:pPr>
        <w:pStyle w:val="Sinespaciado"/>
        <w:jc w:val="both"/>
        <w:rPr>
          <w:rFonts w:ascii="Verdana" w:hAnsi="Verdana"/>
        </w:rPr>
      </w:pPr>
    </w:p>
    <w:p w14:paraId="2F76BD91" w14:textId="77777777" w:rsidR="009D3E66" w:rsidRDefault="001A2F63" w:rsidP="009D3E66">
      <w:pPr>
        <w:pStyle w:val="Sinespaciado"/>
        <w:numPr>
          <w:ilvl w:val="0"/>
          <w:numId w:val="2"/>
        </w:numPr>
        <w:jc w:val="both"/>
        <w:rPr>
          <w:rFonts w:ascii="Verdana" w:hAnsi="Verdana"/>
        </w:rPr>
      </w:pPr>
      <w:r w:rsidRPr="009D3E66">
        <w:rPr>
          <w:rFonts w:ascii="Verdana" w:hAnsi="Verdana"/>
        </w:rPr>
        <w:t>La parte contratante debe corresponder a una entidad territorial y/o una entidad descentralizada del orden Departamental o Municipal; en otras palabras, se trata de un sujeto calificado.</w:t>
      </w:r>
    </w:p>
    <w:p w14:paraId="79531D25" w14:textId="77777777" w:rsidR="009D3E66" w:rsidRDefault="009D3E66" w:rsidP="009D3E66">
      <w:pPr>
        <w:pStyle w:val="Sinespaciado"/>
        <w:ind w:left="1080"/>
        <w:jc w:val="both"/>
        <w:rPr>
          <w:rFonts w:ascii="Verdana" w:hAnsi="Verdana"/>
        </w:rPr>
      </w:pPr>
    </w:p>
    <w:p w14:paraId="0491FA7F" w14:textId="77777777" w:rsidR="009D3E66" w:rsidRDefault="001A2F63" w:rsidP="009D3E66">
      <w:pPr>
        <w:pStyle w:val="Sinespaciado"/>
        <w:numPr>
          <w:ilvl w:val="0"/>
          <w:numId w:val="2"/>
        </w:numPr>
        <w:jc w:val="both"/>
        <w:rPr>
          <w:rFonts w:ascii="Verdana" w:hAnsi="Verdana"/>
        </w:rPr>
      </w:pPr>
      <w:r w:rsidRPr="009D3E66">
        <w:rPr>
          <w:rFonts w:ascii="Verdana" w:hAnsi="Verdana"/>
        </w:rPr>
        <w:t xml:space="preserve">A diferencia de la parte contratante, de la parte contratista no </w:t>
      </w:r>
      <w:r w:rsidRPr="009D3E66">
        <w:rPr>
          <w:rFonts w:ascii="Verdana" w:hAnsi="Verdana"/>
        </w:rPr>
        <w:lastRenderedPageBreak/>
        <w:t>se exige calificación alguna, de manera que puede ser una persona natural y/o jurídica, las cuales adicionalmente pueden actuar en desarrollo de una figura asociativa.</w:t>
      </w:r>
    </w:p>
    <w:p w14:paraId="6F439CE5" w14:textId="77777777" w:rsidR="009D3E66" w:rsidRDefault="009D3E66" w:rsidP="009D3E66">
      <w:pPr>
        <w:pStyle w:val="Prrafodelista"/>
        <w:rPr>
          <w:rFonts w:ascii="Verdana" w:hAnsi="Verdana"/>
        </w:rPr>
      </w:pPr>
    </w:p>
    <w:p w14:paraId="0FE6F754" w14:textId="77777777" w:rsidR="001B5F19" w:rsidRPr="009D3E66" w:rsidRDefault="001A2F63" w:rsidP="00E262EB">
      <w:pPr>
        <w:pStyle w:val="Sinespaciado"/>
        <w:numPr>
          <w:ilvl w:val="0"/>
          <w:numId w:val="2"/>
        </w:numPr>
        <w:jc w:val="both"/>
        <w:rPr>
          <w:rFonts w:ascii="Verdana" w:hAnsi="Verdana"/>
        </w:rPr>
      </w:pPr>
      <w:r w:rsidRPr="009D3E66">
        <w:rPr>
          <w:rFonts w:ascii="Verdana" w:hAnsi="Verdana"/>
        </w:rPr>
        <w:t>Por último, es menester que el contrato celebrado sea uno de obra pública, en</w:t>
      </w:r>
      <w:r w:rsidR="009D3E66">
        <w:rPr>
          <w:rFonts w:ascii="Verdana" w:hAnsi="Verdana"/>
        </w:rPr>
        <w:t xml:space="preserve"> </w:t>
      </w:r>
      <w:r w:rsidRPr="009D3E66">
        <w:rPr>
          <w:rFonts w:ascii="Verdana" w:hAnsi="Verdana"/>
        </w:rPr>
        <w:t>los términos del artículo 32 de la Ley 80 de 1993.</w:t>
      </w:r>
    </w:p>
    <w:p w14:paraId="2AAB07FD" w14:textId="77777777" w:rsidR="009D3E66" w:rsidRDefault="009D3E66" w:rsidP="009D3E66">
      <w:pPr>
        <w:pStyle w:val="Sinespaciado"/>
        <w:jc w:val="both"/>
        <w:rPr>
          <w:rFonts w:ascii="Verdana" w:hAnsi="Verdana"/>
        </w:rPr>
      </w:pPr>
    </w:p>
    <w:p w14:paraId="7E5E50C5" w14:textId="77777777" w:rsidR="001B5F19" w:rsidRPr="009D3E66" w:rsidRDefault="001A2F63" w:rsidP="009D3E66">
      <w:pPr>
        <w:pStyle w:val="Sinespaciado"/>
        <w:jc w:val="both"/>
        <w:rPr>
          <w:rFonts w:ascii="Verdana" w:hAnsi="Verdana"/>
        </w:rPr>
      </w:pPr>
      <w:r w:rsidRPr="009D3E66">
        <w:rPr>
          <w:rFonts w:ascii="Verdana" w:hAnsi="Verdana"/>
        </w:rPr>
        <w:t>Por lo tanto, corresponderá al peticionario determinar si se reúnen los elementos previamente explicados para efectos de la procedencia de la exclusión del IVA, en la situación particular consultada.</w:t>
      </w:r>
    </w:p>
    <w:p w14:paraId="034D89EF" w14:textId="77777777" w:rsidR="009D3E66" w:rsidRDefault="009D3E66" w:rsidP="009D3E66">
      <w:pPr>
        <w:pStyle w:val="Sinespaciado"/>
        <w:jc w:val="both"/>
        <w:rPr>
          <w:rFonts w:ascii="Verdana" w:hAnsi="Verdana"/>
        </w:rPr>
      </w:pPr>
    </w:p>
    <w:p w14:paraId="50B14CBF" w14:textId="77777777" w:rsidR="001B5F19" w:rsidRPr="009D3E66" w:rsidRDefault="001A2F63" w:rsidP="009D3E66">
      <w:pPr>
        <w:pStyle w:val="Sinespaciado"/>
        <w:jc w:val="both"/>
        <w:rPr>
          <w:rFonts w:ascii="Verdana" w:hAnsi="Verdana"/>
        </w:rPr>
      </w:pPr>
      <w:r w:rsidRPr="009D3E66">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w:t>
      </w:r>
      <w:r w:rsidRPr="009D3E66">
        <w:rPr>
          <w:rFonts w:ascii="Verdana" w:hAnsi="Verdana"/>
          <w:lang w:val="en-US" w:eastAsia="en-US" w:bidi="en-US"/>
        </w:rPr>
        <w:t xml:space="preserve">, </w:t>
      </w:r>
      <w:r w:rsidRPr="009D3E66">
        <w:rPr>
          <w:rFonts w:ascii="Verdana" w:hAnsi="Verdana"/>
        </w:rPr>
        <w:t xml:space="preserve">la base de conceptos en materia tributaria, aduanera y cambiaria expedidos desde el año 2001, la cual se puede ingresar por el ícono de “Normatividad” </w:t>
      </w:r>
      <w:r w:rsidR="009D3E66">
        <w:rPr>
          <w:rFonts w:ascii="Verdana" w:hAnsi="Verdana"/>
        </w:rPr>
        <w:t>–“</w:t>
      </w:r>
      <w:r w:rsidRPr="009D3E66">
        <w:rPr>
          <w:rFonts w:ascii="Verdana" w:hAnsi="Verdana"/>
        </w:rPr>
        <w:t xml:space="preserve">Doctrina”-, dando click en el link </w:t>
      </w:r>
      <w:r w:rsidR="009D3E66">
        <w:rPr>
          <w:rFonts w:ascii="Verdana" w:hAnsi="Verdana"/>
        </w:rPr>
        <w:t>“</w:t>
      </w:r>
      <w:r w:rsidRPr="009D3E66">
        <w:rPr>
          <w:rFonts w:ascii="Verdana" w:hAnsi="Verdana"/>
        </w:rPr>
        <w:t>Doctrina Dirección de Gestión Jurídica”.</w:t>
      </w:r>
    </w:p>
    <w:p w14:paraId="3CDA1AB3" w14:textId="77777777" w:rsidR="009D3E66" w:rsidRDefault="009D3E66" w:rsidP="009D3E66">
      <w:pPr>
        <w:pStyle w:val="Sinespaciado"/>
        <w:jc w:val="both"/>
        <w:rPr>
          <w:rFonts w:ascii="Verdana" w:hAnsi="Verdana"/>
        </w:rPr>
      </w:pPr>
    </w:p>
    <w:p w14:paraId="163F114F" w14:textId="77777777" w:rsidR="009D3E66" w:rsidRDefault="009D3E66" w:rsidP="009D3E66">
      <w:pPr>
        <w:pStyle w:val="Sinespaciado"/>
        <w:jc w:val="both"/>
        <w:rPr>
          <w:rFonts w:ascii="Verdana" w:hAnsi="Verdana"/>
        </w:rPr>
      </w:pPr>
    </w:p>
    <w:p w14:paraId="0C87B3BB" w14:textId="77777777" w:rsidR="001B5F19" w:rsidRPr="009D3E66" w:rsidRDefault="001A2F63" w:rsidP="009D3E66">
      <w:pPr>
        <w:pStyle w:val="Sinespaciado"/>
        <w:jc w:val="both"/>
        <w:rPr>
          <w:rFonts w:ascii="Verdana" w:hAnsi="Verdana"/>
        </w:rPr>
      </w:pPr>
      <w:r w:rsidRPr="009D3E66">
        <w:rPr>
          <w:rFonts w:ascii="Verdana" w:hAnsi="Verdana"/>
        </w:rPr>
        <w:t>Atentamente,</w:t>
      </w:r>
    </w:p>
    <w:p w14:paraId="4D06D0F8" w14:textId="77777777" w:rsidR="009D3E66" w:rsidRDefault="009D3E66" w:rsidP="009D3E66">
      <w:pPr>
        <w:pStyle w:val="Sinespaciado"/>
        <w:jc w:val="both"/>
        <w:rPr>
          <w:rFonts w:ascii="Verdana" w:hAnsi="Verdana"/>
        </w:rPr>
      </w:pPr>
      <w:bookmarkStart w:id="0" w:name="bookmark0"/>
    </w:p>
    <w:p w14:paraId="198B913D" w14:textId="77777777" w:rsidR="009D3E66" w:rsidRDefault="009D3E66" w:rsidP="009D3E66">
      <w:pPr>
        <w:pStyle w:val="Sinespaciado"/>
        <w:jc w:val="both"/>
        <w:rPr>
          <w:rFonts w:ascii="Verdana" w:hAnsi="Verdana"/>
        </w:rPr>
      </w:pPr>
    </w:p>
    <w:p w14:paraId="1A4F8E28" w14:textId="77777777" w:rsidR="009D3E66" w:rsidRDefault="009D3E66" w:rsidP="009D3E66">
      <w:pPr>
        <w:pStyle w:val="Sinespaciado"/>
        <w:jc w:val="both"/>
        <w:rPr>
          <w:rFonts w:ascii="Verdana" w:hAnsi="Verdana"/>
        </w:rPr>
      </w:pPr>
    </w:p>
    <w:p w14:paraId="790D4276" w14:textId="77777777" w:rsidR="001B5F19" w:rsidRPr="009D3E66" w:rsidRDefault="001A2F63" w:rsidP="009D3E66">
      <w:pPr>
        <w:pStyle w:val="Sinespaciado"/>
        <w:jc w:val="both"/>
        <w:rPr>
          <w:rFonts w:ascii="Verdana" w:hAnsi="Verdana"/>
          <w:b/>
        </w:rPr>
      </w:pPr>
      <w:r w:rsidRPr="009D3E66">
        <w:rPr>
          <w:rFonts w:ascii="Verdana" w:hAnsi="Verdana"/>
          <w:b/>
        </w:rPr>
        <w:t>PABLO EMILIO MENDOZA VELILLA</w:t>
      </w:r>
      <w:bookmarkEnd w:id="0"/>
    </w:p>
    <w:p w14:paraId="0CBB8FF9" w14:textId="77777777" w:rsidR="001B5F19" w:rsidRPr="009D3E66" w:rsidRDefault="001A2F63" w:rsidP="009D3E66">
      <w:pPr>
        <w:pStyle w:val="Sinespaciado"/>
        <w:jc w:val="both"/>
        <w:rPr>
          <w:rFonts w:ascii="Verdana" w:hAnsi="Verdana"/>
        </w:rPr>
      </w:pPr>
      <w:r w:rsidRPr="009D3E66">
        <w:rPr>
          <w:rFonts w:ascii="Verdana" w:hAnsi="Verdana"/>
        </w:rPr>
        <w:t>Subdirector de Gestión Normativa y Doctrina</w:t>
      </w:r>
    </w:p>
    <w:p w14:paraId="128EF48A" w14:textId="77777777" w:rsidR="001B5F19" w:rsidRPr="009D3E66" w:rsidRDefault="001A2F63" w:rsidP="009D3E66">
      <w:pPr>
        <w:pStyle w:val="Sinespaciado"/>
        <w:jc w:val="both"/>
        <w:rPr>
          <w:rFonts w:ascii="Verdana" w:hAnsi="Verdana"/>
        </w:rPr>
      </w:pPr>
      <w:r w:rsidRPr="009D3E66">
        <w:rPr>
          <w:rFonts w:ascii="Verdana" w:hAnsi="Verdana"/>
        </w:rPr>
        <w:t>Dirección de Gestión Jurídica</w:t>
      </w:r>
    </w:p>
    <w:p w14:paraId="114804A3" w14:textId="77777777" w:rsidR="001B5F19" w:rsidRPr="009D3E66" w:rsidRDefault="001A2F63" w:rsidP="009D3E66">
      <w:pPr>
        <w:pStyle w:val="Sinespaciado"/>
        <w:jc w:val="both"/>
        <w:rPr>
          <w:rFonts w:ascii="Verdana" w:hAnsi="Verdana"/>
        </w:rPr>
      </w:pPr>
      <w:r w:rsidRPr="009D3E66">
        <w:rPr>
          <w:rFonts w:ascii="Verdana" w:hAnsi="Verdana"/>
        </w:rPr>
        <w:t>UAE-DIAN</w:t>
      </w:r>
    </w:p>
    <w:p w14:paraId="12E6A507" w14:textId="77777777" w:rsidR="001B5F19" w:rsidRPr="009D3E66" w:rsidRDefault="001A2F63" w:rsidP="009D3E66">
      <w:pPr>
        <w:pStyle w:val="Sinespaciado"/>
        <w:jc w:val="both"/>
        <w:rPr>
          <w:rFonts w:ascii="Verdana" w:hAnsi="Verdana"/>
        </w:rPr>
      </w:pPr>
      <w:r w:rsidRPr="009D3E66">
        <w:rPr>
          <w:rFonts w:ascii="Verdana" w:hAnsi="Verdana"/>
        </w:rPr>
        <w:t>Car. 8 N° 6C-38 Piso 4, Edificio San Agustín.</w:t>
      </w:r>
    </w:p>
    <w:p w14:paraId="3555BFC8" w14:textId="77777777" w:rsidR="001B5F19" w:rsidRPr="009D3E66" w:rsidRDefault="001A2F63" w:rsidP="009D3E66">
      <w:pPr>
        <w:pStyle w:val="Sinespaciado"/>
        <w:jc w:val="both"/>
        <w:rPr>
          <w:rFonts w:ascii="Verdana" w:hAnsi="Verdana"/>
        </w:rPr>
      </w:pPr>
      <w:r w:rsidRPr="009D3E66">
        <w:rPr>
          <w:rFonts w:ascii="Verdana" w:hAnsi="Verdana"/>
        </w:rPr>
        <w:t>Bogotá D.C.</w:t>
      </w:r>
    </w:p>
    <w:sectPr w:rsidR="001B5F19" w:rsidRPr="009D3E66" w:rsidSect="009D3E66">
      <w:headerReference w:type="default" r:id="rId7"/>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3745" w14:textId="77777777" w:rsidR="009B015C" w:rsidRDefault="009B015C">
      <w:r>
        <w:separator/>
      </w:r>
    </w:p>
  </w:endnote>
  <w:endnote w:type="continuationSeparator" w:id="0">
    <w:p w14:paraId="11452035" w14:textId="77777777" w:rsidR="009B015C" w:rsidRDefault="009B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59A8" w14:textId="77777777" w:rsidR="009B015C" w:rsidRDefault="009B015C">
      <w:r>
        <w:separator/>
      </w:r>
    </w:p>
  </w:footnote>
  <w:footnote w:type="continuationSeparator" w:id="0">
    <w:p w14:paraId="28993925" w14:textId="77777777" w:rsidR="009B015C" w:rsidRDefault="009B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075C" w14:textId="77777777" w:rsidR="001B5F19" w:rsidRDefault="001B5F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2F2"/>
    <w:multiLevelType w:val="multilevel"/>
    <w:tmpl w:val="B87ABD4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7729D"/>
    <w:multiLevelType w:val="hybridMultilevel"/>
    <w:tmpl w:val="3DFAF530"/>
    <w:lvl w:ilvl="0" w:tplc="7862DB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19"/>
    <w:rsid w:val="001A2F63"/>
    <w:rsid w:val="001B5F19"/>
    <w:rsid w:val="009B015C"/>
    <w:rsid w:val="009D3E66"/>
    <w:rsid w:val="00BD5289"/>
    <w:rsid w:val="00CB21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7344A"/>
  <w15:docId w15:val="{22E5CD7A-8F03-4E48-A36D-1F430C2C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8">
    <w:name w:val="Cuerpo del texto (28)_"/>
    <w:basedOn w:val="Fuentedeprrafopredeter"/>
    <w:link w:val="Cuerpodeltexto280"/>
    <w:rPr>
      <w:rFonts w:ascii="Arial" w:eastAsia="Arial" w:hAnsi="Arial" w:cs="Arial"/>
      <w:b w:val="0"/>
      <w:bCs w:val="0"/>
      <w:i w:val="0"/>
      <w:iCs w:val="0"/>
      <w:smallCaps w:val="0"/>
      <w:strike w:val="0"/>
      <w:sz w:val="20"/>
      <w:szCs w:val="20"/>
      <w:u w:val="none"/>
    </w:rPr>
  </w:style>
  <w:style w:type="character" w:customStyle="1" w:styleId="Encabezamientoopiedepgina19">
    <w:name w:val="Encabezamiento o pie de página (19)_"/>
    <w:basedOn w:val="Fuentedeprrafopredeter"/>
    <w:link w:val="Encabezamientoopiedepgina190"/>
    <w:rPr>
      <w:rFonts w:ascii="Arial" w:eastAsia="Arial" w:hAnsi="Arial" w:cs="Arial"/>
      <w:b w:val="0"/>
      <w:bCs w:val="0"/>
      <w:i w:val="0"/>
      <w:iCs w:val="0"/>
      <w:smallCaps w:val="0"/>
      <w:strike w:val="0"/>
      <w:sz w:val="22"/>
      <w:szCs w:val="22"/>
      <w:u w:val="none"/>
    </w:rPr>
  </w:style>
  <w:style w:type="character" w:customStyle="1" w:styleId="Cuerpodeltexto1011pto">
    <w:name w:val="Cuerpo del texto (10) + 11 pto"/>
    <w:basedOn w:val="Fuentedeprrafopredeter"/>
    <w:rPr>
      <w:rFonts w:ascii="Arial" w:eastAsia="Arial" w:hAnsi="Arial" w:cs="Arial"/>
      <w:b w:val="0"/>
      <w:bCs w:val="0"/>
      <w:i w:val="0"/>
      <w:iCs w:val="0"/>
      <w:smallCaps w:val="0"/>
      <w:strike w:val="0"/>
      <w:sz w:val="22"/>
      <w:szCs w:val="22"/>
      <w:u w:val="none"/>
    </w:rPr>
  </w:style>
  <w:style w:type="character" w:customStyle="1" w:styleId="Cuerpodeltexto11">
    <w:name w:val="Cuerpo del texto (11)_"/>
    <w:basedOn w:val="Fuentedeprrafopredeter"/>
    <w:link w:val="Cuerpodeltexto110"/>
    <w:rPr>
      <w:rFonts w:ascii="Arial" w:eastAsia="Arial" w:hAnsi="Arial" w:cs="Arial"/>
      <w:b w:val="0"/>
      <w:bCs w:val="0"/>
      <w:i/>
      <w:iCs/>
      <w:smallCaps w:val="0"/>
      <w:strike w:val="0"/>
      <w:sz w:val="20"/>
      <w:szCs w:val="20"/>
      <w:u w:val="none"/>
    </w:rPr>
  </w:style>
  <w:style w:type="character" w:customStyle="1" w:styleId="Cuerpodeltexto11Sincursiva">
    <w:name w:val="Cuerpo del texto (11) + Sin cursiva"/>
    <w:basedOn w:val="Cuerpodeltexto11"/>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81">
    <w:name w:val="Cuerpo del texto (28)"/>
    <w:basedOn w:val="Cuerpodeltexto28"/>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uerpodeltexto26">
    <w:name w:val="Cuerpo del texto (26)_"/>
    <w:basedOn w:val="Fuentedeprrafopredeter"/>
    <w:link w:val="Cuerpodeltexto260"/>
    <w:rPr>
      <w:rFonts w:ascii="Arial" w:eastAsia="Arial" w:hAnsi="Arial" w:cs="Arial"/>
      <w:b w:val="0"/>
      <w:bCs w:val="0"/>
      <w:i w:val="0"/>
      <w:iCs w:val="0"/>
      <w:smallCaps w:val="0"/>
      <w:strike w:val="0"/>
      <w:sz w:val="11"/>
      <w:szCs w:val="11"/>
      <w:u w:val="none"/>
    </w:rPr>
  </w:style>
  <w:style w:type="character" w:customStyle="1" w:styleId="Cuerpodeltexto26CursivaEspaciado1pto">
    <w:name w:val="Cuerpo del texto (26) + Cursiva;Espaciado 1 pto"/>
    <w:basedOn w:val="Cuerpodeltexto26"/>
    <w:rPr>
      <w:rFonts w:ascii="Arial" w:eastAsia="Arial" w:hAnsi="Arial" w:cs="Arial"/>
      <w:b w:val="0"/>
      <w:bCs w:val="0"/>
      <w:i/>
      <w:iCs/>
      <w:smallCaps w:val="0"/>
      <w:strike w:val="0"/>
      <w:color w:val="000000"/>
      <w:spacing w:val="30"/>
      <w:w w:val="100"/>
      <w:position w:val="0"/>
      <w:sz w:val="11"/>
      <w:szCs w:val="11"/>
      <w:u w:val="none"/>
      <w:lang w:val="es-ES" w:eastAsia="es-ES" w:bidi="es-ES"/>
    </w:rPr>
  </w:style>
  <w:style w:type="character" w:customStyle="1" w:styleId="Ttulo12">
    <w:name w:val="Título #1 (2)_"/>
    <w:basedOn w:val="Fuentedeprrafopredeter"/>
    <w:link w:val="Ttulo120"/>
    <w:rPr>
      <w:rFonts w:ascii="Arial" w:eastAsia="Arial" w:hAnsi="Arial" w:cs="Arial"/>
      <w:b/>
      <w:bCs/>
      <w:i w:val="0"/>
      <w:iCs w:val="0"/>
      <w:smallCaps w:val="0"/>
      <w:strike w:val="0"/>
      <w:sz w:val="22"/>
      <w:szCs w:val="22"/>
      <w:u w:val="none"/>
    </w:rPr>
  </w:style>
  <w:style w:type="paragraph" w:customStyle="1" w:styleId="Cuerpodeltexto280">
    <w:name w:val="Cuerpo del texto (28)"/>
    <w:basedOn w:val="Normal"/>
    <w:link w:val="Cuerpodeltexto28"/>
    <w:pPr>
      <w:shd w:val="clear" w:color="auto" w:fill="FFFFFF"/>
      <w:spacing w:line="619" w:lineRule="exact"/>
      <w:ind w:hanging="2160"/>
      <w:jc w:val="both"/>
    </w:pPr>
    <w:rPr>
      <w:rFonts w:ascii="Arial" w:eastAsia="Arial" w:hAnsi="Arial" w:cs="Arial"/>
      <w:sz w:val="20"/>
      <w:szCs w:val="20"/>
    </w:rPr>
  </w:style>
  <w:style w:type="paragraph" w:customStyle="1" w:styleId="Encabezamientoopiedepgina190">
    <w:name w:val="Encabezamiento o pie de página (19)"/>
    <w:basedOn w:val="Normal"/>
    <w:link w:val="Encabezamientoopiedepgina19"/>
    <w:pPr>
      <w:shd w:val="clear" w:color="auto" w:fill="FFFFFF"/>
      <w:spacing w:line="0" w:lineRule="atLeast"/>
      <w:jc w:val="both"/>
    </w:pPr>
    <w:rPr>
      <w:rFonts w:ascii="Arial" w:eastAsia="Arial" w:hAnsi="Arial" w:cs="Arial"/>
      <w:sz w:val="22"/>
      <w:szCs w:val="22"/>
    </w:rPr>
  </w:style>
  <w:style w:type="paragraph" w:customStyle="1" w:styleId="Cuerpodeltexto110">
    <w:name w:val="Cuerpo del texto (11)"/>
    <w:basedOn w:val="Normal"/>
    <w:link w:val="Cuerpodeltexto11"/>
    <w:pPr>
      <w:shd w:val="clear" w:color="auto" w:fill="FFFFFF"/>
      <w:spacing w:before="180" w:after="600" w:line="250" w:lineRule="exact"/>
      <w:jc w:val="both"/>
    </w:pPr>
    <w:rPr>
      <w:rFonts w:ascii="Arial" w:eastAsia="Arial" w:hAnsi="Arial" w:cs="Arial"/>
      <w:i/>
      <w:iCs/>
      <w:sz w:val="20"/>
      <w:szCs w:val="20"/>
    </w:rPr>
  </w:style>
  <w:style w:type="paragraph" w:customStyle="1" w:styleId="Cuerpodeltexto260">
    <w:name w:val="Cuerpo del texto (26)"/>
    <w:basedOn w:val="Normal"/>
    <w:link w:val="Cuerpodeltexto26"/>
    <w:pPr>
      <w:shd w:val="clear" w:color="auto" w:fill="FFFFFF"/>
      <w:spacing w:before="300" w:line="134" w:lineRule="exact"/>
      <w:jc w:val="both"/>
    </w:pPr>
    <w:rPr>
      <w:rFonts w:ascii="Arial" w:eastAsia="Arial" w:hAnsi="Arial" w:cs="Arial"/>
      <w:sz w:val="11"/>
      <w:szCs w:val="11"/>
    </w:rPr>
  </w:style>
  <w:style w:type="paragraph" w:customStyle="1" w:styleId="Ttulo120">
    <w:name w:val="Título #1 (2)"/>
    <w:basedOn w:val="Normal"/>
    <w:link w:val="Ttulo12"/>
    <w:pPr>
      <w:shd w:val="clear" w:color="auto" w:fill="FFFFFF"/>
      <w:spacing w:before="120" w:line="250" w:lineRule="exact"/>
      <w:jc w:val="both"/>
      <w:outlineLvl w:val="0"/>
    </w:pPr>
    <w:rPr>
      <w:rFonts w:ascii="Arial" w:eastAsia="Arial" w:hAnsi="Arial" w:cs="Arial"/>
      <w:b/>
      <w:bCs/>
      <w:sz w:val="22"/>
      <w:szCs w:val="22"/>
    </w:rPr>
  </w:style>
  <w:style w:type="paragraph" w:styleId="Sinespaciado">
    <w:name w:val="No Spacing"/>
    <w:uiPriority w:val="1"/>
    <w:qFormat/>
    <w:rsid w:val="009D3E66"/>
    <w:rPr>
      <w:color w:val="000000"/>
    </w:rPr>
  </w:style>
  <w:style w:type="paragraph" w:styleId="Encabezado">
    <w:name w:val="header"/>
    <w:basedOn w:val="Normal"/>
    <w:link w:val="EncabezadoCar"/>
    <w:uiPriority w:val="99"/>
    <w:unhideWhenUsed/>
    <w:rsid w:val="009D3E66"/>
    <w:pPr>
      <w:tabs>
        <w:tab w:val="center" w:pos="4419"/>
        <w:tab w:val="right" w:pos="8838"/>
      </w:tabs>
    </w:pPr>
  </w:style>
  <w:style w:type="character" w:customStyle="1" w:styleId="EncabezadoCar">
    <w:name w:val="Encabezado Car"/>
    <w:basedOn w:val="Fuentedeprrafopredeter"/>
    <w:link w:val="Encabezado"/>
    <w:uiPriority w:val="99"/>
    <w:rsid w:val="009D3E66"/>
    <w:rPr>
      <w:color w:val="000000"/>
    </w:rPr>
  </w:style>
  <w:style w:type="paragraph" w:styleId="Piedepgina">
    <w:name w:val="footer"/>
    <w:basedOn w:val="Normal"/>
    <w:link w:val="PiedepginaCar"/>
    <w:uiPriority w:val="99"/>
    <w:unhideWhenUsed/>
    <w:rsid w:val="009D3E66"/>
    <w:pPr>
      <w:tabs>
        <w:tab w:val="center" w:pos="4419"/>
        <w:tab w:val="right" w:pos="8838"/>
      </w:tabs>
    </w:pPr>
  </w:style>
  <w:style w:type="character" w:customStyle="1" w:styleId="PiedepginaCar">
    <w:name w:val="Pie de página Car"/>
    <w:basedOn w:val="Fuentedeprrafopredeter"/>
    <w:link w:val="Piedepgina"/>
    <w:uiPriority w:val="99"/>
    <w:rsid w:val="009D3E66"/>
    <w:rPr>
      <w:color w:val="000000"/>
    </w:rPr>
  </w:style>
  <w:style w:type="paragraph" w:styleId="Prrafodelista">
    <w:name w:val="List Paragraph"/>
    <w:basedOn w:val="Normal"/>
    <w:uiPriority w:val="34"/>
    <w:qFormat/>
    <w:rsid w:val="009D3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4158</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2021-05-22T18:47:00Z</dcterms:created>
  <dcterms:modified xsi:type="dcterms:W3CDTF">2021-05-22T18:47:00Z</dcterms:modified>
</cp:coreProperties>
</file>