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9D86F" w14:textId="77777777" w:rsidR="00AD365B" w:rsidRPr="00AD365B" w:rsidRDefault="00AD365B" w:rsidP="00AD365B">
      <w:pPr>
        <w:spacing w:after="0" w:line="360" w:lineRule="auto"/>
        <w:jc w:val="center"/>
        <w:rPr>
          <w:rFonts w:eastAsia="Times New Roman" w:cs="Times New Roman"/>
          <w:szCs w:val="24"/>
          <w:lang w:eastAsia="es-CO"/>
        </w:rPr>
      </w:pPr>
      <w:r w:rsidRPr="00AD365B">
        <w:rPr>
          <w:rFonts w:eastAsia="Times New Roman" w:cs="Times New Roman"/>
          <w:b/>
          <w:bCs/>
          <w:szCs w:val="24"/>
          <w:lang w:eastAsia="es-CO"/>
        </w:rPr>
        <w:t xml:space="preserve">CONCEPTO </w:t>
      </w:r>
      <w:proofErr w:type="spellStart"/>
      <w:r w:rsidRPr="00AD365B">
        <w:rPr>
          <w:rFonts w:eastAsia="Times New Roman" w:cs="Times New Roman"/>
          <w:b/>
          <w:bCs/>
          <w:szCs w:val="24"/>
          <w:lang w:eastAsia="es-CO"/>
        </w:rPr>
        <w:t>Nº</w:t>
      </w:r>
      <w:proofErr w:type="spellEnd"/>
      <w:r w:rsidRPr="00AD365B">
        <w:rPr>
          <w:rFonts w:eastAsia="Times New Roman" w:cs="Times New Roman"/>
          <w:b/>
          <w:bCs/>
          <w:szCs w:val="24"/>
          <w:lang w:eastAsia="es-CO"/>
        </w:rPr>
        <w:t xml:space="preserve"> 100202208-0577</w:t>
      </w:r>
    </w:p>
    <w:p w14:paraId="3C20D2AC" w14:textId="77777777" w:rsidR="00AD365B" w:rsidRPr="00AD365B" w:rsidRDefault="00AD365B" w:rsidP="00AD365B">
      <w:pPr>
        <w:spacing w:after="0" w:line="360" w:lineRule="auto"/>
        <w:jc w:val="center"/>
        <w:rPr>
          <w:rFonts w:eastAsia="Times New Roman" w:cs="Times New Roman"/>
          <w:szCs w:val="24"/>
          <w:lang w:eastAsia="es-CO"/>
        </w:rPr>
      </w:pPr>
      <w:r w:rsidRPr="00AD365B">
        <w:rPr>
          <w:rFonts w:eastAsia="Times New Roman" w:cs="Times New Roman"/>
          <w:b/>
          <w:bCs/>
          <w:szCs w:val="24"/>
          <w:lang w:eastAsia="es-CO"/>
        </w:rPr>
        <w:t>28-10-2020</w:t>
      </w:r>
    </w:p>
    <w:p w14:paraId="523EDABD" w14:textId="77777777" w:rsidR="00AD365B" w:rsidRPr="00AD365B" w:rsidRDefault="00AD365B" w:rsidP="00AD365B">
      <w:pPr>
        <w:spacing w:after="0" w:line="360" w:lineRule="auto"/>
        <w:jc w:val="center"/>
        <w:rPr>
          <w:rFonts w:eastAsia="Times New Roman" w:cs="Times New Roman"/>
          <w:szCs w:val="24"/>
          <w:lang w:eastAsia="es-CO"/>
        </w:rPr>
      </w:pPr>
      <w:r w:rsidRPr="00AD365B">
        <w:rPr>
          <w:rFonts w:eastAsia="Times New Roman" w:cs="Times New Roman"/>
          <w:b/>
          <w:bCs/>
          <w:szCs w:val="24"/>
          <w:lang w:eastAsia="es-CO"/>
        </w:rPr>
        <w:t>DIAN</w:t>
      </w:r>
    </w:p>
    <w:p w14:paraId="505A5EB9"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35F0C5C9"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70E07D0B"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100202208-0577</w:t>
      </w:r>
    </w:p>
    <w:p w14:paraId="6F2A04B5"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Bogotá, D. C. 28 de octubre de 2020</w:t>
      </w:r>
    </w:p>
    <w:p w14:paraId="3A037B61"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32A11A2C"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b/>
          <w:bCs/>
          <w:szCs w:val="24"/>
          <w:lang w:eastAsia="es-CO"/>
        </w:rPr>
        <w:t>Referencia:</w:t>
      </w:r>
      <w:r w:rsidRPr="00AD365B">
        <w:rPr>
          <w:rFonts w:eastAsia="Times New Roman" w:cs="Times New Roman"/>
          <w:szCs w:val="24"/>
          <w:lang w:eastAsia="es-CO"/>
        </w:rPr>
        <w:t> Radicado 100095687 del 31/07/2020</w:t>
      </w:r>
    </w:p>
    <w:p w14:paraId="6975CCF8"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tbl>
      <w:tblPr>
        <w:tblW w:w="0" w:type="auto"/>
        <w:tblInd w:w="-108" w:type="dxa"/>
        <w:tblCellMar>
          <w:left w:w="0" w:type="dxa"/>
          <w:right w:w="0" w:type="dxa"/>
        </w:tblCellMar>
        <w:tblLook w:val="04A0" w:firstRow="1" w:lastRow="0" w:firstColumn="1" w:lastColumn="0" w:noHBand="0" w:noVBand="1"/>
      </w:tblPr>
      <w:tblGrid>
        <w:gridCol w:w="1963"/>
        <w:gridCol w:w="7501"/>
      </w:tblGrid>
      <w:tr w:rsidR="00AD365B" w:rsidRPr="00AD365B" w14:paraId="3C74F8E1" w14:textId="77777777" w:rsidTr="00AD365B">
        <w:trPr>
          <w:trHeight w:val="127"/>
        </w:trPr>
        <w:tc>
          <w:tcPr>
            <w:tcW w:w="0" w:type="auto"/>
            <w:tcBorders>
              <w:top w:val="nil"/>
              <w:left w:val="nil"/>
              <w:bottom w:val="nil"/>
              <w:right w:val="nil"/>
            </w:tcBorders>
            <w:shd w:val="clear" w:color="auto" w:fill="auto"/>
            <w:tcMar>
              <w:top w:w="0" w:type="dxa"/>
              <w:left w:w="108" w:type="dxa"/>
              <w:bottom w:w="0" w:type="dxa"/>
              <w:right w:w="108" w:type="dxa"/>
            </w:tcMar>
            <w:hideMark/>
          </w:tcPr>
          <w:p w14:paraId="67452EC4"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4200BE3"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Impuesto sobre la renta</w:t>
            </w:r>
          </w:p>
        </w:tc>
      </w:tr>
      <w:tr w:rsidR="00AD365B" w:rsidRPr="00AD365B" w14:paraId="1E57C8D2" w14:textId="77777777" w:rsidTr="00AD365B">
        <w:trPr>
          <w:trHeight w:val="127"/>
        </w:trPr>
        <w:tc>
          <w:tcPr>
            <w:tcW w:w="0" w:type="auto"/>
            <w:tcBorders>
              <w:top w:val="nil"/>
              <w:left w:val="nil"/>
              <w:bottom w:val="nil"/>
              <w:right w:val="nil"/>
            </w:tcBorders>
            <w:shd w:val="clear" w:color="auto" w:fill="auto"/>
            <w:tcMar>
              <w:top w:w="0" w:type="dxa"/>
              <w:left w:w="108" w:type="dxa"/>
              <w:bottom w:w="0" w:type="dxa"/>
              <w:right w:w="108" w:type="dxa"/>
            </w:tcMar>
            <w:hideMark/>
          </w:tcPr>
          <w:p w14:paraId="6E7C9B6A"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D631CE1"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Rentas exentas</w:t>
            </w:r>
          </w:p>
        </w:tc>
      </w:tr>
      <w:tr w:rsidR="00AD365B" w:rsidRPr="00AD365B" w14:paraId="71FAD1DF" w14:textId="77777777" w:rsidTr="00AD365B">
        <w:trPr>
          <w:trHeight w:val="503"/>
        </w:trPr>
        <w:tc>
          <w:tcPr>
            <w:tcW w:w="0" w:type="auto"/>
            <w:tcBorders>
              <w:top w:val="nil"/>
              <w:left w:val="nil"/>
              <w:bottom w:val="nil"/>
              <w:right w:val="nil"/>
            </w:tcBorders>
            <w:shd w:val="clear" w:color="auto" w:fill="auto"/>
            <w:tcMar>
              <w:top w:w="0" w:type="dxa"/>
              <w:left w:w="108" w:type="dxa"/>
              <w:bottom w:w="0" w:type="dxa"/>
              <w:right w:w="108" w:type="dxa"/>
            </w:tcMar>
            <w:hideMark/>
          </w:tcPr>
          <w:p w14:paraId="28BFD50A"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25CB5AD"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Artículos </w:t>
            </w:r>
            <w:hyperlink r:id="rId4" w:tooltip="Estatuto Tributario CETA" w:history="1">
              <w:r w:rsidRPr="00AD365B">
                <w:rPr>
                  <w:rFonts w:eastAsia="Times New Roman" w:cs="Times New Roman"/>
                  <w:szCs w:val="24"/>
                  <w:lang w:eastAsia="es-CO"/>
                </w:rPr>
                <w:t>26</w:t>
              </w:r>
            </w:hyperlink>
            <w:r w:rsidRPr="00AD365B">
              <w:rPr>
                <w:rFonts w:eastAsia="Times New Roman" w:cs="Times New Roman"/>
                <w:szCs w:val="24"/>
                <w:lang w:eastAsia="es-CO"/>
              </w:rPr>
              <w:t>, </w:t>
            </w:r>
            <w:hyperlink r:id="rId5" w:tooltip="Estatuto Tributario CETA" w:history="1">
              <w:r w:rsidRPr="00AD365B">
                <w:rPr>
                  <w:rFonts w:eastAsia="Times New Roman" w:cs="Times New Roman"/>
                  <w:szCs w:val="24"/>
                  <w:lang w:eastAsia="es-CO"/>
                </w:rPr>
                <w:t>103</w:t>
              </w:r>
            </w:hyperlink>
            <w:r w:rsidRPr="00AD365B">
              <w:rPr>
                <w:rFonts w:eastAsia="Times New Roman" w:cs="Times New Roman"/>
                <w:szCs w:val="24"/>
                <w:lang w:eastAsia="es-CO"/>
              </w:rPr>
              <w:t>, </w:t>
            </w:r>
            <w:hyperlink r:id="rId6" w:tooltip="Estatuto Tributario CETA" w:history="1">
              <w:r w:rsidRPr="00AD365B">
                <w:rPr>
                  <w:rFonts w:eastAsia="Times New Roman" w:cs="Times New Roman"/>
                  <w:szCs w:val="24"/>
                  <w:lang w:eastAsia="es-CO"/>
                </w:rPr>
                <w:t>126-1</w:t>
              </w:r>
            </w:hyperlink>
            <w:r w:rsidRPr="00AD365B">
              <w:rPr>
                <w:rFonts w:eastAsia="Times New Roman" w:cs="Times New Roman"/>
                <w:szCs w:val="24"/>
                <w:lang w:eastAsia="es-CO"/>
              </w:rPr>
              <w:t>, </w:t>
            </w:r>
            <w:hyperlink r:id="rId7" w:tooltip="Estatuto Tributario CETA" w:history="1">
              <w:r w:rsidRPr="00AD365B">
                <w:rPr>
                  <w:rFonts w:eastAsia="Times New Roman" w:cs="Times New Roman"/>
                  <w:szCs w:val="24"/>
                  <w:lang w:eastAsia="es-CO"/>
                </w:rPr>
                <w:t>126-4</w:t>
              </w:r>
            </w:hyperlink>
            <w:r w:rsidRPr="00AD365B">
              <w:rPr>
                <w:rFonts w:eastAsia="Times New Roman" w:cs="Times New Roman"/>
                <w:szCs w:val="24"/>
                <w:lang w:eastAsia="es-CO"/>
              </w:rPr>
              <w:t>, </w:t>
            </w:r>
            <w:hyperlink r:id="rId8" w:tooltip="Estatuto Tributario CETA" w:history="1">
              <w:r w:rsidRPr="00AD365B">
                <w:rPr>
                  <w:rFonts w:eastAsia="Times New Roman" w:cs="Times New Roman"/>
                  <w:szCs w:val="24"/>
                  <w:lang w:eastAsia="es-CO"/>
                </w:rPr>
                <w:t>178</w:t>
              </w:r>
            </w:hyperlink>
            <w:r w:rsidRPr="00AD365B">
              <w:rPr>
                <w:rFonts w:eastAsia="Times New Roman" w:cs="Times New Roman"/>
                <w:szCs w:val="24"/>
                <w:lang w:eastAsia="es-CO"/>
              </w:rPr>
              <w:t>, </w:t>
            </w:r>
            <w:hyperlink r:id="rId9" w:tooltip="Estatuto Tributario CETA" w:history="1">
              <w:r w:rsidRPr="00AD365B">
                <w:rPr>
                  <w:rFonts w:eastAsia="Times New Roman" w:cs="Times New Roman"/>
                  <w:szCs w:val="24"/>
                  <w:lang w:eastAsia="es-CO"/>
                </w:rPr>
                <w:t>235-2</w:t>
              </w:r>
            </w:hyperlink>
            <w:r w:rsidRPr="00AD365B">
              <w:rPr>
                <w:rFonts w:eastAsia="Times New Roman" w:cs="Times New Roman"/>
                <w:szCs w:val="24"/>
                <w:lang w:eastAsia="es-CO"/>
              </w:rPr>
              <w:t> del Estatuto Tributario.</w:t>
            </w:r>
          </w:p>
          <w:p w14:paraId="19B28DE9"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Descriptor 3.1. del Concepto General Unificado 912 del 19 de julio de 2018.</w:t>
            </w:r>
          </w:p>
        </w:tc>
      </w:tr>
    </w:tbl>
    <w:p w14:paraId="3E525AFD"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787962DD"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63D2B903"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Cordial saludo, señor Montañez.</w:t>
      </w:r>
    </w:p>
    <w:p w14:paraId="26108454"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62B154FE"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De conformidad con el artículo 19 del Decreto número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4816833E"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22B5BBBD"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xml:space="preserve">Mediante el radicado de la referencia, solicita se reconsidere la tesis jurídica expuesta en el oficio número 025073 de 4 octubre de 2019, donde se concluye de forma negativa frente a la posibilidad que una persona natural no residente en el país, obligada a presentar declaración del impuesto sobre la renta, tome como renta exenta y factor de depuración de la base de retención en la fuente los aportes a los fondos de pensión </w:t>
      </w:r>
      <w:proofErr w:type="spellStart"/>
      <w:r w:rsidRPr="00AD365B">
        <w:rPr>
          <w:rFonts w:eastAsia="Times New Roman" w:cs="Times New Roman"/>
          <w:szCs w:val="24"/>
          <w:lang w:eastAsia="es-CO"/>
        </w:rPr>
        <w:t>e</w:t>
      </w:r>
      <w:proofErr w:type="spellEnd"/>
      <w:r w:rsidRPr="00AD365B">
        <w:rPr>
          <w:rFonts w:eastAsia="Times New Roman" w:cs="Times New Roman"/>
          <w:szCs w:val="24"/>
          <w:lang w:eastAsia="es-CO"/>
        </w:rPr>
        <w:t xml:space="preserve"> invalidez y fondos de cesantías.</w:t>
      </w:r>
    </w:p>
    <w:p w14:paraId="30F00FD0"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049B635A"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Como argumentos, el peticionario señala que el </w:t>
      </w:r>
      <w:hyperlink r:id="rId10" w:tooltip="Estatuto Tributario CETA" w:history="1">
        <w:r w:rsidRPr="00AD365B">
          <w:rPr>
            <w:rFonts w:eastAsia="Times New Roman" w:cs="Times New Roman"/>
            <w:szCs w:val="24"/>
            <w:lang w:eastAsia="es-CO"/>
          </w:rPr>
          <w:t>artículo 247</w:t>
        </w:r>
      </w:hyperlink>
      <w:r w:rsidRPr="00AD365B">
        <w:rPr>
          <w:rFonts w:eastAsia="Times New Roman" w:cs="Times New Roman"/>
          <w:szCs w:val="24"/>
          <w:lang w:eastAsia="es-CO"/>
        </w:rPr>
        <w:t> del Estatuto Tributario consagra la tarifa aplicable a la renta gravable de fuente nacional de las personas naturales sin residencia en el país, término que según el </w:t>
      </w:r>
      <w:hyperlink r:id="rId11" w:tooltip="Estatuto Tributario CETA" w:history="1">
        <w:r w:rsidRPr="00AD365B">
          <w:rPr>
            <w:rFonts w:eastAsia="Times New Roman" w:cs="Times New Roman"/>
            <w:szCs w:val="24"/>
            <w:lang w:eastAsia="es-CO"/>
          </w:rPr>
          <w:t>artículo 178</w:t>
        </w:r>
      </w:hyperlink>
      <w:r w:rsidRPr="00AD365B">
        <w:rPr>
          <w:rFonts w:eastAsia="Times New Roman" w:cs="Times New Roman"/>
          <w:szCs w:val="24"/>
          <w:lang w:eastAsia="es-CO"/>
        </w:rPr>
        <w:t> </w:t>
      </w:r>
      <w:proofErr w:type="spellStart"/>
      <w:r w:rsidRPr="00AD365B">
        <w:rPr>
          <w:rFonts w:eastAsia="Times New Roman" w:cs="Times New Roman"/>
          <w:szCs w:val="24"/>
          <w:lang w:eastAsia="es-CO"/>
        </w:rPr>
        <w:t>ibídem</w:t>
      </w:r>
      <w:proofErr w:type="spellEnd"/>
      <w:r w:rsidRPr="00AD365B">
        <w:rPr>
          <w:rFonts w:eastAsia="Times New Roman" w:cs="Times New Roman"/>
          <w:szCs w:val="24"/>
          <w:lang w:eastAsia="es-CO"/>
        </w:rPr>
        <w:t>, es en principio, equivalente al concepto de renta líquida, la cual es el resultado de restar a la renta bruta las deducciones que tengan relación de causalidad con las actividades productoras de renta.</w:t>
      </w:r>
    </w:p>
    <w:p w14:paraId="583F1D6E"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0858E579"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En concordancia con lo anterior, el peticionario indica que el </w:t>
      </w:r>
      <w:hyperlink r:id="rId12" w:tooltip="Estatuto Tributario CETA" w:history="1">
        <w:r w:rsidRPr="00AD365B">
          <w:rPr>
            <w:rFonts w:eastAsia="Times New Roman" w:cs="Times New Roman"/>
            <w:szCs w:val="24"/>
            <w:lang w:eastAsia="es-CO"/>
          </w:rPr>
          <w:t>artículo 178 </w:t>
        </w:r>
      </w:hyperlink>
      <w:r w:rsidRPr="00AD365B">
        <w:rPr>
          <w:rFonts w:eastAsia="Times New Roman" w:cs="Times New Roman"/>
          <w:szCs w:val="24"/>
          <w:lang w:eastAsia="es-CO"/>
        </w:rPr>
        <w:t>del Estatuto Tributario establece que la renta gravable resultará luego de restarle a la renta líquida las rentas exentas.</w:t>
      </w:r>
    </w:p>
    <w:p w14:paraId="556804A2"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1286A51A"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lastRenderedPageBreak/>
        <w:t>Igualmente, cita el contenido del artículo 1.2.1.20.1. numeral 2 del Decreto número 1625 de 2016, el cual dispone que las personas naturales no residentes y sucesiones ilíquidas de causantes no residentes, según lo dispuesto en artículos </w:t>
      </w:r>
      <w:hyperlink r:id="rId13" w:tooltip="Estatuto Tributario CETA" w:history="1">
        <w:r w:rsidRPr="00AD365B">
          <w:rPr>
            <w:rFonts w:eastAsia="Times New Roman" w:cs="Times New Roman"/>
            <w:szCs w:val="24"/>
            <w:lang w:eastAsia="es-CO"/>
          </w:rPr>
          <w:t>9</w:t>
        </w:r>
      </w:hyperlink>
      <w:r w:rsidRPr="00AD365B">
        <w:rPr>
          <w:rFonts w:eastAsia="Times New Roman" w:cs="Times New Roman"/>
          <w:szCs w:val="24"/>
          <w:lang w:eastAsia="es-CO"/>
        </w:rPr>
        <w:t> y </w:t>
      </w:r>
      <w:hyperlink r:id="rId14" w:tooltip="Estatuto Tributario CETA" w:history="1">
        <w:r w:rsidRPr="00AD365B">
          <w:rPr>
            <w:rFonts w:eastAsia="Times New Roman" w:cs="Times New Roman"/>
            <w:szCs w:val="24"/>
            <w:lang w:eastAsia="es-CO"/>
          </w:rPr>
          <w:t>10</w:t>
        </w:r>
      </w:hyperlink>
      <w:r w:rsidRPr="00AD365B">
        <w:rPr>
          <w:rFonts w:eastAsia="Times New Roman" w:cs="Times New Roman"/>
          <w:szCs w:val="24"/>
          <w:lang w:eastAsia="es-CO"/>
        </w:rPr>
        <w:t> del Estatuto Tributario, estarán sujetas al impuesto sobre la renta y complementario en lo concerniente a sus rentas y ganancias ocasionales de fuente nacional y por su patrimonio poseído en el país, y determinarán su renta líquida gravable de conformidad con el </w:t>
      </w:r>
      <w:hyperlink r:id="rId15" w:tooltip="Estatuto Tributario CETA" w:history="1">
        <w:r w:rsidRPr="00AD365B">
          <w:rPr>
            <w:rFonts w:eastAsia="Times New Roman" w:cs="Times New Roman"/>
            <w:szCs w:val="24"/>
            <w:lang w:eastAsia="es-CO"/>
          </w:rPr>
          <w:t>artículo 26</w:t>
        </w:r>
      </w:hyperlink>
      <w:r w:rsidRPr="00AD365B">
        <w:rPr>
          <w:rFonts w:eastAsia="Times New Roman" w:cs="Times New Roman"/>
          <w:szCs w:val="24"/>
          <w:lang w:eastAsia="es-CO"/>
        </w:rPr>
        <w:t> del Estatuto Tributario, aplicando las limitaciones y excepciones que establece el mismo Estatuto. La tarifa del impuesto sobre la renta y complementario aplicable será la determinada en los artículos </w:t>
      </w:r>
      <w:hyperlink r:id="rId16" w:tooltip="Estatuto Tributario CETA" w:history="1">
        <w:r w:rsidRPr="00AD365B">
          <w:rPr>
            <w:rFonts w:eastAsia="Times New Roman" w:cs="Times New Roman"/>
            <w:szCs w:val="24"/>
            <w:lang w:eastAsia="es-CO"/>
          </w:rPr>
          <w:t>247 </w:t>
        </w:r>
      </w:hyperlink>
      <w:r w:rsidRPr="00AD365B">
        <w:rPr>
          <w:rFonts w:eastAsia="Times New Roman" w:cs="Times New Roman"/>
          <w:szCs w:val="24"/>
          <w:lang w:eastAsia="es-CO"/>
        </w:rPr>
        <w:t>y </w:t>
      </w:r>
      <w:hyperlink r:id="rId17" w:tooltip="Estatuto Tributario CETA" w:history="1">
        <w:r w:rsidRPr="00AD365B">
          <w:rPr>
            <w:rFonts w:eastAsia="Times New Roman" w:cs="Times New Roman"/>
            <w:szCs w:val="24"/>
            <w:lang w:eastAsia="es-CO"/>
          </w:rPr>
          <w:t>316</w:t>
        </w:r>
      </w:hyperlink>
      <w:r w:rsidRPr="00AD365B">
        <w:rPr>
          <w:rFonts w:eastAsia="Times New Roman" w:cs="Times New Roman"/>
          <w:szCs w:val="24"/>
          <w:lang w:eastAsia="es-CO"/>
        </w:rPr>
        <w:t> del Estatuto Tributario.</w:t>
      </w:r>
    </w:p>
    <w:p w14:paraId="52789FA6"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78918EE6"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Todo lo anterior, para indicar que el marco jurídico citado dispone que la tributación de las personas naturales no residentes debe efectuarse sobre una base depurada, es decir renta líquida gravable y no sobre el ingreso bruto. También manifiesta que no hay una restricción en el ordenamiento tributario para tomar las rentas exentas en la depuración del impuesto sobre la renta.</w:t>
      </w:r>
    </w:p>
    <w:p w14:paraId="03240778"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183F2817"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Sobre el particular, las consideraciones de este Despacho son las siguientes:</w:t>
      </w:r>
    </w:p>
    <w:p w14:paraId="49F1B540"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58C34040"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xml:space="preserve">El oficio número 025073 de 4 octubre de 2019 concluyó que no era posible que una persona natural no residente en el país, obligada a presentar declaración del impuesto sobre la renta, tome como renta exenta y factor de depuración de la base de retención en la fuente, los aportes a los fondos de pensión </w:t>
      </w:r>
      <w:proofErr w:type="spellStart"/>
      <w:r w:rsidRPr="00AD365B">
        <w:rPr>
          <w:rFonts w:eastAsia="Times New Roman" w:cs="Times New Roman"/>
          <w:szCs w:val="24"/>
          <w:lang w:eastAsia="es-CO"/>
        </w:rPr>
        <w:t>e</w:t>
      </w:r>
      <w:proofErr w:type="spellEnd"/>
      <w:r w:rsidRPr="00AD365B">
        <w:rPr>
          <w:rFonts w:eastAsia="Times New Roman" w:cs="Times New Roman"/>
          <w:szCs w:val="24"/>
          <w:lang w:eastAsia="es-CO"/>
        </w:rPr>
        <w:t xml:space="preserve"> invalidez y fondos de cesantías.</w:t>
      </w:r>
    </w:p>
    <w:p w14:paraId="5584B595"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5F370944"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Esta tesis jurídica tomó en consideración la forma como tributan las personas naturales no residentes, los criterios para determinar la residencia para efectos tributarios (artículos </w:t>
      </w:r>
      <w:hyperlink r:id="rId18" w:tooltip="Estatuto Tributario CETA" w:history="1">
        <w:r w:rsidRPr="00AD365B">
          <w:rPr>
            <w:rFonts w:eastAsia="Times New Roman" w:cs="Times New Roman"/>
            <w:szCs w:val="24"/>
            <w:lang w:eastAsia="es-CO"/>
          </w:rPr>
          <w:t>9</w:t>
        </w:r>
      </w:hyperlink>
      <w:r w:rsidRPr="00AD365B">
        <w:rPr>
          <w:rFonts w:eastAsia="Times New Roman" w:cs="Times New Roman"/>
          <w:szCs w:val="24"/>
          <w:lang w:eastAsia="es-CO"/>
        </w:rPr>
        <w:t> y </w:t>
      </w:r>
      <w:hyperlink r:id="rId19" w:tooltip="Estatuto Tributario CETA" w:history="1">
        <w:r w:rsidRPr="00AD365B">
          <w:rPr>
            <w:rFonts w:eastAsia="Times New Roman" w:cs="Times New Roman"/>
            <w:szCs w:val="24"/>
            <w:lang w:eastAsia="es-CO"/>
          </w:rPr>
          <w:t>10</w:t>
        </w:r>
      </w:hyperlink>
      <w:r w:rsidRPr="00AD365B">
        <w:rPr>
          <w:rFonts w:eastAsia="Times New Roman" w:cs="Times New Roman"/>
          <w:szCs w:val="24"/>
          <w:lang w:eastAsia="es-CO"/>
        </w:rPr>
        <w:t> del Estatuto Tributario) y la obligación de presentar declaración del impuesto sobre la renta. Esto último sobre la base de lo expuesto en el descriptor 3.1. del Concepto General Unificado 912 del 19 de julio de 2018, que analiza el contenido del </w:t>
      </w:r>
      <w:hyperlink r:id="rId20" w:tooltip="Estatuto Tributario CETA" w:history="1">
        <w:r w:rsidRPr="00AD365B">
          <w:rPr>
            <w:rFonts w:eastAsia="Times New Roman" w:cs="Times New Roman"/>
            <w:szCs w:val="24"/>
            <w:lang w:eastAsia="es-CO"/>
          </w:rPr>
          <w:t>artículo 592</w:t>
        </w:r>
      </w:hyperlink>
      <w:r w:rsidRPr="00AD365B">
        <w:rPr>
          <w:rFonts w:eastAsia="Times New Roman" w:cs="Times New Roman"/>
          <w:szCs w:val="24"/>
          <w:lang w:eastAsia="es-CO"/>
        </w:rPr>
        <w:t> del Estatuto Tributario, así como el sistema de determinación cedular aplicable a las personas naturales residentes.</w:t>
      </w:r>
    </w:p>
    <w:p w14:paraId="5D6B645F"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7BF67536"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Sobre esa base, dicho oficio concluyó que el sistema de determinación cedular solamente es aplicable a los residentes en el territorio nacional. Por lo tanto, y para efectos del impuesto sobre la renta de las personas naturales no residentes en el país, por expreso mandato legal, no es posible la depuración antes señalada, sin que esto signifique que no sea posible para los no residentes hacer aportes pensionales en el territorio nacional.</w:t>
      </w:r>
    </w:p>
    <w:p w14:paraId="38FB9D9E"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27DA79C3"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Frente a esta conclusión, el peticionario manifiesta que la tributación de las personas naturales no residentes debe efectuarse sobre una base depurada, es decir renta líquida gravable y no sobre el ingreso bruto.</w:t>
      </w:r>
    </w:p>
    <w:p w14:paraId="037DECA2"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10EBBE93"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Con el fin de establecer si procede o no la revocatoria del oficio, este Despacho considera necesario analizar y precisar varios aspectos en el presente oficio. En ese sentido, </w:t>
      </w:r>
      <w:r w:rsidRPr="00AD365B">
        <w:rPr>
          <w:rFonts w:eastAsia="Times New Roman" w:cs="Times New Roman"/>
          <w:szCs w:val="24"/>
          <w:u w:val="single"/>
          <w:lang w:eastAsia="es-CO"/>
        </w:rPr>
        <w:t>no </w:t>
      </w:r>
      <w:r w:rsidRPr="00AD365B">
        <w:rPr>
          <w:rFonts w:eastAsia="Times New Roman" w:cs="Times New Roman"/>
          <w:szCs w:val="24"/>
          <w:lang w:eastAsia="es-CO"/>
        </w:rPr>
        <w:t xml:space="preserve">puede afirmarse que </w:t>
      </w:r>
      <w:r w:rsidRPr="00AD365B">
        <w:rPr>
          <w:rFonts w:eastAsia="Times New Roman" w:cs="Times New Roman"/>
          <w:szCs w:val="24"/>
          <w:lang w:eastAsia="es-CO"/>
        </w:rPr>
        <w:lastRenderedPageBreak/>
        <w:t>todas las personas naturales no residentes tienen una tributación en Colombia sobre base depurada, aquí es oportuno diferenciar varios supuestos: (i) no residentes no obligados a presentar declaración y las retenciones en la fuente practicadas, (</w:t>
      </w:r>
      <w:proofErr w:type="spellStart"/>
      <w:r w:rsidRPr="00AD365B">
        <w:rPr>
          <w:rFonts w:eastAsia="Times New Roman" w:cs="Times New Roman"/>
          <w:szCs w:val="24"/>
          <w:lang w:eastAsia="es-CO"/>
        </w:rPr>
        <w:t>ii</w:t>
      </w:r>
      <w:proofErr w:type="spellEnd"/>
      <w:r w:rsidRPr="00AD365B">
        <w:rPr>
          <w:rFonts w:eastAsia="Times New Roman" w:cs="Times New Roman"/>
          <w:szCs w:val="24"/>
          <w:lang w:eastAsia="es-CO"/>
        </w:rPr>
        <w:t>) no residentes obligados a presentar declaración y las retenciones en la fuente practicadas.</w:t>
      </w:r>
    </w:p>
    <w:p w14:paraId="3EFAB7F6"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b/>
          <w:bCs/>
          <w:szCs w:val="24"/>
          <w:lang w:eastAsia="es-CO"/>
        </w:rPr>
        <w:t> </w:t>
      </w:r>
    </w:p>
    <w:p w14:paraId="337038CD" w14:textId="77777777" w:rsidR="00AD365B" w:rsidRPr="00AD365B" w:rsidRDefault="00AD365B" w:rsidP="00AD365B">
      <w:pPr>
        <w:spacing w:after="0" w:line="360" w:lineRule="auto"/>
        <w:ind w:left="284"/>
        <w:jc w:val="both"/>
        <w:rPr>
          <w:rFonts w:eastAsia="Times New Roman" w:cs="Times New Roman"/>
          <w:szCs w:val="24"/>
          <w:lang w:eastAsia="es-CO"/>
        </w:rPr>
      </w:pPr>
      <w:r w:rsidRPr="00AD365B">
        <w:rPr>
          <w:rFonts w:eastAsia="Times New Roman" w:cs="Times New Roman"/>
          <w:b/>
          <w:bCs/>
          <w:szCs w:val="24"/>
          <w:lang w:eastAsia="es-CO"/>
        </w:rPr>
        <w:t>(i) Personas naturales no residentes no obligados a presentar declaración y las retenciones en la fuente practicadas</w:t>
      </w:r>
    </w:p>
    <w:p w14:paraId="733FE18B"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74BC7FDD"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Para el primer supuesto, se reitera lo establecido en el </w:t>
      </w:r>
      <w:hyperlink r:id="rId21" w:tooltip="Estatuto Tributario CETA" w:history="1">
        <w:r w:rsidRPr="00AD365B">
          <w:rPr>
            <w:rFonts w:eastAsia="Times New Roman" w:cs="Times New Roman"/>
            <w:szCs w:val="24"/>
            <w:lang w:eastAsia="es-CO"/>
          </w:rPr>
          <w:t>artículo 9</w:t>
        </w:r>
      </w:hyperlink>
      <w:r w:rsidRPr="00AD365B">
        <w:rPr>
          <w:rFonts w:eastAsia="Times New Roman" w:cs="Times New Roman"/>
          <w:szCs w:val="24"/>
          <w:lang w:eastAsia="es-CO"/>
        </w:rPr>
        <w:t> del Estatuto Tributario sobre las personas naturales que no tengan residencia en el país y las sucesiones ilíquidas de causantes sin residencia en el país, en el sentido que solo están sujetas al impuesto sobre la renta y complementarios respecto a sus rentas y ganancias ocasionales de fuente nacional y respecto de su patrimonio poseído en el país.</w:t>
      </w:r>
    </w:p>
    <w:p w14:paraId="7E82308D"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638D8762" w14:textId="77777777" w:rsidR="00AD365B" w:rsidRPr="003A6178" w:rsidRDefault="00AD365B" w:rsidP="00AD365B">
      <w:pPr>
        <w:spacing w:after="0" w:line="360" w:lineRule="auto"/>
        <w:jc w:val="both"/>
        <w:rPr>
          <w:rFonts w:eastAsia="Times New Roman" w:cs="Times New Roman"/>
          <w:b/>
          <w:bCs/>
          <w:szCs w:val="24"/>
          <w:lang w:eastAsia="es-CO"/>
        </w:rPr>
      </w:pPr>
      <w:r w:rsidRPr="00AD365B">
        <w:rPr>
          <w:rFonts w:eastAsia="Times New Roman" w:cs="Times New Roman"/>
          <w:szCs w:val="24"/>
          <w:lang w:eastAsia="es-CO"/>
        </w:rPr>
        <w:t>También es importante mencionar que sobre lo establecido en el </w:t>
      </w:r>
      <w:hyperlink r:id="rId22" w:tooltip="Estatuto Tributario CETA" w:history="1">
        <w:r w:rsidRPr="00AD365B">
          <w:rPr>
            <w:rFonts w:eastAsia="Times New Roman" w:cs="Times New Roman"/>
            <w:szCs w:val="24"/>
            <w:lang w:eastAsia="es-CO"/>
          </w:rPr>
          <w:t>artículo 592</w:t>
        </w:r>
      </w:hyperlink>
      <w:r w:rsidRPr="00AD365B">
        <w:rPr>
          <w:rFonts w:eastAsia="Times New Roman" w:cs="Times New Roman"/>
          <w:szCs w:val="24"/>
          <w:lang w:eastAsia="es-CO"/>
        </w:rPr>
        <w:t xml:space="preserve"> del Estatuto Tributario, el descriptor 3.1. del Concepto General Unificado 912 del 19 de julio de 2018, modificado por el Concepto 1364 de 2018, </w:t>
      </w:r>
      <w:r w:rsidRPr="003A6178">
        <w:rPr>
          <w:rFonts w:eastAsia="Times New Roman" w:cs="Times New Roman"/>
          <w:b/>
          <w:bCs/>
          <w:szCs w:val="24"/>
          <w:highlight w:val="green"/>
          <w:lang w:eastAsia="es-CO"/>
        </w:rPr>
        <w:t>interpreta que no serán responsables de presentar la declaración de renta, las personas naturales no residentes en el territorio nacional, en los siguientes casos:</w:t>
      </w:r>
    </w:p>
    <w:p w14:paraId="478FA5AD"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6CD3A6FA" w14:textId="6B136E73" w:rsidR="00AD365B" w:rsidRDefault="00AD365B" w:rsidP="00AD365B">
      <w:pPr>
        <w:spacing w:after="0" w:line="360" w:lineRule="auto"/>
        <w:ind w:left="284"/>
        <w:jc w:val="both"/>
        <w:rPr>
          <w:rFonts w:eastAsia="Times New Roman" w:cs="Times New Roman"/>
          <w:szCs w:val="24"/>
          <w:lang w:eastAsia="es-CO"/>
        </w:rPr>
      </w:pPr>
      <w:r w:rsidRPr="00AD365B">
        <w:rPr>
          <w:rFonts w:eastAsia="Times New Roman" w:cs="Times New Roman"/>
          <w:szCs w:val="24"/>
          <w:lang w:eastAsia="es-CO"/>
        </w:rPr>
        <w:t>1. Poseer patrimonio y haber obtenido en el respectivo año gravable ingresos en el país sobre los cuales se haya practicado retención en la fuente según los conceptos previstos en los artículos 407 a 411 del Estatuto Tributario.</w:t>
      </w:r>
    </w:p>
    <w:p w14:paraId="638123BE" w14:textId="77777777" w:rsidR="003A6178" w:rsidRPr="00AD365B" w:rsidRDefault="003A6178" w:rsidP="00AD365B">
      <w:pPr>
        <w:spacing w:after="0" w:line="360" w:lineRule="auto"/>
        <w:ind w:left="284"/>
        <w:jc w:val="both"/>
        <w:rPr>
          <w:rFonts w:eastAsia="Times New Roman" w:cs="Times New Roman"/>
          <w:szCs w:val="24"/>
          <w:lang w:eastAsia="es-CO"/>
        </w:rPr>
      </w:pPr>
    </w:p>
    <w:p w14:paraId="0EB9A974" w14:textId="708E3807" w:rsidR="00AD365B" w:rsidRDefault="00AD365B" w:rsidP="00AD365B">
      <w:pPr>
        <w:spacing w:after="0" w:line="360" w:lineRule="auto"/>
        <w:ind w:left="284"/>
        <w:jc w:val="both"/>
        <w:rPr>
          <w:rFonts w:eastAsia="Times New Roman" w:cs="Times New Roman"/>
          <w:szCs w:val="24"/>
          <w:lang w:eastAsia="es-CO"/>
        </w:rPr>
      </w:pPr>
      <w:r w:rsidRPr="00AD365B">
        <w:rPr>
          <w:rFonts w:eastAsia="Times New Roman" w:cs="Times New Roman"/>
          <w:szCs w:val="24"/>
          <w:lang w:eastAsia="es-CO"/>
        </w:rPr>
        <w:t>2. Poseer patrimonio y no haber obtenido ingresos en el país.</w:t>
      </w:r>
    </w:p>
    <w:p w14:paraId="1B084E32" w14:textId="77777777" w:rsidR="003A6178" w:rsidRPr="00AD365B" w:rsidRDefault="003A6178" w:rsidP="00AD365B">
      <w:pPr>
        <w:spacing w:after="0" w:line="360" w:lineRule="auto"/>
        <w:ind w:left="284"/>
        <w:jc w:val="both"/>
        <w:rPr>
          <w:rFonts w:eastAsia="Times New Roman" w:cs="Times New Roman"/>
          <w:szCs w:val="24"/>
          <w:lang w:eastAsia="es-CO"/>
        </w:rPr>
      </w:pPr>
    </w:p>
    <w:p w14:paraId="03A67886" w14:textId="28AC8C23" w:rsidR="00AD365B" w:rsidRDefault="00AD365B" w:rsidP="00AD365B">
      <w:pPr>
        <w:spacing w:after="0" w:line="360" w:lineRule="auto"/>
        <w:ind w:left="284"/>
        <w:jc w:val="both"/>
        <w:rPr>
          <w:rFonts w:eastAsia="Times New Roman" w:cs="Times New Roman"/>
          <w:szCs w:val="24"/>
          <w:lang w:eastAsia="es-CO"/>
        </w:rPr>
      </w:pPr>
      <w:r w:rsidRPr="00AD365B">
        <w:rPr>
          <w:rFonts w:eastAsia="Times New Roman" w:cs="Times New Roman"/>
          <w:szCs w:val="24"/>
          <w:lang w:eastAsia="es-CO"/>
        </w:rPr>
        <w:t>3. No poseer patrimonio en el país y haber obtenido en el respectivo año gravable ingresos en el país sobre los cuales se haya practicado retención en la fuente prevista según los conceptos previstos en los artículos 407 a 411 del Estatuto Tributario en su totalidad.</w:t>
      </w:r>
    </w:p>
    <w:p w14:paraId="7E88E87D" w14:textId="77777777" w:rsidR="003A6178" w:rsidRPr="00AD365B" w:rsidRDefault="003A6178" w:rsidP="00AD365B">
      <w:pPr>
        <w:spacing w:after="0" w:line="360" w:lineRule="auto"/>
        <w:ind w:left="284"/>
        <w:jc w:val="both"/>
        <w:rPr>
          <w:rFonts w:eastAsia="Times New Roman" w:cs="Times New Roman"/>
          <w:szCs w:val="24"/>
          <w:lang w:eastAsia="es-CO"/>
        </w:rPr>
      </w:pPr>
    </w:p>
    <w:p w14:paraId="246A54B2" w14:textId="77777777" w:rsidR="00AD365B" w:rsidRPr="00AD365B" w:rsidRDefault="00AD365B" w:rsidP="00AD365B">
      <w:pPr>
        <w:spacing w:after="0" w:line="360" w:lineRule="auto"/>
        <w:ind w:left="284"/>
        <w:jc w:val="both"/>
        <w:rPr>
          <w:rFonts w:eastAsia="Times New Roman" w:cs="Times New Roman"/>
          <w:szCs w:val="24"/>
          <w:lang w:eastAsia="es-CO"/>
        </w:rPr>
      </w:pPr>
      <w:r w:rsidRPr="00AD365B">
        <w:rPr>
          <w:rFonts w:eastAsia="Times New Roman" w:cs="Times New Roman"/>
          <w:szCs w:val="24"/>
          <w:lang w:eastAsia="es-CO"/>
        </w:rPr>
        <w:t>4. Lo anterior siempre y cuando no se configuren los supuestos de hecho previstos en los artículos </w:t>
      </w:r>
      <w:hyperlink r:id="rId23" w:tooltip="Estatuto Tributario CETA" w:history="1">
        <w:r w:rsidRPr="00AD365B">
          <w:rPr>
            <w:rFonts w:eastAsia="Times New Roman" w:cs="Times New Roman"/>
            <w:szCs w:val="24"/>
            <w:lang w:eastAsia="es-CO"/>
          </w:rPr>
          <w:t>20-1</w:t>
        </w:r>
      </w:hyperlink>
      <w:r w:rsidRPr="00AD365B">
        <w:rPr>
          <w:rFonts w:eastAsia="Times New Roman" w:cs="Times New Roman"/>
          <w:szCs w:val="24"/>
          <w:lang w:eastAsia="es-CO"/>
        </w:rPr>
        <w:t> y </w:t>
      </w:r>
      <w:hyperlink r:id="rId24" w:tooltip="Estatuto Tributario CETA" w:history="1">
        <w:r w:rsidRPr="00AD365B">
          <w:rPr>
            <w:rFonts w:eastAsia="Times New Roman" w:cs="Times New Roman"/>
            <w:szCs w:val="24"/>
            <w:lang w:eastAsia="es-CO"/>
          </w:rPr>
          <w:t>20-2</w:t>
        </w:r>
      </w:hyperlink>
      <w:r w:rsidRPr="00AD365B">
        <w:rPr>
          <w:rFonts w:eastAsia="Times New Roman" w:cs="Times New Roman"/>
          <w:szCs w:val="24"/>
          <w:lang w:eastAsia="es-CO"/>
        </w:rPr>
        <w:t> del Estatuto Tributario en relación con los establecimientos permanentes.</w:t>
      </w:r>
    </w:p>
    <w:p w14:paraId="1E3FE3FE"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141A4B03"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Los artículos 407 a 411 del Estatuto Tributario contienen las tarifas de retención en la fuente, aplicables a los ingresos sujetos al impuesto de renta en Colombia, a favor de: (i) sociedades u otras entidades extranjeras sin domicilio en el país; (</w:t>
      </w:r>
      <w:proofErr w:type="spellStart"/>
      <w:r w:rsidRPr="00AD365B">
        <w:rPr>
          <w:rFonts w:eastAsia="Times New Roman" w:cs="Times New Roman"/>
          <w:szCs w:val="24"/>
          <w:lang w:eastAsia="es-CO"/>
        </w:rPr>
        <w:t>ii</w:t>
      </w:r>
      <w:proofErr w:type="spellEnd"/>
      <w:r w:rsidRPr="00AD365B">
        <w:rPr>
          <w:rFonts w:eastAsia="Times New Roman" w:cs="Times New Roman"/>
          <w:szCs w:val="24"/>
          <w:lang w:eastAsia="es-CO"/>
        </w:rPr>
        <w:t>) </w:t>
      </w:r>
      <w:r w:rsidRPr="00AD365B">
        <w:rPr>
          <w:rFonts w:eastAsia="Times New Roman" w:cs="Times New Roman"/>
          <w:b/>
          <w:bCs/>
          <w:szCs w:val="24"/>
          <w:lang w:eastAsia="es-CO"/>
        </w:rPr>
        <w:t>personas naturales extranjeras sin residencia en Colombia, </w:t>
      </w:r>
      <w:r w:rsidRPr="00AD365B">
        <w:rPr>
          <w:rFonts w:eastAsia="Times New Roman" w:cs="Times New Roman"/>
          <w:b/>
          <w:bCs/>
          <w:szCs w:val="24"/>
          <w:u w:val="single"/>
          <w:lang w:eastAsia="es-CO"/>
        </w:rPr>
        <w:t>incluyendo la tarifa de rentas de trabajo </w:t>
      </w:r>
      <w:r w:rsidRPr="00AD365B">
        <w:rPr>
          <w:rFonts w:eastAsia="Times New Roman" w:cs="Times New Roman"/>
          <w:szCs w:val="24"/>
          <w:lang w:eastAsia="es-CO"/>
        </w:rPr>
        <w:t>y (</w:t>
      </w:r>
      <w:proofErr w:type="spellStart"/>
      <w:r w:rsidRPr="00AD365B">
        <w:rPr>
          <w:rFonts w:eastAsia="Times New Roman" w:cs="Times New Roman"/>
          <w:szCs w:val="24"/>
          <w:lang w:eastAsia="es-CO"/>
        </w:rPr>
        <w:t>iii</w:t>
      </w:r>
      <w:proofErr w:type="spellEnd"/>
      <w:r w:rsidRPr="00AD365B">
        <w:rPr>
          <w:rFonts w:eastAsia="Times New Roman" w:cs="Times New Roman"/>
          <w:szCs w:val="24"/>
          <w:lang w:eastAsia="es-CO"/>
        </w:rPr>
        <w:t>) sucesiones ilíquidas de extranjeros que no eran residentes en Colombia.</w:t>
      </w:r>
    </w:p>
    <w:p w14:paraId="4FBC6D5C"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0ABC2FE7"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Estas retenciones se aplican sobre el pago o abono en cuenta y no admiten una base depurada.</w:t>
      </w:r>
    </w:p>
    <w:p w14:paraId="70865D59"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lastRenderedPageBreak/>
        <w:t> </w:t>
      </w:r>
    </w:p>
    <w:p w14:paraId="6DB81484"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Así las cosas, en caso de cumplir los supuestos antes mencionados en relación con la no obligatoriedad de la presentación de la declaración, el impuesto sobre la renta y complementarios a cargo de estos contribuyentes será el que resulte de estas retenciones en la fuente practicadas.</w:t>
      </w:r>
    </w:p>
    <w:p w14:paraId="49F80F74"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b/>
          <w:bCs/>
          <w:szCs w:val="24"/>
          <w:lang w:eastAsia="es-CO"/>
        </w:rPr>
        <w:t> </w:t>
      </w:r>
    </w:p>
    <w:p w14:paraId="4C75A696" w14:textId="77777777" w:rsidR="00AD365B" w:rsidRPr="00AD365B" w:rsidRDefault="00AD365B" w:rsidP="00AD365B">
      <w:pPr>
        <w:spacing w:after="0" w:line="360" w:lineRule="auto"/>
        <w:ind w:left="284"/>
        <w:jc w:val="both"/>
        <w:rPr>
          <w:rFonts w:eastAsia="Times New Roman" w:cs="Times New Roman"/>
          <w:szCs w:val="24"/>
          <w:lang w:eastAsia="es-CO"/>
        </w:rPr>
      </w:pPr>
      <w:r w:rsidRPr="00AD365B">
        <w:rPr>
          <w:rFonts w:eastAsia="Times New Roman" w:cs="Times New Roman"/>
          <w:b/>
          <w:bCs/>
          <w:szCs w:val="24"/>
          <w:lang w:eastAsia="es-CO"/>
        </w:rPr>
        <w:t>(</w:t>
      </w:r>
      <w:proofErr w:type="spellStart"/>
      <w:r w:rsidRPr="00AD365B">
        <w:rPr>
          <w:rFonts w:eastAsia="Times New Roman" w:cs="Times New Roman"/>
          <w:b/>
          <w:bCs/>
          <w:szCs w:val="24"/>
          <w:lang w:eastAsia="es-CO"/>
        </w:rPr>
        <w:t>ii</w:t>
      </w:r>
      <w:proofErr w:type="spellEnd"/>
      <w:r w:rsidRPr="00AD365B">
        <w:rPr>
          <w:rFonts w:eastAsia="Times New Roman" w:cs="Times New Roman"/>
          <w:b/>
          <w:bCs/>
          <w:szCs w:val="24"/>
          <w:lang w:eastAsia="es-CO"/>
        </w:rPr>
        <w:t>) No residentes obligados a presentar declaración y las retenciones en la fuente practicadas</w:t>
      </w:r>
    </w:p>
    <w:p w14:paraId="5884B357"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75E0EB31"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Aquí también es importante considerar lo establecido en el </w:t>
      </w:r>
      <w:hyperlink r:id="rId25" w:tooltip="Estatuto Tributario CETA" w:history="1">
        <w:r w:rsidRPr="00AD365B">
          <w:rPr>
            <w:rFonts w:eastAsia="Times New Roman" w:cs="Times New Roman"/>
            <w:szCs w:val="24"/>
            <w:lang w:eastAsia="es-CO"/>
          </w:rPr>
          <w:t>artículo 9</w:t>
        </w:r>
      </w:hyperlink>
      <w:r w:rsidRPr="00AD365B">
        <w:rPr>
          <w:rFonts w:eastAsia="Times New Roman" w:cs="Times New Roman"/>
          <w:szCs w:val="24"/>
          <w:lang w:eastAsia="es-CO"/>
        </w:rPr>
        <w:t> del Estatuto Tributario, sobre las personas naturales no residentes y la forma como tributan, explicado en el punto (i) de este oficio.</w:t>
      </w:r>
    </w:p>
    <w:p w14:paraId="50ABA7CB"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6450ED49"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En el caso de encontrarse obligados a la presentación de la declaración, el numeral 2 del artículo 1.2.1.20.1. del Decreto número 1625 de 2016, sobre la determinación de la renta líquida gravable y la tarifa aplicable, establece:</w:t>
      </w:r>
    </w:p>
    <w:p w14:paraId="0FAC01DC"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54CFFD75" w14:textId="77777777" w:rsidR="00AD365B" w:rsidRPr="00AD365B" w:rsidRDefault="00AD365B" w:rsidP="00AD365B">
      <w:pPr>
        <w:spacing w:after="0" w:line="360" w:lineRule="auto"/>
        <w:ind w:left="284"/>
        <w:jc w:val="both"/>
        <w:rPr>
          <w:rFonts w:eastAsia="Times New Roman" w:cs="Times New Roman"/>
          <w:szCs w:val="24"/>
          <w:lang w:eastAsia="es-CO"/>
        </w:rPr>
      </w:pPr>
      <w:r w:rsidRPr="00AD365B">
        <w:rPr>
          <w:rFonts w:eastAsia="Times New Roman" w:cs="Times New Roman"/>
          <w:szCs w:val="24"/>
          <w:lang w:eastAsia="es-CO"/>
        </w:rPr>
        <w:t>“</w:t>
      </w:r>
      <w:r w:rsidRPr="00AD365B">
        <w:rPr>
          <w:rFonts w:eastAsia="Times New Roman" w:cs="Times New Roman"/>
          <w:i/>
          <w:iCs/>
          <w:szCs w:val="24"/>
          <w:lang w:eastAsia="es-CO"/>
        </w:rPr>
        <w:t>(…) y determinarán su renta líquida gravable </w:t>
      </w:r>
      <w:r w:rsidRPr="00AD365B">
        <w:rPr>
          <w:rFonts w:eastAsia="Times New Roman" w:cs="Times New Roman"/>
          <w:b/>
          <w:bCs/>
          <w:i/>
          <w:iCs/>
          <w:szCs w:val="24"/>
          <w:lang w:eastAsia="es-CO"/>
        </w:rPr>
        <w:t>de conformidad con el </w:t>
      </w:r>
      <w:hyperlink r:id="rId26" w:tooltip="Estatuto Tributario CETA" w:history="1">
        <w:r w:rsidRPr="00AD365B">
          <w:rPr>
            <w:rFonts w:eastAsia="Times New Roman" w:cs="Times New Roman"/>
            <w:b/>
            <w:bCs/>
            <w:i/>
            <w:iCs/>
            <w:szCs w:val="24"/>
            <w:lang w:eastAsia="es-CO"/>
          </w:rPr>
          <w:t>artículo 26</w:t>
        </w:r>
      </w:hyperlink>
      <w:r w:rsidRPr="00AD365B">
        <w:rPr>
          <w:rFonts w:eastAsia="Times New Roman" w:cs="Times New Roman"/>
          <w:b/>
          <w:bCs/>
          <w:i/>
          <w:iCs/>
          <w:szCs w:val="24"/>
          <w:lang w:eastAsia="es-CO"/>
        </w:rPr>
        <w:t> del Estatuto Tributario, aplicando las limitaciones y excepciones que establece el mismo Estatuto</w:t>
      </w:r>
      <w:r w:rsidRPr="00AD365B">
        <w:rPr>
          <w:rFonts w:eastAsia="Times New Roman" w:cs="Times New Roman"/>
          <w:i/>
          <w:iCs/>
          <w:szCs w:val="24"/>
          <w:lang w:eastAsia="es-CO"/>
        </w:rPr>
        <w:t>. La tarifa del impuesto sobre la renta y complementario aplicable será la determinada en los artículos </w:t>
      </w:r>
      <w:hyperlink r:id="rId27" w:tooltip="Estatuto Tributario CETA" w:history="1">
        <w:r w:rsidRPr="00AD365B">
          <w:rPr>
            <w:rFonts w:eastAsia="Times New Roman" w:cs="Times New Roman"/>
            <w:i/>
            <w:iCs/>
            <w:szCs w:val="24"/>
            <w:lang w:eastAsia="es-CO"/>
          </w:rPr>
          <w:t>247</w:t>
        </w:r>
      </w:hyperlink>
      <w:r w:rsidRPr="00AD365B">
        <w:rPr>
          <w:rFonts w:eastAsia="Times New Roman" w:cs="Times New Roman"/>
          <w:i/>
          <w:iCs/>
          <w:szCs w:val="24"/>
          <w:lang w:eastAsia="es-CO"/>
        </w:rPr>
        <w:t> y </w:t>
      </w:r>
      <w:hyperlink r:id="rId28" w:tooltip="Estatuto Tributario CETA" w:history="1">
        <w:r w:rsidRPr="00AD365B">
          <w:rPr>
            <w:rFonts w:eastAsia="Times New Roman" w:cs="Times New Roman"/>
            <w:i/>
            <w:iCs/>
            <w:szCs w:val="24"/>
            <w:lang w:eastAsia="es-CO"/>
          </w:rPr>
          <w:t>316</w:t>
        </w:r>
      </w:hyperlink>
      <w:r w:rsidRPr="00AD365B">
        <w:rPr>
          <w:rFonts w:eastAsia="Times New Roman" w:cs="Times New Roman"/>
          <w:i/>
          <w:iCs/>
          <w:szCs w:val="24"/>
          <w:lang w:eastAsia="es-CO"/>
        </w:rPr>
        <w:t> del Estatuto Tributario</w:t>
      </w:r>
      <w:r w:rsidRPr="00AD365B">
        <w:rPr>
          <w:rFonts w:eastAsia="Times New Roman" w:cs="Times New Roman"/>
          <w:szCs w:val="24"/>
          <w:lang w:eastAsia="es-CO"/>
        </w:rPr>
        <w:t>”. (Negrilla fuera del texto).</w:t>
      </w:r>
    </w:p>
    <w:p w14:paraId="4A3B559C"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61500EEC"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La precisión realizada por la reglamentación es fundamental para efectos del presente problema jurídico, pues en la depuración del impuesto sobre la renta a cargo de las personas naturales no residentes obligadas a presentar declaración, deberá aplicarse el </w:t>
      </w:r>
      <w:hyperlink r:id="rId29" w:tooltip="Estatuto Tributario CETA" w:history="1">
        <w:r w:rsidRPr="00AD365B">
          <w:rPr>
            <w:rFonts w:eastAsia="Times New Roman" w:cs="Times New Roman"/>
            <w:szCs w:val="24"/>
            <w:lang w:eastAsia="es-CO"/>
          </w:rPr>
          <w:t>artículo 26</w:t>
        </w:r>
      </w:hyperlink>
      <w:r w:rsidRPr="00AD365B">
        <w:rPr>
          <w:rFonts w:eastAsia="Times New Roman" w:cs="Times New Roman"/>
          <w:szCs w:val="24"/>
          <w:lang w:eastAsia="es-CO"/>
        </w:rPr>
        <w:t> del Estatuto Tributario, con las limitaciones y excepciones que se establecen en este.</w:t>
      </w:r>
    </w:p>
    <w:p w14:paraId="575957FD"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1991601A"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El </w:t>
      </w:r>
      <w:hyperlink r:id="rId30" w:tooltip="Estatuto Tributario CETA" w:history="1">
        <w:r w:rsidRPr="00AD365B">
          <w:rPr>
            <w:rFonts w:eastAsia="Times New Roman" w:cs="Times New Roman"/>
            <w:szCs w:val="24"/>
            <w:lang w:eastAsia="es-CO"/>
          </w:rPr>
          <w:t>artículo 26</w:t>
        </w:r>
      </w:hyperlink>
      <w:r w:rsidRPr="00AD365B">
        <w:rPr>
          <w:rFonts w:eastAsia="Times New Roman" w:cs="Times New Roman"/>
          <w:szCs w:val="24"/>
          <w:lang w:eastAsia="es-CO"/>
        </w:rPr>
        <w:t> del Estatuto Tributario establece:</w:t>
      </w:r>
    </w:p>
    <w:p w14:paraId="79207B17"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6E1F23A7" w14:textId="77777777" w:rsidR="00AD365B" w:rsidRPr="00AD365B" w:rsidRDefault="00AD365B" w:rsidP="00AD365B">
      <w:pPr>
        <w:spacing w:after="0" w:line="360" w:lineRule="auto"/>
        <w:ind w:left="284"/>
        <w:jc w:val="both"/>
        <w:rPr>
          <w:rFonts w:eastAsia="Times New Roman" w:cs="Times New Roman"/>
          <w:szCs w:val="24"/>
          <w:lang w:eastAsia="es-CO"/>
        </w:rPr>
      </w:pPr>
      <w:r w:rsidRPr="00AD365B">
        <w:rPr>
          <w:rFonts w:eastAsia="Times New Roman" w:cs="Times New Roman"/>
          <w:szCs w:val="24"/>
          <w:lang w:eastAsia="es-CO"/>
        </w:rPr>
        <w:t>“</w:t>
      </w:r>
      <w:hyperlink r:id="rId31" w:tooltip="Estatuto Tributario CETA" w:history="1">
        <w:r w:rsidRPr="00AD365B">
          <w:rPr>
            <w:rFonts w:eastAsia="Times New Roman" w:cs="Times New Roman"/>
            <w:b/>
            <w:bCs/>
            <w:i/>
            <w:iCs/>
            <w:szCs w:val="24"/>
            <w:lang w:eastAsia="es-CO"/>
          </w:rPr>
          <w:t>Artículo 26</w:t>
        </w:r>
      </w:hyperlink>
      <w:r w:rsidRPr="00AD365B">
        <w:rPr>
          <w:rFonts w:eastAsia="Times New Roman" w:cs="Times New Roman"/>
          <w:b/>
          <w:bCs/>
          <w:i/>
          <w:iCs/>
          <w:szCs w:val="24"/>
          <w:lang w:eastAsia="es-CO"/>
        </w:rPr>
        <w:t>.</w:t>
      </w:r>
      <w:r w:rsidRPr="00AD365B">
        <w:rPr>
          <w:rFonts w:eastAsia="Times New Roman" w:cs="Times New Roman"/>
          <w:i/>
          <w:iCs/>
          <w:szCs w:val="24"/>
          <w:lang w:eastAsia="es-CO"/>
        </w:rPr>
        <w:t> Los ingresos son base de la renta líquida. La renta líquida gravable se determina así: de la suma de todos los ingresos ordinarios y extraordinarios realizados en el año o período gravable, que sean susceptibles de producir un incremento neto del patrimonio en el momento de su percepción, y que no hayan sido expresamente exceptuados, se restan las devoluciones, rebajas y descuentos, con lo cual se obtienen los ingresos netos. De los ingresos netos se restan, cuando sea el caso, los costos realizados imputables a tales ingresos, con lo cual se obtiene la renta bruta. </w:t>
      </w:r>
      <w:r w:rsidRPr="00AD365B">
        <w:rPr>
          <w:rFonts w:eastAsia="Times New Roman" w:cs="Times New Roman"/>
          <w:b/>
          <w:bCs/>
          <w:i/>
          <w:iCs/>
          <w:szCs w:val="24"/>
          <w:lang w:eastAsia="es-CO"/>
        </w:rPr>
        <w:t>De la renta bruta se restan las deducciones realizadas, con lo cual se obtiene la renta líquida. Salvo las excepciones legales, la renta líquida es renta gravable y a ella se aplican las tarifas señaladas en la ley</w:t>
      </w:r>
      <w:r w:rsidRPr="00AD365B">
        <w:rPr>
          <w:rFonts w:eastAsia="Times New Roman" w:cs="Times New Roman"/>
          <w:szCs w:val="24"/>
          <w:lang w:eastAsia="es-CO"/>
        </w:rPr>
        <w:t>”. (Negrilla fuera del texto).</w:t>
      </w:r>
    </w:p>
    <w:p w14:paraId="3BA7B913" w14:textId="77777777" w:rsidR="00AD365B" w:rsidRPr="00AD365B" w:rsidRDefault="00AD365B" w:rsidP="00AD365B">
      <w:pPr>
        <w:spacing w:after="0" w:line="360" w:lineRule="auto"/>
        <w:ind w:left="284"/>
        <w:jc w:val="both"/>
        <w:rPr>
          <w:rFonts w:eastAsia="Times New Roman" w:cs="Times New Roman"/>
          <w:szCs w:val="24"/>
          <w:lang w:eastAsia="es-CO"/>
        </w:rPr>
      </w:pPr>
      <w:r w:rsidRPr="00AD365B">
        <w:rPr>
          <w:rFonts w:eastAsia="Times New Roman" w:cs="Times New Roman"/>
          <w:szCs w:val="24"/>
          <w:lang w:eastAsia="es-CO"/>
        </w:rPr>
        <w:t> </w:t>
      </w:r>
    </w:p>
    <w:p w14:paraId="2C73EE09"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Este artículo se debe interpretar en armonía con el </w:t>
      </w:r>
      <w:hyperlink r:id="rId32" w:tooltip="Estatuto Tributario CETA" w:history="1">
        <w:r w:rsidRPr="00AD365B">
          <w:rPr>
            <w:rFonts w:eastAsia="Times New Roman" w:cs="Times New Roman"/>
            <w:szCs w:val="24"/>
            <w:lang w:eastAsia="es-CO"/>
          </w:rPr>
          <w:t>artículo 178</w:t>
        </w:r>
      </w:hyperlink>
      <w:r w:rsidRPr="00AD365B">
        <w:rPr>
          <w:rFonts w:eastAsia="Times New Roman" w:cs="Times New Roman"/>
          <w:szCs w:val="24"/>
          <w:lang w:eastAsia="es-CO"/>
        </w:rPr>
        <w:t> del Estatuto Tributario, que sobre la renta líquida gravable señala:</w:t>
      </w:r>
    </w:p>
    <w:p w14:paraId="767FAAD4"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lastRenderedPageBreak/>
        <w:t> </w:t>
      </w:r>
    </w:p>
    <w:p w14:paraId="1AC985DF" w14:textId="77777777" w:rsidR="00AD365B" w:rsidRPr="00AD365B" w:rsidRDefault="00AD365B" w:rsidP="00AD365B">
      <w:pPr>
        <w:spacing w:after="0" w:line="360" w:lineRule="auto"/>
        <w:ind w:left="284"/>
        <w:jc w:val="both"/>
        <w:rPr>
          <w:rFonts w:eastAsia="Times New Roman" w:cs="Times New Roman"/>
          <w:szCs w:val="24"/>
          <w:lang w:eastAsia="es-CO"/>
        </w:rPr>
      </w:pPr>
      <w:r w:rsidRPr="003A6178">
        <w:rPr>
          <w:rFonts w:eastAsia="Times New Roman" w:cs="Times New Roman"/>
          <w:szCs w:val="24"/>
          <w:highlight w:val="green"/>
          <w:lang w:eastAsia="es-CO"/>
        </w:rPr>
        <w:t>“</w:t>
      </w:r>
      <w:hyperlink r:id="rId33" w:tooltip="Estatuto Tributario CETA" w:history="1">
        <w:r w:rsidRPr="003A6178">
          <w:rPr>
            <w:rFonts w:eastAsia="Times New Roman" w:cs="Times New Roman"/>
            <w:b/>
            <w:bCs/>
            <w:i/>
            <w:iCs/>
            <w:szCs w:val="24"/>
            <w:highlight w:val="green"/>
            <w:lang w:eastAsia="es-CO"/>
          </w:rPr>
          <w:t>Artículo 178</w:t>
        </w:r>
      </w:hyperlink>
      <w:r w:rsidRPr="003A6178">
        <w:rPr>
          <w:rFonts w:eastAsia="Times New Roman" w:cs="Times New Roman"/>
          <w:b/>
          <w:bCs/>
          <w:i/>
          <w:iCs/>
          <w:szCs w:val="24"/>
          <w:highlight w:val="green"/>
          <w:lang w:eastAsia="es-CO"/>
        </w:rPr>
        <w:t>.</w:t>
      </w:r>
      <w:r w:rsidRPr="003A6178">
        <w:rPr>
          <w:rFonts w:eastAsia="Times New Roman" w:cs="Times New Roman"/>
          <w:i/>
          <w:iCs/>
          <w:szCs w:val="24"/>
          <w:highlight w:val="green"/>
          <w:lang w:eastAsia="es-CO"/>
        </w:rPr>
        <w:t> Determinación de la renta líquida. La renta líquida está constituida por la renta bruta menos las deducciones que tengan relación de causalidad con las actividades productoras de renta.</w:t>
      </w:r>
    </w:p>
    <w:p w14:paraId="4021836B" w14:textId="77777777" w:rsidR="00AD365B" w:rsidRPr="00AD365B" w:rsidRDefault="00AD365B" w:rsidP="00AD365B">
      <w:pPr>
        <w:spacing w:after="0" w:line="360" w:lineRule="auto"/>
        <w:ind w:left="284"/>
        <w:jc w:val="both"/>
        <w:rPr>
          <w:rFonts w:eastAsia="Times New Roman" w:cs="Times New Roman"/>
          <w:szCs w:val="24"/>
          <w:lang w:eastAsia="es-CO"/>
        </w:rPr>
      </w:pPr>
      <w:r w:rsidRPr="00AD365B">
        <w:rPr>
          <w:rFonts w:eastAsia="Times New Roman" w:cs="Times New Roman"/>
          <w:i/>
          <w:iCs/>
          <w:szCs w:val="24"/>
          <w:lang w:eastAsia="es-CO"/>
        </w:rPr>
        <w:t> </w:t>
      </w:r>
    </w:p>
    <w:p w14:paraId="60BB7DAE" w14:textId="77777777" w:rsidR="00AD365B" w:rsidRPr="00AD365B" w:rsidRDefault="00AD365B" w:rsidP="00AD365B">
      <w:pPr>
        <w:spacing w:after="0" w:line="360" w:lineRule="auto"/>
        <w:ind w:left="284"/>
        <w:jc w:val="both"/>
        <w:rPr>
          <w:rFonts w:eastAsia="Times New Roman" w:cs="Times New Roman"/>
          <w:szCs w:val="24"/>
          <w:lang w:eastAsia="es-CO"/>
        </w:rPr>
      </w:pPr>
      <w:r w:rsidRPr="00AD365B">
        <w:rPr>
          <w:rFonts w:eastAsia="Times New Roman" w:cs="Times New Roman"/>
          <w:i/>
          <w:iCs/>
          <w:szCs w:val="24"/>
          <w:lang w:eastAsia="es-CO"/>
        </w:rPr>
        <w:t>La renta líquida es renta gravable y a ella se aplican las tarifas respectivas, </w:t>
      </w:r>
      <w:r w:rsidRPr="00AD365B">
        <w:rPr>
          <w:rFonts w:eastAsia="Times New Roman" w:cs="Times New Roman"/>
          <w:b/>
          <w:bCs/>
          <w:i/>
          <w:iCs/>
          <w:szCs w:val="24"/>
          <w:lang w:eastAsia="es-CO"/>
        </w:rPr>
        <w:t>salvo cuando existan rentas exentas, en cuyo caso se restan para determinar la renta gravable</w:t>
      </w:r>
      <w:r w:rsidRPr="00AD365B">
        <w:rPr>
          <w:rFonts w:eastAsia="Times New Roman" w:cs="Times New Roman"/>
          <w:szCs w:val="24"/>
          <w:lang w:eastAsia="es-CO"/>
        </w:rPr>
        <w:t>”. (Negrilla fuera del texto).</w:t>
      </w:r>
    </w:p>
    <w:p w14:paraId="13D165F0"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634066FA"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Por su parte, el inciso primero del </w:t>
      </w:r>
      <w:hyperlink r:id="rId34" w:tooltip="Estatuto Tributario CETA" w:history="1">
        <w:r w:rsidRPr="00AD365B">
          <w:rPr>
            <w:rFonts w:eastAsia="Times New Roman" w:cs="Times New Roman"/>
            <w:szCs w:val="24"/>
            <w:lang w:eastAsia="es-CO"/>
          </w:rPr>
          <w:t>artículo 235-2</w:t>
        </w:r>
      </w:hyperlink>
      <w:r w:rsidRPr="00AD365B">
        <w:rPr>
          <w:rFonts w:eastAsia="Times New Roman" w:cs="Times New Roman"/>
          <w:szCs w:val="24"/>
          <w:lang w:eastAsia="es-CO"/>
        </w:rPr>
        <w:t> del Estatuto Tributario, respecto de las rentas exentas aplicable a las personas naturales establece:</w:t>
      </w:r>
    </w:p>
    <w:p w14:paraId="38BB66E7"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08677CD8" w14:textId="77777777" w:rsidR="00AD365B" w:rsidRPr="00AD365B" w:rsidRDefault="00AD365B" w:rsidP="00AD365B">
      <w:pPr>
        <w:spacing w:after="0" w:line="360" w:lineRule="auto"/>
        <w:ind w:left="284"/>
        <w:jc w:val="both"/>
        <w:rPr>
          <w:rFonts w:eastAsia="Times New Roman" w:cs="Times New Roman"/>
          <w:szCs w:val="24"/>
          <w:lang w:eastAsia="es-CO"/>
        </w:rPr>
      </w:pPr>
      <w:r w:rsidRPr="00AD365B">
        <w:rPr>
          <w:rFonts w:eastAsia="Times New Roman" w:cs="Times New Roman"/>
          <w:szCs w:val="24"/>
          <w:lang w:eastAsia="es-CO"/>
        </w:rPr>
        <w:t>“</w:t>
      </w:r>
      <w:hyperlink r:id="rId35" w:tooltip="Estatuto Tributario CETA" w:history="1">
        <w:r w:rsidRPr="00AD365B">
          <w:rPr>
            <w:rFonts w:eastAsia="Times New Roman" w:cs="Times New Roman"/>
            <w:b/>
            <w:bCs/>
            <w:i/>
            <w:iCs/>
            <w:szCs w:val="24"/>
            <w:lang w:eastAsia="es-CO"/>
          </w:rPr>
          <w:t>Artículo 235-2</w:t>
        </w:r>
      </w:hyperlink>
      <w:r w:rsidRPr="00AD365B">
        <w:rPr>
          <w:rFonts w:eastAsia="Times New Roman" w:cs="Times New Roman"/>
          <w:b/>
          <w:bCs/>
          <w:i/>
          <w:iCs/>
          <w:szCs w:val="24"/>
          <w:lang w:eastAsia="es-CO"/>
        </w:rPr>
        <w:t>.</w:t>
      </w:r>
      <w:r w:rsidRPr="00AD365B">
        <w:rPr>
          <w:rFonts w:eastAsia="Times New Roman" w:cs="Times New Roman"/>
          <w:i/>
          <w:iCs/>
          <w:szCs w:val="24"/>
          <w:lang w:eastAsia="es-CO"/>
        </w:rPr>
        <w:t> Rentas exentas a partir del año gravable 2019. Sin perjuicio de las </w:t>
      </w:r>
      <w:r w:rsidRPr="00AD365B">
        <w:rPr>
          <w:rFonts w:eastAsia="Times New Roman" w:cs="Times New Roman"/>
          <w:b/>
          <w:bCs/>
          <w:i/>
          <w:iCs/>
          <w:szCs w:val="24"/>
          <w:lang w:eastAsia="es-CO"/>
        </w:rPr>
        <w:t>rentas exentas de las personas naturales de los artículos </w:t>
      </w:r>
      <w:hyperlink r:id="rId36" w:tooltip="Estatuto Tributario CETA" w:history="1">
        <w:r w:rsidRPr="00AD365B">
          <w:rPr>
            <w:rFonts w:eastAsia="Times New Roman" w:cs="Times New Roman"/>
            <w:b/>
            <w:bCs/>
            <w:i/>
            <w:iCs/>
            <w:szCs w:val="24"/>
            <w:lang w:eastAsia="es-CO"/>
          </w:rPr>
          <w:t>126-1</w:t>
        </w:r>
      </w:hyperlink>
      <w:r w:rsidRPr="00AD365B">
        <w:rPr>
          <w:rFonts w:eastAsia="Times New Roman" w:cs="Times New Roman"/>
          <w:b/>
          <w:bCs/>
          <w:i/>
          <w:iCs/>
          <w:szCs w:val="24"/>
          <w:lang w:eastAsia="es-CO"/>
        </w:rPr>
        <w:t>, </w:t>
      </w:r>
      <w:hyperlink r:id="rId37" w:tooltip="Estatuto Tributario CETA" w:history="1">
        <w:r w:rsidRPr="00AD365B">
          <w:rPr>
            <w:rFonts w:eastAsia="Times New Roman" w:cs="Times New Roman"/>
            <w:b/>
            <w:bCs/>
            <w:i/>
            <w:iCs/>
            <w:szCs w:val="24"/>
            <w:lang w:eastAsia="es-CO"/>
          </w:rPr>
          <w:t>126-4</w:t>
        </w:r>
      </w:hyperlink>
      <w:r w:rsidRPr="00AD365B">
        <w:rPr>
          <w:rFonts w:eastAsia="Times New Roman" w:cs="Times New Roman"/>
          <w:b/>
          <w:bCs/>
          <w:i/>
          <w:iCs/>
          <w:szCs w:val="24"/>
          <w:lang w:eastAsia="es-CO"/>
        </w:rPr>
        <w:t>, </w:t>
      </w:r>
      <w:hyperlink r:id="rId38" w:tooltip="Estatuto Tributario CETA" w:history="1">
        <w:r w:rsidRPr="00AD365B">
          <w:rPr>
            <w:rFonts w:eastAsia="Times New Roman" w:cs="Times New Roman"/>
            <w:b/>
            <w:bCs/>
            <w:i/>
            <w:iCs/>
            <w:szCs w:val="24"/>
            <w:lang w:eastAsia="es-CO"/>
          </w:rPr>
          <w:t>206</w:t>
        </w:r>
      </w:hyperlink>
      <w:r w:rsidRPr="00AD365B">
        <w:rPr>
          <w:rFonts w:eastAsia="Times New Roman" w:cs="Times New Roman"/>
          <w:b/>
          <w:bCs/>
          <w:i/>
          <w:iCs/>
          <w:szCs w:val="24"/>
          <w:lang w:eastAsia="es-CO"/>
        </w:rPr>
        <w:t> y </w:t>
      </w:r>
      <w:hyperlink r:id="rId39" w:tooltip="Estatuto Tributario CETA" w:history="1">
        <w:r w:rsidRPr="00AD365B">
          <w:rPr>
            <w:rFonts w:eastAsia="Times New Roman" w:cs="Times New Roman"/>
            <w:b/>
            <w:bCs/>
            <w:i/>
            <w:iCs/>
            <w:szCs w:val="24"/>
            <w:lang w:eastAsia="es-CO"/>
          </w:rPr>
          <w:t>206-1</w:t>
        </w:r>
      </w:hyperlink>
      <w:r w:rsidRPr="00AD365B">
        <w:rPr>
          <w:rFonts w:eastAsia="Times New Roman" w:cs="Times New Roman"/>
          <w:b/>
          <w:bCs/>
          <w:i/>
          <w:iCs/>
          <w:szCs w:val="24"/>
          <w:lang w:eastAsia="es-CO"/>
        </w:rPr>
        <w:t> del Estatuto Tributario y de las reconocidas en los convenios internacionales ratificados por Colombia</w:t>
      </w:r>
      <w:r w:rsidRPr="00AD365B">
        <w:rPr>
          <w:rFonts w:eastAsia="Times New Roman" w:cs="Times New Roman"/>
          <w:i/>
          <w:iCs/>
          <w:szCs w:val="24"/>
          <w:lang w:eastAsia="es-CO"/>
        </w:rPr>
        <w:t>, las únicas excepciones legales de que trata el </w:t>
      </w:r>
      <w:hyperlink r:id="rId40" w:tooltip="Estatuto Tributario CETA" w:history="1">
        <w:r w:rsidRPr="00AD365B">
          <w:rPr>
            <w:rFonts w:eastAsia="Times New Roman" w:cs="Times New Roman"/>
            <w:i/>
            <w:iCs/>
            <w:szCs w:val="24"/>
            <w:lang w:eastAsia="es-CO"/>
          </w:rPr>
          <w:t>artículo 26</w:t>
        </w:r>
      </w:hyperlink>
      <w:r w:rsidRPr="00AD365B">
        <w:rPr>
          <w:rFonts w:eastAsia="Times New Roman" w:cs="Times New Roman"/>
          <w:i/>
          <w:iCs/>
          <w:szCs w:val="24"/>
          <w:lang w:eastAsia="es-CO"/>
        </w:rPr>
        <w:t> del Estatuto Tributario son las siguientes: (…)</w:t>
      </w:r>
      <w:r w:rsidRPr="00AD365B">
        <w:rPr>
          <w:rFonts w:eastAsia="Times New Roman" w:cs="Times New Roman"/>
          <w:szCs w:val="24"/>
          <w:lang w:eastAsia="es-CO"/>
        </w:rPr>
        <w:t>” (Negrilla fuera del texto).</w:t>
      </w:r>
    </w:p>
    <w:p w14:paraId="052D248B"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2FDF9335" w14:textId="77777777" w:rsidR="00AD365B" w:rsidRPr="008A092D" w:rsidRDefault="00AD365B" w:rsidP="00AD365B">
      <w:pPr>
        <w:spacing w:after="0" w:line="360" w:lineRule="auto"/>
        <w:jc w:val="both"/>
        <w:rPr>
          <w:rFonts w:eastAsia="Times New Roman" w:cs="Times New Roman"/>
          <w:sz w:val="32"/>
          <w:szCs w:val="32"/>
          <w:lang w:eastAsia="es-CO"/>
        </w:rPr>
      </w:pPr>
      <w:r w:rsidRPr="008A092D">
        <w:rPr>
          <w:rFonts w:eastAsia="Times New Roman" w:cs="Times New Roman"/>
          <w:sz w:val="32"/>
          <w:szCs w:val="32"/>
          <w:highlight w:val="green"/>
          <w:lang w:eastAsia="es-CO"/>
        </w:rPr>
        <w:t xml:space="preserve">Con base en las normas antes citadas, es posible establecer que las personas naturales no residentes obligadas a presentar </w:t>
      </w:r>
      <w:proofErr w:type="gramStart"/>
      <w:r w:rsidRPr="008A092D">
        <w:rPr>
          <w:rFonts w:eastAsia="Times New Roman" w:cs="Times New Roman"/>
          <w:sz w:val="32"/>
          <w:szCs w:val="32"/>
          <w:highlight w:val="green"/>
          <w:lang w:eastAsia="es-CO"/>
        </w:rPr>
        <w:t>declaración,</w:t>
      </w:r>
      <w:proofErr w:type="gramEnd"/>
      <w:r w:rsidRPr="008A092D">
        <w:rPr>
          <w:rFonts w:eastAsia="Times New Roman" w:cs="Times New Roman"/>
          <w:sz w:val="32"/>
          <w:szCs w:val="32"/>
          <w:highlight w:val="green"/>
          <w:lang w:eastAsia="es-CO"/>
        </w:rPr>
        <w:t xml:space="preserve"> determinan su impuesto de renta según lo dispuesto en el </w:t>
      </w:r>
      <w:hyperlink r:id="rId41" w:tooltip="Estatuto Tributario CETA" w:history="1">
        <w:r w:rsidRPr="008A092D">
          <w:rPr>
            <w:rFonts w:eastAsia="Times New Roman" w:cs="Times New Roman"/>
            <w:sz w:val="32"/>
            <w:szCs w:val="32"/>
            <w:highlight w:val="green"/>
            <w:lang w:eastAsia="es-CO"/>
          </w:rPr>
          <w:t>artículo 26</w:t>
        </w:r>
      </w:hyperlink>
      <w:r w:rsidRPr="008A092D">
        <w:rPr>
          <w:rFonts w:eastAsia="Times New Roman" w:cs="Times New Roman"/>
          <w:sz w:val="32"/>
          <w:szCs w:val="32"/>
          <w:highlight w:val="green"/>
          <w:lang w:eastAsia="es-CO"/>
        </w:rPr>
        <w:t> del Estatuto Tributario, el cual considera para estos efectos una base depurada.</w:t>
      </w:r>
    </w:p>
    <w:p w14:paraId="2F1F2043"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5825732B" w14:textId="77777777" w:rsidR="00AD365B" w:rsidRPr="008A092D" w:rsidRDefault="00AD365B" w:rsidP="00AD365B">
      <w:pPr>
        <w:spacing w:after="0" w:line="360" w:lineRule="auto"/>
        <w:jc w:val="both"/>
        <w:rPr>
          <w:rFonts w:eastAsia="Times New Roman" w:cs="Times New Roman"/>
          <w:sz w:val="32"/>
          <w:szCs w:val="32"/>
          <w:highlight w:val="green"/>
          <w:lang w:eastAsia="es-CO"/>
        </w:rPr>
      </w:pPr>
      <w:r w:rsidRPr="008A092D">
        <w:rPr>
          <w:rFonts w:eastAsia="Times New Roman" w:cs="Times New Roman"/>
          <w:sz w:val="32"/>
          <w:szCs w:val="32"/>
          <w:highlight w:val="green"/>
          <w:lang w:eastAsia="es-CO"/>
        </w:rPr>
        <w:t>Dentro de estos elementos se encuentran las rentas exentas, que en el caso de las personas naturales están enumeradas en el inciso primero del </w:t>
      </w:r>
      <w:hyperlink r:id="rId42" w:tooltip="Estatuto Tributario CETA" w:history="1">
        <w:r w:rsidRPr="008A092D">
          <w:rPr>
            <w:rFonts w:eastAsia="Times New Roman" w:cs="Times New Roman"/>
            <w:sz w:val="32"/>
            <w:szCs w:val="32"/>
            <w:highlight w:val="green"/>
            <w:lang w:eastAsia="es-CO"/>
          </w:rPr>
          <w:t>artículo 235-2</w:t>
        </w:r>
      </w:hyperlink>
      <w:r w:rsidRPr="008A092D">
        <w:rPr>
          <w:rFonts w:eastAsia="Times New Roman" w:cs="Times New Roman"/>
          <w:sz w:val="32"/>
          <w:szCs w:val="32"/>
          <w:highlight w:val="green"/>
          <w:lang w:eastAsia="es-CO"/>
        </w:rPr>
        <w:t> del Estatuto Tributario.</w:t>
      </w:r>
    </w:p>
    <w:p w14:paraId="2FC027BE" w14:textId="77777777" w:rsidR="00AD365B" w:rsidRPr="008A092D" w:rsidRDefault="00AD365B" w:rsidP="00AD365B">
      <w:pPr>
        <w:spacing w:after="0" w:line="360" w:lineRule="auto"/>
        <w:jc w:val="both"/>
        <w:rPr>
          <w:rFonts w:eastAsia="Times New Roman" w:cs="Times New Roman"/>
          <w:sz w:val="32"/>
          <w:szCs w:val="32"/>
          <w:highlight w:val="green"/>
          <w:lang w:eastAsia="es-CO"/>
        </w:rPr>
      </w:pPr>
      <w:r w:rsidRPr="008A092D">
        <w:rPr>
          <w:rFonts w:eastAsia="Times New Roman" w:cs="Times New Roman"/>
          <w:sz w:val="32"/>
          <w:szCs w:val="32"/>
          <w:highlight w:val="green"/>
          <w:lang w:eastAsia="es-CO"/>
        </w:rPr>
        <w:t> </w:t>
      </w:r>
    </w:p>
    <w:p w14:paraId="79C165CF" w14:textId="77777777" w:rsidR="00AD365B" w:rsidRPr="008A092D" w:rsidRDefault="00AD365B" w:rsidP="00AD365B">
      <w:pPr>
        <w:spacing w:after="0" w:line="360" w:lineRule="auto"/>
        <w:jc w:val="both"/>
        <w:rPr>
          <w:rFonts w:eastAsia="Times New Roman" w:cs="Times New Roman"/>
          <w:sz w:val="32"/>
          <w:szCs w:val="32"/>
          <w:lang w:eastAsia="es-CO"/>
        </w:rPr>
      </w:pPr>
      <w:r w:rsidRPr="008A092D">
        <w:rPr>
          <w:rFonts w:eastAsia="Times New Roman" w:cs="Times New Roman"/>
          <w:sz w:val="32"/>
          <w:szCs w:val="32"/>
          <w:highlight w:val="green"/>
          <w:lang w:eastAsia="es-CO"/>
        </w:rPr>
        <w:t>Una de las rentas exentas a que se refiere este artículo es la relacionada con los aportes voluntarios realizados a los seguros privados de pensiones, a los fondos de pensiones voluntarias y obligatorias, administrados por las entidades vigiladas por la Superintendencia Financiera de Colombia, mencionados en el </w:t>
      </w:r>
      <w:hyperlink r:id="rId43" w:tooltip="Estatuto Tributario CETA" w:history="1">
        <w:r w:rsidRPr="008A092D">
          <w:rPr>
            <w:rFonts w:eastAsia="Times New Roman" w:cs="Times New Roman"/>
            <w:sz w:val="32"/>
            <w:szCs w:val="32"/>
            <w:highlight w:val="green"/>
            <w:lang w:eastAsia="es-CO"/>
          </w:rPr>
          <w:t>artículo 126-1</w:t>
        </w:r>
      </w:hyperlink>
      <w:r w:rsidRPr="008A092D">
        <w:rPr>
          <w:rFonts w:eastAsia="Times New Roman" w:cs="Times New Roman"/>
          <w:sz w:val="32"/>
          <w:szCs w:val="32"/>
          <w:highlight w:val="green"/>
          <w:lang w:eastAsia="es-CO"/>
        </w:rPr>
        <w:t> del Estatuto Tributario.</w:t>
      </w:r>
    </w:p>
    <w:p w14:paraId="0B6BA279" w14:textId="77777777" w:rsidR="00AD365B" w:rsidRPr="008A092D" w:rsidRDefault="00AD365B" w:rsidP="00AD365B">
      <w:pPr>
        <w:spacing w:after="0" w:line="360" w:lineRule="auto"/>
        <w:jc w:val="both"/>
        <w:rPr>
          <w:rFonts w:eastAsia="Times New Roman" w:cs="Times New Roman"/>
          <w:sz w:val="32"/>
          <w:szCs w:val="32"/>
          <w:lang w:eastAsia="es-CO"/>
        </w:rPr>
      </w:pPr>
      <w:r w:rsidRPr="008A092D">
        <w:rPr>
          <w:rFonts w:eastAsia="Times New Roman" w:cs="Times New Roman"/>
          <w:sz w:val="32"/>
          <w:szCs w:val="32"/>
          <w:lang w:eastAsia="es-CO"/>
        </w:rPr>
        <w:t> </w:t>
      </w:r>
    </w:p>
    <w:p w14:paraId="3B44C191"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lastRenderedPageBreak/>
        <w:t>La depuración del impuesto se materializa en el diligenciamiento del formulario, que para estos efectos corresponde a la “Declaración de Renta y Complementario o de Ingresos y Patrimonio para Personas Jurídicas y Asimiladas y Personas Naturales y Asimiladas no Residentes y Sucesiones Ilíquidas de Causantes no Residentes” Formulario 110, el cual fue prescrito para el año gravable 2019 y fracción del año 2020 a través de la Resolución número 000023 del 18 de marzo de 2020.</w:t>
      </w:r>
    </w:p>
    <w:p w14:paraId="57C2A7B3"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61A85791"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La retención en la fuente aplicable en este caso, es la contenida en el capítulo IX, Título III, del Libro Segundo del Estatuto Tributario (artículos 406 a 416) de la cual se destaca que la retención aplica sobre pago o abono en cuenta y que no admite depuración.</w:t>
      </w:r>
    </w:p>
    <w:p w14:paraId="123431D7"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b/>
          <w:bCs/>
          <w:szCs w:val="24"/>
          <w:lang w:eastAsia="es-CO"/>
        </w:rPr>
        <w:t> </w:t>
      </w:r>
    </w:p>
    <w:p w14:paraId="7768C89D" w14:textId="77777777" w:rsidR="00AD365B" w:rsidRPr="008A092D" w:rsidRDefault="00AD365B" w:rsidP="00AD365B">
      <w:pPr>
        <w:spacing w:after="0" w:line="360" w:lineRule="auto"/>
        <w:ind w:left="284"/>
        <w:jc w:val="both"/>
        <w:rPr>
          <w:rFonts w:eastAsia="Times New Roman" w:cs="Times New Roman"/>
          <w:sz w:val="32"/>
          <w:szCs w:val="32"/>
          <w:highlight w:val="green"/>
          <w:lang w:eastAsia="es-CO"/>
        </w:rPr>
      </w:pPr>
      <w:r w:rsidRPr="008A092D">
        <w:rPr>
          <w:rFonts w:eastAsia="Times New Roman" w:cs="Times New Roman"/>
          <w:b/>
          <w:bCs/>
          <w:sz w:val="32"/>
          <w:szCs w:val="32"/>
          <w:highlight w:val="green"/>
          <w:lang w:eastAsia="es-CO"/>
        </w:rPr>
        <w:t>(</w:t>
      </w:r>
      <w:proofErr w:type="spellStart"/>
      <w:r w:rsidRPr="008A092D">
        <w:rPr>
          <w:rFonts w:eastAsia="Times New Roman" w:cs="Times New Roman"/>
          <w:b/>
          <w:bCs/>
          <w:sz w:val="32"/>
          <w:szCs w:val="32"/>
          <w:highlight w:val="green"/>
          <w:lang w:eastAsia="es-CO"/>
        </w:rPr>
        <w:t>iii</w:t>
      </w:r>
      <w:proofErr w:type="spellEnd"/>
      <w:r w:rsidRPr="008A092D">
        <w:rPr>
          <w:rFonts w:eastAsia="Times New Roman" w:cs="Times New Roman"/>
          <w:b/>
          <w:bCs/>
          <w:sz w:val="32"/>
          <w:szCs w:val="32"/>
          <w:highlight w:val="green"/>
          <w:lang w:eastAsia="es-CO"/>
        </w:rPr>
        <w:t>) Conclusiones</w:t>
      </w:r>
    </w:p>
    <w:p w14:paraId="09E52221" w14:textId="77777777" w:rsidR="00AD365B" w:rsidRPr="008A092D" w:rsidRDefault="00AD365B" w:rsidP="00AD365B">
      <w:pPr>
        <w:spacing w:after="0" w:line="360" w:lineRule="auto"/>
        <w:jc w:val="both"/>
        <w:rPr>
          <w:rFonts w:eastAsia="Times New Roman" w:cs="Times New Roman"/>
          <w:sz w:val="32"/>
          <w:szCs w:val="32"/>
          <w:highlight w:val="green"/>
          <w:lang w:eastAsia="es-CO"/>
        </w:rPr>
      </w:pPr>
      <w:r w:rsidRPr="008A092D">
        <w:rPr>
          <w:rFonts w:eastAsia="Times New Roman" w:cs="Times New Roman"/>
          <w:sz w:val="32"/>
          <w:szCs w:val="32"/>
          <w:highlight w:val="green"/>
          <w:lang w:eastAsia="es-CO"/>
        </w:rPr>
        <w:t> </w:t>
      </w:r>
    </w:p>
    <w:p w14:paraId="365AFF77" w14:textId="1C073C8F" w:rsidR="00AD365B" w:rsidRPr="008A092D" w:rsidRDefault="00AD365B" w:rsidP="00AD365B">
      <w:pPr>
        <w:spacing w:after="0" w:line="360" w:lineRule="auto"/>
        <w:ind w:left="284"/>
        <w:jc w:val="both"/>
        <w:rPr>
          <w:rFonts w:eastAsia="Times New Roman" w:cs="Times New Roman"/>
          <w:sz w:val="32"/>
          <w:szCs w:val="32"/>
          <w:highlight w:val="green"/>
          <w:lang w:eastAsia="es-CO"/>
        </w:rPr>
      </w:pPr>
      <w:r w:rsidRPr="008A092D">
        <w:rPr>
          <w:rFonts w:eastAsia="Times New Roman" w:cs="Times New Roman"/>
          <w:sz w:val="32"/>
          <w:szCs w:val="32"/>
          <w:highlight w:val="green"/>
          <w:lang w:eastAsia="es-CO"/>
        </w:rPr>
        <w:t xml:space="preserve">• Con base en lo anteriormente analizado </w:t>
      </w:r>
      <w:r w:rsidRPr="008A092D">
        <w:rPr>
          <w:rFonts w:eastAsia="Times New Roman" w:cs="Times New Roman"/>
          <w:sz w:val="32"/>
          <w:szCs w:val="32"/>
          <w:highlight w:val="yellow"/>
          <w:lang w:eastAsia="es-CO"/>
        </w:rPr>
        <w:t xml:space="preserve">no es posible concluir </w:t>
      </w:r>
      <w:proofErr w:type="gramStart"/>
      <w:r w:rsidRPr="008A092D">
        <w:rPr>
          <w:rFonts w:eastAsia="Times New Roman" w:cs="Times New Roman"/>
          <w:sz w:val="32"/>
          <w:szCs w:val="32"/>
          <w:highlight w:val="green"/>
          <w:lang w:eastAsia="es-CO"/>
        </w:rPr>
        <w:t>que</w:t>
      </w:r>
      <w:proofErr w:type="gramEnd"/>
      <w:r w:rsidRPr="008A092D">
        <w:rPr>
          <w:rFonts w:eastAsia="Times New Roman" w:cs="Times New Roman"/>
          <w:sz w:val="32"/>
          <w:szCs w:val="32"/>
          <w:highlight w:val="green"/>
          <w:lang w:eastAsia="es-CO"/>
        </w:rPr>
        <w:t xml:space="preserve"> en todos los casos, las personas naturales no residentes determinan su impuesto sobre la renta sobre una base depurada.</w:t>
      </w:r>
    </w:p>
    <w:p w14:paraId="5CAAFFB5" w14:textId="77777777" w:rsidR="008A092D" w:rsidRPr="008A092D" w:rsidRDefault="008A092D" w:rsidP="00AD365B">
      <w:pPr>
        <w:spacing w:after="0" w:line="360" w:lineRule="auto"/>
        <w:ind w:left="284"/>
        <w:jc w:val="both"/>
        <w:rPr>
          <w:rFonts w:eastAsia="Times New Roman" w:cs="Times New Roman"/>
          <w:sz w:val="32"/>
          <w:szCs w:val="32"/>
          <w:highlight w:val="green"/>
          <w:lang w:eastAsia="es-CO"/>
        </w:rPr>
      </w:pPr>
    </w:p>
    <w:p w14:paraId="5C0749E7" w14:textId="426C1972" w:rsidR="00AD365B" w:rsidRPr="008A092D" w:rsidRDefault="00AD365B" w:rsidP="00AD365B">
      <w:pPr>
        <w:spacing w:after="0" w:line="360" w:lineRule="auto"/>
        <w:ind w:left="284"/>
        <w:jc w:val="both"/>
        <w:rPr>
          <w:rFonts w:eastAsia="Times New Roman" w:cs="Times New Roman"/>
          <w:sz w:val="32"/>
          <w:szCs w:val="32"/>
          <w:highlight w:val="green"/>
          <w:lang w:eastAsia="es-CO"/>
        </w:rPr>
      </w:pPr>
      <w:r w:rsidRPr="008A092D">
        <w:rPr>
          <w:rFonts w:eastAsia="Times New Roman" w:cs="Times New Roman"/>
          <w:sz w:val="32"/>
          <w:szCs w:val="32"/>
          <w:highlight w:val="green"/>
          <w:lang w:eastAsia="es-CO"/>
        </w:rPr>
        <w:t>• En ese sentido deberá analizarse en primer lugar, si esa persona natural está obligada a presentar la declaración del impuesto sobre la renta y complementarios, para lo cual se deben considerar los criterios expuestos en el Descriptor 3.1. del Concepto General Unificado 912 del 19 de julio de 2018.</w:t>
      </w:r>
    </w:p>
    <w:p w14:paraId="48191171" w14:textId="77777777" w:rsidR="008A092D" w:rsidRPr="008A092D" w:rsidRDefault="008A092D" w:rsidP="00AD365B">
      <w:pPr>
        <w:spacing w:after="0" w:line="360" w:lineRule="auto"/>
        <w:ind w:left="284"/>
        <w:jc w:val="both"/>
        <w:rPr>
          <w:rFonts w:eastAsia="Times New Roman" w:cs="Times New Roman"/>
          <w:sz w:val="32"/>
          <w:szCs w:val="32"/>
          <w:highlight w:val="green"/>
          <w:lang w:eastAsia="es-CO"/>
        </w:rPr>
      </w:pPr>
    </w:p>
    <w:p w14:paraId="1EAAFC4F" w14:textId="04BEEC87" w:rsidR="00AD365B" w:rsidRPr="008A092D" w:rsidRDefault="00AD365B" w:rsidP="00AD365B">
      <w:pPr>
        <w:spacing w:after="0" w:line="360" w:lineRule="auto"/>
        <w:ind w:left="284"/>
        <w:jc w:val="both"/>
        <w:rPr>
          <w:rFonts w:eastAsia="Times New Roman" w:cs="Times New Roman"/>
          <w:sz w:val="32"/>
          <w:szCs w:val="32"/>
          <w:highlight w:val="green"/>
          <w:lang w:eastAsia="es-CO"/>
        </w:rPr>
      </w:pPr>
      <w:r w:rsidRPr="008A092D">
        <w:rPr>
          <w:rFonts w:eastAsia="Times New Roman" w:cs="Times New Roman"/>
          <w:sz w:val="32"/>
          <w:szCs w:val="32"/>
          <w:highlight w:val="green"/>
          <w:lang w:eastAsia="es-CO"/>
        </w:rPr>
        <w:t>• En caso de no estar obligada a presentar la declaración del impuesto sobre la renta y complementarios, el impuesto a cargo será el que resulte de las retenciones en la fuente practicadas (artículos 407 a 411 del Estatuto Tributario) las cuales se aplican sobre pago o abono en cuenta y no admiten depuración.</w:t>
      </w:r>
    </w:p>
    <w:p w14:paraId="2B84ADAB" w14:textId="77777777" w:rsidR="008A092D" w:rsidRPr="008A092D" w:rsidRDefault="008A092D" w:rsidP="00AD365B">
      <w:pPr>
        <w:spacing w:after="0" w:line="360" w:lineRule="auto"/>
        <w:ind w:left="284"/>
        <w:jc w:val="both"/>
        <w:rPr>
          <w:rFonts w:eastAsia="Times New Roman" w:cs="Times New Roman"/>
          <w:sz w:val="32"/>
          <w:szCs w:val="32"/>
          <w:highlight w:val="green"/>
          <w:lang w:eastAsia="es-CO"/>
        </w:rPr>
      </w:pPr>
    </w:p>
    <w:p w14:paraId="209E30ED" w14:textId="77777777" w:rsidR="00AD365B" w:rsidRPr="008A092D" w:rsidRDefault="00AD365B" w:rsidP="00AD365B">
      <w:pPr>
        <w:spacing w:after="0" w:line="360" w:lineRule="auto"/>
        <w:ind w:left="284"/>
        <w:jc w:val="both"/>
        <w:rPr>
          <w:rFonts w:eastAsia="Times New Roman" w:cs="Times New Roman"/>
          <w:sz w:val="32"/>
          <w:szCs w:val="32"/>
          <w:highlight w:val="yellow"/>
          <w:lang w:eastAsia="es-CO"/>
        </w:rPr>
      </w:pPr>
      <w:r w:rsidRPr="008A092D">
        <w:rPr>
          <w:rFonts w:eastAsia="Times New Roman" w:cs="Times New Roman"/>
          <w:sz w:val="32"/>
          <w:szCs w:val="32"/>
          <w:highlight w:val="yellow"/>
          <w:lang w:eastAsia="es-CO"/>
        </w:rPr>
        <w:t>• Si la persona natural no residente está obligada a presentar declaración del impuesto sobre la renta y complementarios, deberá dar aplicación a lo dispuesto en el </w:t>
      </w:r>
      <w:hyperlink r:id="rId44" w:tooltip="Estatuto Tributario CETA" w:history="1">
        <w:r w:rsidRPr="008A092D">
          <w:rPr>
            <w:rFonts w:eastAsia="Times New Roman" w:cs="Times New Roman"/>
            <w:sz w:val="32"/>
            <w:szCs w:val="32"/>
            <w:highlight w:val="green"/>
            <w:lang w:eastAsia="es-CO"/>
          </w:rPr>
          <w:t>artículo 26</w:t>
        </w:r>
      </w:hyperlink>
      <w:r w:rsidRPr="008A092D">
        <w:rPr>
          <w:rFonts w:eastAsia="Times New Roman" w:cs="Times New Roman"/>
          <w:sz w:val="32"/>
          <w:szCs w:val="32"/>
          <w:highlight w:val="green"/>
          <w:lang w:eastAsia="es-CO"/>
        </w:rPr>
        <w:t> del Estatuto Tributario,</w:t>
      </w:r>
      <w:r w:rsidRPr="008A092D">
        <w:rPr>
          <w:rFonts w:eastAsia="Times New Roman" w:cs="Times New Roman"/>
          <w:sz w:val="32"/>
          <w:szCs w:val="32"/>
          <w:highlight w:val="yellow"/>
          <w:lang w:eastAsia="es-CO"/>
        </w:rPr>
        <w:t xml:space="preserve"> el cual debe interpretarse de manera armónica con </w:t>
      </w:r>
      <w:r w:rsidRPr="008A092D">
        <w:rPr>
          <w:rFonts w:eastAsia="Times New Roman" w:cs="Times New Roman"/>
          <w:sz w:val="32"/>
          <w:szCs w:val="32"/>
          <w:highlight w:val="green"/>
          <w:lang w:eastAsia="es-CO"/>
        </w:rPr>
        <w:t>el </w:t>
      </w:r>
      <w:hyperlink r:id="rId45" w:tooltip="Estatuto Tributario CETA" w:history="1">
        <w:r w:rsidRPr="008A092D">
          <w:rPr>
            <w:rFonts w:eastAsia="Times New Roman" w:cs="Times New Roman"/>
            <w:sz w:val="32"/>
            <w:szCs w:val="32"/>
            <w:highlight w:val="green"/>
            <w:lang w:eastAsia="es-CO"/>
          </w:rPr>
          <w:t>artículo 178</w:t>
        </w:r>
      </w:hyperlink>
      <w:r w:rsidRPr="008A092D">
        <w:rPr>
          <w:rFonts w:eastAsia="Times New Roman" w:cs="Times New Roman"/>
          <w:sz w:val="32"/>
          <w:szCs w:val="32"/>
          <w:highlight w:val="yellow"/>
          <w:lang w:eastAsia="es-CO"/>
        </w:rPr>
        <w:t xml:space="preserve"> y el inciso primero </w:t>
      </w:r>
      <w:r w:rsidRPr="008A092D">
        <w:rPr>
          <w:rFonts w:eastAsia="Times New Roman" w:cs="Times New Roman"/>
          <w:sz w:val="32"/>
          <w:szCs w:val="32"/>
          <w:highlight w:val="yellow"/>
          <w:lang w:eastAsia="es-CO"/>
        </w:rPr>
        <w:lastRenderedPageBreak/>
        <w:t>del </w:t>
      </w:r>
      <w:hyperlink r:id="rId46" w:tooltip="Estatuto Tributario CETA" w:history="1">
        <w:r w:rsidRPr="008A092D">
          <w:rPr>
            <w:rFonts w:eastAsia="Times New Roman" w:cs="Times New Roman"/>
            <w:sz w:val="32"/>
            <w:szCs w:val="32"/>
            <w:highlight w:val="yellow"/>
            <w:lang w:eastAsia="es-CO"/>
          </w:rPr>
          <w:t>artículo 235-2</w:t>
        </w:r>
      </w:hyperlink>
      <w:r w:rsidRPr="008A092D">
        <w:rPr>
          <w:rFonts w:eastAsia="Times New Roman" w:cs="Times New Roman"/>
          <w:sz w:val="32"/>
          <w:szCs w:val="32"/>
          <w:highlight w:val="yellow"/>
          <w:lang w:eastAsia="es-CO"/>
        </w:rPr>
        <w:t> de este Estatuto respecto a las rentas exentas de personas naturales.</w:t>
      </w:r>
    </w:p>
    <w:p w14:paraId="6FC7BFD9" w14:textId="77777777" w:rsidR="00AD365B" w:rsidRPr="008A092D" w:rsidRDefault="00AD365B" w:rsidP="00AD365B">
      <w:pPr>
        <w:spacing w:after="0" w:line="360" w:lineRule="auto"/>
        <w:ind w:left="284"/>
        <w:jc w:val="both"/>
        <w:rPr>
          <w:rFonts w:eastAsia="Times New Roman" w:cs="Times New Roman"/>
          <w:sz w:val="32"/>
          <w:szCs w:val="32"/>
          <w:highlight w:val="yellow"/>
          <w:lang w:eastAsia="es-CO"/>
        </w:rPr>
      </w:pPr>
      <w:r w:rsidRPr="008A092D">
        <w:rPr>
          <w:rFonts w:eastAsia="Times New Roman" w:cs="Times New Roman"/>
          <w:sz w:val="32"/>
          <w:szCs w:val="32"/>
          <w:highlight w:val="yellow"/>
          <w:lang w:eastAsia="es-CO"/>
        </w:rPr>
        <w:t>• Las retenciones en la fuente aplicables (artículos 406 a 416 del Estatuto Tributario) se aplican sobre pago o abono en cuenta y no admiten depuración.</w:t>
      </w:r>
    </w:p>
    <w:p w14:paraId="5D17DA2C" w14:textId="77777777" w:rsidR="00AD365B" w:rsidRPr="008A092D" w:rsidRDefault="00AD365B" w:rsidP="00AD365B">
      <w:pPr>
        <w:spacing w:after="0" w:line="360" w:lineRule="auto"/>
        <w:jc w:val="both"/>
        <w:rPr>
          <w:rFonts w:eastAsia="Times New Roman" w:cs="Times New Roman"/>
          <w:sz w:val="32"/>
          <w:szCs w:val="32"/>
          <w:highlight w:val="green"/>
          <w:lang w:eastAsia="es-CO"/>
        </w:rPr>
      </w:pPr>
      <w:r w:rsidRPr="008A092D">
        <w:rPr>
          <w:rFonts w:eastAsia="Times New Roman" w:cs="Times New Roman"/>
          <w:sz w:val="32"/>
          <w:szCs w:val="32"/>
          <w:highlight w:val="green"/>
          <w:lang w:eastAsia="es-CO"/>
        </w:rPr>
        <w:t> </w:t>
      </w:r>
    </w:p>
    <w:p w14:paraId="7719AB03" w14:textId="77777777" w:rsidR="00AD365B" w:rsidRPr="008A092D" w:rsidRDefault="00AD365B" w:rsidP="00AD365B">
      <w:pPr>
        <w:spacing w:after="0" w:line="360" w:lineRule="auto"/>
        <w:jc w:val="both"/>
        <w:rPr>
          <w:rFonts w:eastAsia="Times New Roman" w:cs="Times New Roman"/>
          <w:sz w:val="32"/>
          <w:szCs w:val="32"/>
          <w:highlight w:val="green"/>
          <w:lang w:eastAsia="es-CO"/>
        </w:rPr>
      </w:pPr>
      <w:r w:rsidRPr="008A092D">
        <w:rPr>
          <w:rFonts w:eastAsia="Times New Roman" w:cs="Times New Roman"/>
          <w:sz w:val="32"/>
          <w:szCs w:val="32"/>
          <w:highlight w:val="green"/>
          <w:lang w:eastAsia="es-CO"/>
        </w:rPr>
        <w:t>Con base en lo anteriormente analizado se revoca el oficio número 025073 de 4 octubre de 2019.</w:t>
      </w:r>
    </w:p>
    <w:p w14:paraId="2EC29AE9" w14:textId="77777777" w:rsidR="00AD365B" w:rsidRPr="008A092D" w:rsidRDefault="00AD365B" w:rsidP="00AD365B">
      <w:pPr>
        <w:spacing w:after="0" w:line="360" w:lineRule="auto"/>
        <w:jc w:val="both"/>
        <w:rPr>
          <w:rFonts w:eastAsia="Times New Roman" w:cs="Times New Roman"/>
          <w:sz w:val="32"/>
          <w:szCs w:val="32"/>
          <w:highlight w:val="green"/>
          <w:lang w:eastAsia="es-CO"/>
        </w:rPr>
      </w:pPr>
      <w:r w:rsidRPr="008A092D">
        <w:rPr>
          <w:rFonts w:eastAsia="Times New Roman" w:cs="Times New Roman"/>
          <w:sz w:val="32"/>
          <w:szCs w:val="32"/>
          <w:highlight w:val="green"/>
          <w:lang w:eastAsia="es-CO"/>
        </w:rPr>
        <w:t> </w:t>
      </w:r>
    </w:p>
    <w:p w14:paraId="593719ED" w14:textId="77777777" w:rsidR="00AD365B" w:rsidRPr="008A092D" w:rsidRDefault="00AD365B" w:rsidP="00AD365B">
      <w:pPr>
        <w:spacing w:after="0" w:line="360" w:lineRule="auto"/>
        <w:jc w:val="both"/>
        <w:rPr>
          <w:rFonts w:eastAsia="Times New Roman" w:cs="Times New Roman"/>
          <w:sz w:val="32"/>
          <w:szCs w:val="32"/>
          <w:highlight w:val="green"/>
          <w:lang w:eastAsia="es-CO"/>
        </w:rPr>
      </w:pPr>
      <w:r w:rsidRPr="008A092D">
        <w:rPr>
          <w:rFonts w:eastAsia="Times New Roman" w:cs="Times New Roman"/>
          <w:sz w:val="32"/>
          <w:szCs w:val="32"/>
          <w:highlight w:val="green"/>
          <w:lang w:eastAsia="es-CO"/>
        </w:rPr>
        <w:t> </w:t>
      </w:r>
    </w:p>
    <w:p w14:paraId="31EA8A51" w14:textId="77777777" w:rsidR="00AD365B" w:rsidRPr="008A092D" w:rsidRDefault="00AD365B" w:rsidP="00AD365B">
      <w:pPr>
        <w:spacing w:after="0" w:line="360" w:lineRule="auto"/>
        <w:jc w:val="both"/>
        <w:rPr>
          <w:rFonts w:eastAsia="Times New Roman" w:cs="Times New Roman"/>
          <w:sz w:val="32"/>
          <w:szCs w:val="32"/>
          <w:lang w:eastAsia="es-CO"/>
        </w:rPr>
      </w:pPr>
      <w:r w:rsidRPr="008A092D">
        <w:rPr>
          <w:rFonts w:eastAsia="Times New Roman" w:cs="Times New Roman"/>
          <w:sz w:val="32"/>
          <w:szCs w:val="32"/>
          <w:highlight w:val="green"/>
          <w:lang w:eastAsia="es-CO"/>
        </w:rPr>
        <w:t>Atentamente,</w:t>
      </w:r>
    </w:p>
    <w:p w14:paraId="0DC90A83"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74A50932"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b/>
          <w:bCs/>
          <w:szCs w:val="24"/>
          <w:lang w:eastAsia="es-CO"/>
        </w:rPr>
        <w:t>La Directora de Gestión Jurídica,</w:t>
      </w:r>
    </w:p>
    <w:p w14:paraId="7A5EB98C" w14:textId="77777777" w:rsidR="00AD365B" w:rsidRPr="00AD365B" w:rsidRDefault="00AD365B" w:rsidP="00DC2F0A">
      <w:pPr>
        <w:spacing w:after="0" w:line="360" w:lineRule="auto"/>
        <w:jc w:val="both"/>
        <w:rPr>
          <w:rFonts w:eastAsia="Times New Roman" w:cs="Times New Roman"/>
          <w:szCs w:val="24"/>
          <w:lang w:eastAsia="es-CO"/>
        </w:rPr>
      </w:pPr>
      <w:r w:rsidRPr="00AD365B">
        <w:rPr>
          <w:rFonts w:eastAsia="Times New Roman" w:cs="Times New Roman"/>
          <w:i/>
          <w:iCs/>
          <w:szCs w:val="24"/>
          <w:lang w:eastAsia="es-CO"/>
        </w:rPr>
        <w:t> </w:t>
      </w:r>
    </w:p>
    <w:p w14:paraId="1F012FC4" w14:textId="77777777" w:rsidR="00AD365B" w:rsidRPr="00AD365B" w:rsidRDefault="00AD365B" w:rsidP="00DC2F0A">
      <w:pPr>
        <w:spacing w:after="0" w:line="360" w:lineRule="auto"/>
        <w:jc w:val="both"/>
        <w:rPr>
          <w:rFonts w:eastAsia="Times New Roman" w:cs="Times New Roman"/>
          <w:szCs w:val="24"/>
          <w:lang w:eastAsia="es-CO"/>
        </w:rPr>
      </w:pPr>
      <w:r w:rsidRPr="00AD365B">
        <w:rPr>
          <w:rFonts w:eastAsia="Times New Roman" w:cs="Times New Roman"/>
          <w:i/>
          <w:iCs/>
          <w:szCs w:val="24"/>
          <w:lang w:eastAsia="es-CO"/>
        </w:rPr>
        <w:t>Liliana Andrea Forero Gómez,</w:t>
      </w:r>
    </w:p>
    <w:p w14:paraId="0B922815" w14:textId="77777777" w:rsidR="00AD365B" w:rsidRPr="00AD365B" w:rsidRDefault="00AD365B" w:rsidP="00DC2F0A">
      <w:pPr>
        <w:spacing w:after="0" w:line="360" w:lineRule="auto"/>
        <w:jc w:val="both"/>
        <w:rPr>
          <w:rFonts w:eastAsia="Times New Roman" w:cs="Times New Roman"/>
          <w:szCs w:val="24"/>
          <w:lang w:eastAsia="es-CO"/>
        </w:rPr>
      </w:pPr>
      <w:r w:rsidRPr="00AD365B">
        <w:rPr>
          <w:rFonts w:eastAsia="Times New Roman" w:cs="Times New Roman"/>
          <w:b/>
          <w:bCs/>
          <w:szCs w:val="24"/>
          <w:lang w:eastAsia="es-CO"/>
        </w:rPr>
        <w:t>UAE-Dirección de Impuestos y Aduanas Nacionales</w:t>
      </w:r>
    </w:p>
    <w:p w14:paraId="011851C0" w14:textId="77777777" w:rsidR="00AD365B" w:rsidRPr="00AD365B" w:rsidRDefault="00AD365B" w:rsidP="00AD365B">
      <w:pPr>
        <w:spacing w:after="0" w:line="360" w:lineRule="auto"/>
        <w:jc w:val="right"/>
        <w:rPr>
          <w:rFonts w:eastAsia="Times New Roman" w:cs="Times New Roman"/>
          <w:szCs w:val="24"/>
          <w:lang w:eastAsia="es-CO"/>
        </w:rPr>
      </w:pPr>
      <w:r w:rsidRPr="00AD365B">
        <w:rPr>
          <w:rFonts w:eastAsia="Times New Roman" w:cs="Times New Roman"/>
          <w:b/>
          <w:bCs/>
          <w:szCs w:val="24"/>
          <w:lang w:eastAsia="es-CO"/>
        </w:rPr>
        <w:t> </w:t>
      </w:r>
    </w:p>
    <w:p w14:paraId="1D04D4FF"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b/>
          <w:bCs/>
          <w:szCs w:val="24"/>
          <w:lang w:eastAsia="es-CO"/>
        </w:rPr>
        <w:t xml:space="preserve">Publicada en D.O. 51.496 del 12 de </w:t>
      </w:r>
      <w:proofErr w:type="gramStart"/>
      <w:r w:rsidRPr="00AD365B">
        <w:rPr>
          <w:rFonts w:eastAsia="Times New Roman" w:cs="Times New Roman"/>
          <w:b/>
          <w:bCs/>
          <w:szCs w:val="24"/>
          <w:lang w:eastAsia="es-CO"/>
        </w:rPr>
        <w:t>Noviembre</w:t>
      </w:r>
      <w:proofErr w:type="gramEnd"/>
      <w:r w:rsidRPr="00AD365B">
        <w:rPr>
          <w:rFonts w:eastAsia="Times New Roman" w:cs="Times New Roman"/>
          <w:b/>
          <w:bCs/>
          <w:szCs w:val="24"/>
          <w:lang w:eastAsia="es-CO"/>
        </w:rPr>
        <w:t xml:space="preserve"> de 2020.</w:t>
      </w:r>
    </w:p>
    <w:p w14:paraId="41902C46" w14:textId="77777777" w:rsidR="007F5CC8" w:rsidRPr="00AD365B" w:rsidRDefault="007F5CC8" w:rsidP="00AD365B">
      <w:pPr>
        <w:spacing w:line="360" w:lineRule="auto"/>
        <w:rPr>
          <w:rFonts w:cs="Times New Roman"/>
          <w:szCs w:val="24"/>
        </w:rPr>
      </w:pPr>
    </w:p>
    <w:sectPr w:rsidR="007F5CC8" w:rsidRPr="00AD365B"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65B"/>
    <w:rsid w:val="000F3837"/>
    <w:rsid w:val="001E311E"/>
    <w:rsid w:val="003A6178"/>
    <w:rsid w:val="00434AE6"/>
    <w:rsid w:val="007F5CC8"/>
    <w:rsid w:val="008779BE"/>
    <w:rsid w:val="008A092D"/>
    <w:rsid w:val="00AD365B"/>
    <w:rsid w:val="00DC2F0A"/>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E5E48"/>
  <w15:chartTrackingRefBased/>
  <w15:docId w15:val="{5F849948-3C28-4483-9D5B-63B8F260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61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52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31" TargetMode="External"/><Relationship Id="rId18" Type="http://schemas.openxmlformats.org/officeDocument/2006/relationships/hyperlink" Target="https://www.ceta.org.co/html/vista_de_un_articulo.asp?Norma=31" TargetMode="External"/><Relationship Id="rId26" Type="http://schemas.openxmlformats.org/officeDocument/2006/relationships/hyperlink" Target="https://www.ceta.org.co/html/vista_de_un_articulo.asp?Norma=56" TargetMode="External"/><Relationship Id="rId39" Type="http://schemas.openxmlformats.org/officeDocument/2006/relationships/hyperlink" Target="https://www.ceta.org.co/html/vista_de_un_articulo.asp?Norma=29941" TargetMode="External"/><Relationship Id="rId21" Type="http://schemas.openxmlformats.org/officeDocument/2006/relationships/hyperlink" Target="https://www.ceta.org.co/html/vista_de_un_articulo.asp?Norma=31" TargetMode="External"/><Relationship Id="rId34" Type="http://schemas.openxmlformats.org/officeDocument/2006/relationships/hyperlink" Target="https://www.ceta.org.co/html/vista_de_un_articulo.asp?Norma=42483" TargetMode="External"/><Relationship Id="rId42" Type="http://schemas.openxmlformats.org/officeDocument/2006/relationships/hyperlink" Target="https://www.ceta.org.co/html/vista_de_un_articulo.asp?Norma=42483" TargetMode="External"/><Relationship Id="rId47" Type="http://schemas.openxmlformats.org/officeDocument/2006/relationships/fontTable" Target="fontTable.xml"/><Relationship Id="rId7" Type="http://schemas.openxmlformats.org/officeDocument/2006/relationships/hyperlink" Target="https://www.ceta.org.co/html/vista_de_un_articulo.asp?Norma=186" TargetMode="External"/><Relationship Id="rId2" Type="http://schemas.openxmlformats.org/officeDocument/2006/relationships/settings" Target="settings.xml"/><Relationship Id="rId16" Type="http://schemas.openxmlformats.org/officeDocument/2006/relationships/hyperlink" Target="https://www.ceta.org.co/html/vista_de_un_articulo.asp?Norma=319" TargetMode="External"/><Relationship Id="rId29" Type="http://schemas.openxmlformats.org/officeDocument/2006/relationships/hyperlink" Target="https://www.ceta.org.co/html/vista_de_un_articulo.asp?Norma=56" TargetMode="External"/><Relationship Id="rId1" Type="http://schemas.openxmlformats.org/officeDocument/2006/relationships/styles" Target="styles.xml"/><Relationship Id="rId6" Type="http://schemas.openxmlformats.org/officeDocument/2006/relationships/hyperlink" Target="https://www.ceta.org.co/html/vista_de_un_articulo.asp?Norma=183" TargetMode="External"/><Relationship Id="rId11" Type="http://schemas.openxmlformats.org/officeDocument/2006/relationships/hyperlink" Target="https://www.ceta.org.co/html/vista_de_un_articulo.asp?Norma=242" TargetMode="External"/><Relationship Id="rId24" Type="http://schemas.openxmlformats.org/officeDocument/2006/relationships/hyperlink" Target="https://www.ceta.org.co/html/vista_de_un_articulo.asp?Norma=29937" TargetMode="External"/><Relationship Id="rId32" Type="http://schemas.openxmlformats.org/officeDocument/2006/relationships/hyperlink" Target="https://www.ceta.org.co/html/vista_de_un_articulo.asp?Norma=242" TargetMode="External"/><Relationship Id="rId37" Type="http://schemas.openxmlformats.org/officeDocument/2006/relationships/hyperlink" Target="https://www.ceta.org.co/html/vista_de_un_articulo.asp?Norma=186" TargetMode="External"/><Relationship Id="rId40" Type="http://schemas.openxmlformats.org/officeDocument/2006/relationships/hyperlink" Target="https://www.ceta.org.co/html/vista_de_un_articulo.asp?Norma=56" TargetMode="External"/><Relationship Id="rId45" Type="http://schemas.openxmlformats.org/officeDocument/2006/relationships/hyperlink" Target="https://www.ceta.org.co/html/vista_de_un_articulo.asp?Norma=242" TargetMode="External"/><Relationship Id="rId5" Type="http://schemas.openxmlformats.org/officeDocument/2006/relationships/hyperlink" Target="https://www.ceta.org.co/html/vista_de_un_articulo.asp?Norma=151" TargetMode="External"/><Relationship Id="rId15" Type="http://schemas.openxmlformats.org/officeDocument/2006/relationships/hyperlink" Target="https://www.ceta.org.co/html/vista_de_un_articulo.asp?Norma=56" TargetMode="External"/><Relationship Id="rId23" Type="http://schemas.openxmlformats.org/officeDocument/2006/relationships/hyperlink" Target="https://www.ceta.org.co/html/vista_de_un_articulo.asp?Norma=29936" TargetMode="External"/><Relationship Id="rId28" Type="http://schemas.openxmlformats.org/officeDocument/2006/relationships/hyperlink" Target="https://www.ceta.org.co/html/vista_de_un_articulo.asp?Norma=394" TargetMode="External"/><Relationship Id="rId36" Type="http://schemas.openxmlformats.org/officeDocument/2006/relationships/hyperlink" Target="https://www.ceta.org.co/html/vista_de_un_articulo.asp?Norma=183" TargetMode="External"/><Relationship Id="rId10" Type="http://schemas.openxmlformats.org/officeDocument/2006/relationships/hyperlink" Target="https://www.ceta.org.co/html/vista_de_un_articulo.asp?Norma=319" TargetMode="External"/><Relationship Id="rId19" Type="http://schemas.openxmlformats.org/officeDocument/2006/relationships/hyperlink" Target="https://www.ceta.org.co/html/vista_de_un_articulo.asp?Norma=32" TargetMode="External"/><Relationship Id="rId31" Type="http://schemas.openxmlformats.org/officeDocument/2006/relationships/hyperlink" Target="https://www.ceta.org.co/html/vista_de_un_articulo.asp?Norma=56" TargetMode="External"/><Relationship Id="rId44" Type="http://schemas.openxmlformats.org/officeDocument/2006/relationships/hyperlink" Target="https://www.ceta.org.co/html/vista_de_un_articulo.asp?Norma=56" TargetMode="External"/><Relationship Id="rId4" Type="http://schemas.openxmlformats.org/officeDocument/2006/relationships/hyperlink" Target="https://www.ceta.org.co/html/vista_de_un_articulo.asp?Norma=56" TargetMode="External"/><Relationship Id="rId9" Type="http://schemas.openxmlformats.org/officeDocument/2006/relationships/hyperlink" Target="https://www.ceta.org.co/html/vista_de_un_articulo.asp?Norma=42483" TargetMode="External"/><Relationship Id="rId14" Type="http://schemas.openxmlformats.org/officeDocument/2006/relationships/hyperlink" Target="https://www.ceta.org.co/html/vista_de_un_articulo.asp?Norma=32" TargetMode="External"/><Relationship Id="rId22" Type="http://schemas.openxmlformats.org/officeDocument/2006/relationships/hyperlink" Target="https://www.ceta.org.co/html/vista_de_un_articulo.asp?Norma=730" TargetMode="External"/><Relationship Id="rId27" Type="http://schemas.openxmlformats.org/officeDocument/2006/relationships/hyperlink" Target="https://www.ceta.org.co/html/vista_de_un_articulo.asp?Norma=319" TargetMode="External"/><Relationship Id="rId30" Type="http://schemas.openxmlformats.org/officeDocument/2006/relationships/hyperlink" Target="https://www.ceta.org.co/html/vista_de_un_articulo.asp?Norma=56" TargetMode="External"/><Relationship Id="rId35" Type="http://schemas.openxmlformats.org/officeDocument/2006/relationships/hyperlink" Target="https://www.ceta.org.co/html/vista_de_un_articulo.asp?Norma=42483" TargetMode="External"/><Relationship Id="rId43" Type="http://schemas.openxmlformats.org/officeDocument/2006/relationships/hyperlink" Target="https://www.ceta.org.co/html/vista_de_un_articulo.asp?Norma=183" TargetMode="External"/><Relationship Id="rId48" Type="http://schemas.openxmlformats.org/officeDocument/2006/relationships/theme" Target="theme/theme1.xml"/><Relationship Id="rId8" Type="http://schemas.openxmlformats.org/officeDocument/2006/relationships/hyperlink" Target="https://www.ceta.org.co/html/vista_de_un_articulo.asp?Norma=242" TargetMode="External"/><Relationship Id="rId3" Type="http://schemas.openxmlformats.org/officeDocument/2006/relationships/webSettings" Target="webSettings.xml"/><Relationship Id="rId12" Type="http://schemas.openxmlformats.org/officeDocument/2006/relationships/hyperlink" Target="https://www.ceta.org.co/html/vista_de_un_articulo.asp?Norma=242" TargetMode="External"/><Relationship Id="rId17" Type="http://schemas.openxmlformats.org/officeDocument/2006/relationships/hyperlink" Target="https://www.ceta.org.co/html/vista_de_un_articulo.asp?Norma=394" TargetMode="External"/><Relationship Id="rId25" Type="http://schemas.openxmlformats.org/officeDocument/2006/relationships/hyperlink" Target="https://www.ceta.org.co/html/vista_de_un_articulo.asp?Norma=31" TargetMode="External"/><Relationship Id="rId33" Type="http://schemas.openxmlformats.org/officeDocument/2006/relationships/hyperlink" Target="https://www.ceta.org.co/html/vista_de_un_articulo.asp?Norma=242" TargetMode="External"/><Relationship Id="rId38" Type="http://schemas.openxmlformats.org/officeDocument/2006/relationships/hyperlink" Target="https://www.ceta.org.co/html/vista_de_un_articulo.asp?Norma=272" TargetMode="External"/><Relationship Id="rId46" Type="http://schemas.openxmlformats.org/officeDocument/2006/relationships/hyperlink" Target="https://www.ceta.org.co/html/vista_de_un_articulo.asp?Norma=42483" TargetMode="External"/><Relationship Id="rId20" Type="http://schemas.openxmlformats.org/officeDocument/2006/relationships/hyperlink" Target="https://www.ceta.org.co/html/vista_de_un_articulo.asp?Norma=730" TargetMode="External"/><Relationship Id="rId41" Type="http://schemas.openxmlformats.org/officeDocument/2006/relationships/hyperlink" Target="https://www.ceta.org.co/html/vista_de_un_articulo.asp?Norma=5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2940</Words>
  <Characters>16171</Characters>
  <Application>Microsoft Office Word</Application>
  <DocSecurity>0</DocSecurity>
  <Lines>134</Lines>
  <Paragraphs>38</Paragraphs>
  <ScaleCrop>false</ScaleCrop>
  <Company/>
  <LinksUpToDate>false</LinksUpToDate>
  <CharactersWithSpaces>19073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Guillermo Alzate Duque</cp:lastModifiedBy>
  <cp:revision>4</cp:revision>
  <dcterms:created xsi:type="dcterms:W3CDTF">2020-11-26T21:42:00Z</dcterms:created>
  <dcterms:modified xsi:type="dcterms:W3CDTF">2021-08-14T23:49:00Z</dcterms:modified>
</cp:coreProperties>
</file>