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3DE5" w14:textId="600E3362" w:rsidR="0071741D" w:rsidRDefault="0071741D" w:rsidP="0071741D">
      <w:pPr>
        <w:pStyle w:val="Sinespaciado"/>
        <w:jc w:val="both"/>
        <w:rPr>
          <w:rStyle w:val="Ttulo1Arial95pto"/>
          <w:rFonts w:ascii="Verdana" w:hAnsi="Verdana"/>
          <w:sz w:val="24"/>
          <w:szCs w:val="24"/>
        </w:rPr>
      </w:pPr>
      <w:bookmarkStart w:id="0" w:name="bookmark0"/>
      <w:r>
        <w:rPr>
          <w:rStyle w:val="Ttulo1Arial95pto"/>
          <w:rFonts w:ascii="Verdana" w:hAnsi="Verdana"/>
          <w:sz w:val="24"/>
          <w:szCs w:val="24"/>
        </w:rPr>
        <w:t>CONCEPTO 400 DEL 30 DE JUNIO DE 2021</w:t>
      </w:r>
    </w:p>
    <w:p w14:paraId="1BD613E4" w14:textId="4210E56A" w:rsidR="0071741D" w:rsidRDefault="0071741D" w:rsidP="0071741D">
      <w:pPr>
        <w:pStyle w:val="Sinespaciado"/>
        <w:jc w:val="both"/>
        <w:rPr>
          <w:rStyle w:val="Ttulo1Arial95pto"/>
          <w:rFonts w:ascii="Verdana" w:hAnsi="Verdana"/>
          <w:sz w:val="24"/>
          <w:szCs w:val="24"/>
        </w:rPr>
      </w:pPr>
      <w:r>
        <w:rPr>
          <w:rStyle w:val="Ttulo1Arial95pto"/>
          <w:rFonts w:ascii="Verdana" w:hAnsi="Verdana"/>
          <w:sz w:val="24"/>
          <w:szCs w:val="24"/>
        </w:rPr>
        <w:t>CONSEJO TÉCNICO DE LA CONTADURÍA PÚBLICA</w:t>
      </w:r>
    </w:p>
    <w:p w14:paraId="1D3DDA51" w14:textId="68ED21DA" w:rsidR="0071741D" w:rsidRDefault="0071741D" w:rsidP="0071741D">
      <w:pPr>
        <w:pStyle w:val="Sinespaciado"/>
        <w:jc w:val="both"/>
        <w:rPr>
          <w:rStyle w:val="Ttulo1Arial95pto"/>
          <w:rFonts w:ascii="Verdana" w:hAnsi="Verdana"/>
          <w:sz w:val="24"/>
          <w:szCs w:val="24"/>
        </w:rPr>
      </w:pPr>
    </w:p>
    <w:p w14:paraId="6C388C86" w14:textId="5D49F7EA" w:rsidR="0071741D" w:rsidRPr="0071741D" w:rsidRDefault="0071741D" w:rsidP="0071741D">
      <w:pPr>
        <w:pStyle w:val="Sinespaciado"/>
        <w:jc w:val="both"/>
        <w:rPr>
          <w:rStyle w:val="Ttulo1Arial95pto"/>
          <w:rFonts w:ascii="Verdana" w:hAnsi="Verdana"/>
          <w:b w:val="0"/>
          <w:bCs w:val="0"/>
          <w:sz w:val="24"/>
          <w:szCs w:val="24"/>
        </w:rPr>
      </w:pPr>
      <w:r w:rsidRPr="0071741D">
        <w:rPr>
          <w:rStyle w:val="Ttulo1Arial95pto"/>
          <w:rFonts w:ascii="Verdana" w:hAnsi="Verdana"/>
          <w:b w:val="0"/>
          <w:bCs w:val="0"/>
          <w:sz w:val="24"/>
          <w:szCs w:val="24"/>
        </w:rPr>
        <w:t>Bogotá, D.C.</w:t>
      </w:r>
    </w:p>
    <w:p w14:paraId="77B89412" w14:textId="79B8A146" w:rsidR="0071741D" w:rsidRDefault="0071741D" w:rsidP="0071741D">
      <w:pPr>
        <w:pStyle w:val="Sinespaciado"/>
        <w:jc w:val="both"/>
        <w:rPr>
          <w:rStyle w:val="Ttulo1Arial95pto"/>
          <w:rFonts w:ascii="Verdana" w:hAnsi="Verdana"/>
          <w:sz w:val="24"/>
          <w:szCs w:val="24"/>
        </w:rPr>
      </w:pPr>
    </w:p>
    <w:p w14:paraId="3B0FEF65" w14:textId="46BE262E" w:rsidR="0071741D" w:rsidRDefault="0071741D" w:rsidP="0071741D">
      <w:pPr>
        <w:pStyle w:val="Sinespaciado"/>
        <w:jc w:val="both"/>
        <w:rPr>
          <w:rStyle w:val="Ttulo1Arial95pto"/>
          <w:rFonts w:ascii="Verdana" w:hAnsi="Verdana"/>
          <w:sz w:val="24"/>
          <w:szCs w:val="24"/>
        </w:rPr>
      </w:pPr>
      <w:r>
        <w:rPr>
          <w:rStyle w:val="Ttulo1Arial95pto"/>
          <w:rFonts w:ascii="Verdana" w:hAnsi="Verdana"/>
          <w:sz w:val="24"/>
          <w:szCs w:val="24"/>
        </w:rPr>
        <w:t>REFERENCIA:</w:t>
      </w:r>
    </w:p>
    <w:p w14:paraId="5CCBE0A8" w14:textId="6B5FEBFF" w:rsidR="00C3016B" w:rsidRPr="0071741D" w:rsidRDefault="002E3EB4" w:rsidP="0071741D">
      <w:pPr>
        <w:pStyle w:val="Sinespaciado"/>
        <w:jc w:val="both"/>
        <w:rPr>
          <w:rFonts w:ascii="Verdana" w:hAnsi="Verdana"/>
          <w:b/>
          <w:bCs/>
        </w:rPr>
      </w:pPr>
      <w:r w:rsidRPr="0071741D">
        <w:rPr>
          <w:rStyle w:val="Ttulo1Arial95pto"/>
          <w:rFonts w:ascii="Verdana" w:hAnsi="Verdana"/>
          <w:sz w:val="24"/>
          <w:szCs w:val="24"/>
        </w:rPr>
        <w:t>No. de</w:t>
      </w:r>
      <w:r w:rsidR="0071741D" w:rsidRPr="0071741D">
        <w:rPr>
          <w:rStyle w:val="Ttulo1Arial95pto"/>
          <w:rFonts w:ascii="Verdana" w:hAnsi="Verdana"/>
          <w:sz w:val="24"/>
          <w:szCs w:val="24"/>
        </w:rPr>
        <w:t>l</w:t>
      </w:r>
      <w:r w:rsidRPr="0071741D">
        <w:rPr>
          <w:rStyle w:val="Ttulo1Arial95pto"/>
          <w:rFonts w:ascii="Verdana" w:hAnsi="Verdana"/>
          <w:sz w:val="24"/>
          <w:szCs w:val="24"/>
        </w:rPr>
        <w:t xml:space="preserve"> Radicado</w:t>
      </w:r>
      <w:r w:rsidR="0071741D">
        <w:rPr>
          <w:rStyle w:val="Ttulo1Arial95pto"/>
          <w:rFonts w:ascii="Verdana" w:hAnsi="Verdana"/>
          <w:b w:val="0"/>
          <w:bCs w:val="0"/>
          <w:sz w:val="24"/>
          <w:szCs w:val="24"/>
        </w:rPr>
        <w:tab/>
      </w:r>
      <w:r w:rsidR="0071741D">
        <w:rPr>
          <w:rStyle w:val="Ttulo1Arial95pto"/>
          <w:rFonts w:ascii="Verdana" w:hAnsi="Verdana"/>
          <w:b w:val="0"/>
          <w:bCs w:val="0"/>
          <w:sz w:val="24"/>
          <w:szCs w:val="24"/>
        </w:rPr>
        <w:tab/>
      </w:r>
      <w:r w:rsidRPr="0071741D">
        <w:rPr>
          <w:rStyle w:val="Ttulo1Arial95pto"/>
          <w:rFonts w:ascii="Verdana" w:hAnsi="Verdana"/>
          <w:b w:val="0"/>
          <w:bCs w:val="0"/>
          <w:sz w:val="24"/>
          <w:szCs w:val="24"/>
        </w:rPr>
        <w:t>1-2021-019828</w:t>
      </w:r>
      <w:bookmarkEnd w:id="0"/>
    </w:p>
    <w:p w14:paraId="147670FD" w14:textId="384C8A3C" w:rsidR="00C3016B" w:rsidRPr="0071741D" w:rsidRDefault="002E3EB4" w:rsidP="0071741D">
      <w:pPr>
        <w:pStyle w:val="Sinespaciado"/>
        <w:jc w:val="both"/>
        <w:rPr>
          <w:rFonts w:ascii="Verdana" w:hAnsi="Verdana"/>
        </w:rPr>
      </w:pPr>
      <w:r w:rsidRPr="0071741D">
        <w:rPr>
          <w:rFonts w:ascii="Verdana" w:hAnsi="Verdana"/>
          <w:b/>
          <w:bCs/>
        </w:rPr>
        <w:t>Fecha de Radicado</w:t>
      </w:r>
      <w:r w:rsidR="0071741D">
        <w:rPr>
          <w:rFonts w:ascii="Verdana" w:hAnsi="Verdana"/>
          <w:b/>
          <w:bCs/>
        </w:rPr>
        <w:tab/>
      </w:r>
      <w:r w:rsidR="0071741D">
        <w:rPr>
          <w:rFonts w:ascii="Verdana" w:hAnsi="Verdana"/>
          <w:b/>
          <w:bCs/>
        </w:rPr>
        <w:tab/>
      </w:r>
      <w:r w:rsidRPr="0071741D">
        <w:rPr>
          <w:rFonts w:ascii="Verdana" w:hAnsi="Verdana"/>
        </w:rPr>
        <w:t>30 de junio</w:t>
      </w:r>
      <w:r w:rsidRPr="0071741D">
        <w:rPr>
          <w:rFonts w:ascii="Verdana" w:hAnsi="Verdana"/>
        </w:rPr>
        <w:tab/>
        <w:t>de 2021</w:t>
      </w:r>
    </w:p>
    <w:p w14:paraId="1ED9593A" w14:textId="090A9CC2" w:rsidR="00C3016B" w:rsidRPr="0071741D" w:rsidRDefault="002E3EB4" w:rsidP="0071741D">
      <w:pPr>
        <w:pStyle w:val="Sinespaciado"/>
        <w:jc w:val="both"/>
        <w:rPr>
          <w:rFonts w:ascii="Verdana" w:hAnsi="Verdana"/>
        </w:rPr>
      </w:pPr>
      <w:r w:rsidRPr="0071741D">
        <w:rPr>
          <w:rFonts w:ascii="Verdana" w:hAnsi="Verdana"/>
          <w:b/>
          <w:bCs/>
        </w:rPr>
        <w:t>N° de Radicación CTCP</w:t>
      </w:r>
      <w:r w:rsidR="0071741D">
        <w:rPr>
          <w:rFonts w:ascii="Verdana" w:hAnsi="Verdana"/>
          <w:b/>
          <w:bCs/>
        </w:rPr>
        <w:tab/>
      </w:r>
      <w:r w:rsidRPr="0071741D">
        <w:rPr>
          <w:rFonts w:ascii="Verdana" w:hAnsi="Verdana"/>
        </w:rPr>
        <w:t>2021-0400</w:t>
      </w:r>
    </w:p>
    <w:p w14:paraId="1340CC35" w14:textId="447D4E89" w:rsidR="00C3016B" w:rsidRPr="0071741D" w:rsidRDefault="002E3EB4" w:rsidP="0071741D">
      <w:pPr>
        <w:pStyle w:val="Sinespaciado"/>
        <w:jc w:val="both"/>
        <w:rPr>
          <w:rFonts w:ascii="Verdana" w:hAnsi="Verdana"/>
        </w:rPr>
      </w:pPr>
      <w:r w:rsidRPr="0071741D">
        <w:rPr>
          <w:rFonts w:ascii="Verdana" w:hAnsi="Verdana"/>
          <w:b/>
          <w:bCs/>
        </w:rPr>
        <w:t>Tema</w:t>
      </w:r>
      <w:r w:rsidR="0071741D">
        <w:rPr>
          <w:rFonts w:ascii="Verdana" w:hAnsi="Verdana"/>
          <w:b/>
          <w:bCs/>
        </w:rPr>
        <w:tab/>
      </w:r>
      <w:r w:rsidR="0071741D">
        <w:rPr>
          <w:rFonts w:ascii="Verdana" w:hAnsi="Verdana"/>
          <w:b/>
          <w:bCs/>
        </w:rPr>
        <w:tab/>
      </w:r>
      <w:r w:rsidR="0071741D">
        <w:rPr>
          <w:rFonts w:ascii="Verdana" w:hAnsi="Verdana"/>
          <w:b/>
          <w:bCs/>
        </w:rPr>
        <w:tab/>
      </w:r>
      <w:r w:rsidR="0071741D">
        <w:rPr>
          <w:rFonts w:ascii="Verdana" w:hAnsi="Verdana"/>
          <w:b/>
          <w:bCs/>
        </w:rPr>
        <w:tab/>
      </w:r>
      <w:r w:rsidRPr="0071741D">
        <w:rPr>
          <w:rFonts w:ascii="Verdana" w:hAnsi="Verdana"/>
        </w:rPr>
        <w:t>Sistema de</w:t>
      </w:r>
      <w:r w:rsidRPr="0071741D">
        <w:rPr>
          <w:rFonts w:ascii="Verdana" w:hAnsi="Verdana"/>
        </w:rPr>
        <w:tab/>
        <w:t>información decimal</w:t>
      </w:r>
    </w:p>
    <w:p w14:paraId="631ECA50" w14:textId="77777777" w:rsidR="0071741D" w:rsidRDefault="0071741D" w:rsidP="0071741D">
      <w:pPr>
        <w:pStyle w:val="Sinespaciado"/>
        <w:jc w:val="both"/>
        <w:rPr>
          <w:rStyle w:val="Ttulo1Arial95pto"/>
          <w:rFonts w:ascii="Verdana" w:hAnsi="Verdana"/>
          <w:sz w:val="24"/>
          <w:szCs w:val="24"/>
        </w:rPr>
      </w:pPr>
      <w:bookmarkStart w:id="1" w:name="bookmark1"/>
    </w:p>
    <w:p w14:paraId="37E6C154" w14:textId="163AA6D4" w:rsidR="00C3016B" w:rsidRPr="0071741D" w:rsidRDefault="002E3EB4" w:rsidP="0071741D">
      <w:pPr>
        <w:pStyle w:val="Sinespaciado"/>
        <w:jc w:val="both"/>
        <w:rPr>
          <w:rFonts w:ascii="Verdana" w:hAnsi="Verdana"/>
        </w:rPr>
      </w:pPr>
      <w:r w:rsidRPr="0071741D">
        <w:rPr>
          <w:rStyle w:val="Ttulo1Arial95pto"/>
          <w:rFonts w:ascii="Verdana" w:hAnsi="Verdana"/>
          <w:sz w:val="24"/>
          <w:szCs w:val="24"/>
        </w:rPr>
        <w:t>CONSULTA (TEXTUAL)</w:t>
      </w:r>
      <w:bookmarkEnd w:id="1"/>
    </w:p>
    <w:p w14:paraId="6792843A" w14:textId="77777777" w:rsidR="0071741D" w:rsidRDefault="0071741D" w:rsidP="0071741D">
      <w:pPr>
        <w:pStyle w:val="Sinespaciado"/>
        <w:jc w:val="both"/>
        <w:rPr>
          <w:rFonts w:ascii="Verdana" w:hAnsi="Verdana"/>
        </w:rPr>
      </w:pPr>
    </w:p>
    <w:p w14:paraId="7B043DD2" w14:textId="271D9F02" w:rsidR="00C3016B" w:rsidRPr="0071741D" w:rsidRDefault="0071741D" w:rsidP="0071741D">
      <w:pPr>
        <w:pStyle w:val="Sinespaciado"/>
        <w:jc w:val="both"/>
        <w:rPr>
          <w:rFonts w:ascii="Verdana" w:hAnsi="Verdana"/>
          <w:i/>
          <w:iCs/>
        </w:rPr>
      </w:pPr>
      <w:r>
        <w:rPr>
          <w:rFonts w:ascii="Verdana" w:hAnsi="Verdana"/>
          <w:i/>
          <w:iCs/>
        </w:rPr>
        <w:t>“</w:t>
      </w:r>
      <w:r w:rsidR="002E3EB4" w:rsidRPr="0071741D">
        <w:rPr>
          <w:rFonts w:ascii="Verdana" w:hAnsi="Verdana"/>
          <w:i/>
          <w:iCs/>
        </w:rPr>
        <w:t>(...) Sé que</w:t>
      </w:r>
      <w:r>
        <w:rPr>
          <w:rFonts w:ascii="Verdana" w:hAnsi="Verdana"/>
          <w:i/>
          <w:iCs/>
        </w:rPr>
        <w:t xml:space="preserve"> </w:t>
      </w:r>
      <w:r w:rsidR="002E3EB4" w:rsidRPr="0071741D">
        <w:rPr>
          <w:rFonts w:ascii="Verdana" w:hAnsi="Verdana"/>
          <w:i/>
          <w:iCs/>
        </w:rPr>
        <w:t>años</w:t>
      </w:r>
      <w:r>
        <w:rPr>
          <w:rFonts w:ascii="Verdana" w:hAnsi="Verdana"/>
          <w:i/>
          <w:iCs/>
        </w:rPr>
        <w:t xml:space="preserve"> </w:t>
      </w:r>
      <w:r w:rsidR="002E3EB4" w:rsidRPr="0071741D">
        <w:rPr>
          <w:rFonts w:ascii="Verdana" w:hAnsi="Verdana"/>
          <w:i/>
          <w:iCs/>
        </w:rPr>
        <w:t>atrás</w:t>
      </w:r>
      <w:r>
        <w:rPr>
          <w:rFonts w:ascii="Verdana" w:hAnsi="Verdana"/>
          <w:i/>
          <w:iCs/>
        </w:rPr>
        <w:t xml:space="preserve"> </w:t>
      </w:r>
      <w:r w:rsidR="002E3EB4" w:rsidRPr="0071741D">
        <w:rPr>
          <w:rFonts w:ascii="Verdana" w:hAnsi="Verdana"/>
          <w:i/>
          <w:iCs/>
        </w:rPr>
        <w:t>se</w:t>
      </w:r>
      <w:r>
        <w:rPr>
          <w:rFonts w:ascii="Verdana" w:hAnsi="Verdana"/>
          <w:i/>
          <w:iCs/>
        </w:rPr>
        <w:t xml:space="preserve"> </w:t>
      </w:r>
      <w:r w:rsidR="002E3EB4" w:rsidRPr="0071741D">
        <w:rPr>
          <w:rFonts w:ascii="Verdana" w:hAnsi="Verdana"/>
          <w:i/>
          <w:iCs/>
        </w:rPr>
        <w:t>emitió</w:t>
      </w:r>
      <w:r>
        <w:rPr>
          <w:rFonts w:ascii="Verdana" w:hAnsi="Verdana"/>
          <w:i/>
          <w:iCs/>
        </w:rPr>
        <w:t xml:space="preserve"> </w:t>
      </w:r>
      <w:r w:rsidR="002E3EB4" w:rsidRPr="0071741D">
        <w:rPr>
          <w:rFonts w:ascii="Verdana" w:hAnsi="Verdana"/>
          <w:i/>
          <w:iCs/>
        </w:rPr>
        <w:t>una</w:t>
      </w:r>
      <w:r>
        <w:rPr>
          <w:rFonts w:ascii="Verdana" w:hAnsi="Verdana"/>
          <w:i/>
          <w:iCs/>
        </w:rPr>
        <w:t xml:space="preserve"> </w:t>
      </w:r>
      <w:r w:rsidR="002E3EB4" w:rsidRPr="0071741D">
        <w:rPr>
          <w:rFonts w:ascii="Verdana" w:hAnsi="Verdana"/>
          <w:i/>
          <w:iCs/>
        </w:rPr>
        <w:t>directriz</w:t>
      </w:r>
      <w:r>
        <w:rPr>
          <w:rFonts w:ascii="Verdana" w:hAnsi="Verdana"/>
          <w:i/>
          <w:iCs/>
        </w:rPr>
        <w:t xml:space="preserve"> </w:t>
      </w:r>
      <w:r w:rsidR="002E3EB4" w:rsidRPr="0071741D">
        <w:rPr>
          <w:rFonts w:ascii="Verdana" w:hAnsi="Verdana"/>
          <w:i/>
          <w:iCs/>
        </w:rPr>
        <w:t>relacionada</w:t>
      </w:r>
      <w:r>
        <w:rPr>
          <w:rFonts w:ascii="Verdana" w:hAnsi="Verdana"/>
          <w:i/>
          <w:iCs/>
        </w:rPr>
        <w:t xml:space="preserve"> </w:t>
      </w:r>
      <w:r w:rsidR="002E3EB4" w:rsidRPr="0071741D">
        <w:rPr>
          <w:rFonts w:ascii="Verdana" w:hAnsi="Verdana"/>
          <w:i/>
          <w:iCs/>
        </w:rPr>
        <w:t>con</w:t>
      </w:r>
      <w:r>
        <w:rPr>
          <w:rFonts w:ascii="Verdana" w:hAnsi="Verdana"/>
          <w:i/>
          <w:iCs/>
        </w:rPr>
        <w:t xml:space="preserve"> la “</w:t>
      </w:r>
      <w:r w:rsidR="002E3EB4" w:rsidRPr="0071741D">
        <w:rPr>
          <w:rFonts w:ascii="Verdana" w:hAnsi="Verdana"/>
          <w:i/>
          <w:iCs/>
        </w:rPr>
        <w:t>disminución</w:t>
      </w:r>
      <w:r>
        <w:rPr>
          <w:rFonts w:ascii="Verdana" w:hAnsi="Verdana"/>
          <w:i/>
          <w:iCs/>
        </w:rPr>
        <w:t xml:space="preserve"> </w:t>
      </w:r>
      <w:r w:rsidR="002E3EB4" w:rsidRPr="0071741D">
        <w:rPr>
          <w:rFonts w:ascii="Verdana" w:hAnsi="Verdana"/>
          <w:i/>
          <w:iCs/>
        </w:rPr>
        <w:t>o</w:t>
      </w:r>
      <w:r>
        <w:rPr>
          <w:rFonts w:ascii="Verdana" w:hAnsi="Verdana"/>
          <w:i/>
          <w:iCs/>
        </w:rPr>
        <w:t xml:space="preserve"> </w:t>
      </w:r>
      <w:r w:rsidR="002E3EB4" w:rsidRPr="0071741D">
        <w:rPr>
          <w:rFonts w:ascii="Verdana" w:hAnsi="Verdana"/>
          <w:i/>
          <w:iCs/>
        </w:rPr>
        <w:t>eliminación</w:t>
      </w:r>
      <w:r>
        <w:rPr>
          <w:rFonts w:ascii="Verdana" w:hAnsi="Verdana"/>
          <w:i/>
          <w:iCs/>
        </w:rPr>
        <w:t xml:space="preserve"> </w:t>
      </w:r>
      <w:r w:rsidR="002E3EB4" w:rsidRPr="0071741D">
        <w:rPr>
          <w:rFonts w:ascii="Verdana" w:hAnsi="Verdana"/>
          <w:i/>
          <w:iCs/>
        </w:rPr>
        <w:t>de</w:t>
      </w:r>
      <w:r>
        <w:rPr>
          <w:rFonts w:ascii="Verdana" w:hAnsi="Verdana"/>
          <w:i/>
          <w:iCs/>
        </w:rPr>
        <w:t xml:space="preserve"> </w:t>
      </w:r>
      <w:r w:rsidR="002E3EB4" w:rsidRPr="0071741D">
        <w:rPr>
          <w:rFonts w:ascii="Verdana" w:hAnsi="Verdana"/>
          <w:i/>
          <w:iCs/>
        </w:rPr>
        <w:t>los</w:t>
      </w:r>
      <w:r>
        <w:rPr>
          <w:rFonts w:ascii="Verdana" w:hAnsi="Verdana"/>
          <w:i/>
          <w:iCs/>
        </w:rPr>
        <w:t xml:space="preserve"> </w:t>
      </w:r>
      <w:r w:rsidR="002E3EB4" w:rsidRPr="0071741D">
        <w:rPr>
          <w:rFonts w:ascii="Verdana" w:hAnsi="Verdana"/>
          <w:i/>
          <w:iCs/>
        </w:rPr>
        <w:t>decimales</w:t>
      </w:r>
      <w:r>
        <w:rPr>
          <w:rFonts w:ascii="Verdana" w:hAnsi="Verdana"/>
          <w:i/>
          <w:iCs/>
        </w:rPr>
        <w:t xml:space="preserve">” </w:t>
      </w:r>
      <w:r w:rsidR="002E3EB4" w:rsidRPr="0071741D">
        <w:rPr>
          <w:rFonts w:ascii="Verdana" w:hAnsi="Verdana"/>
          <w:i/>
          <w:iCs/>
        </w:rPr>
        <w:t>a</w:t>
      </w:r>
      <w:r>
        <w:rPr>
          <w:rFonts w:ascii="Verdana" w:hAnsi="Verdana"/>
          <w:i/>
          <w:iCs/>
        </w:rPr>
        <w:t xml:space="preserve"> </w:t>
      </w:r>
      <w:r w:rsidR="002E3EB4" w:rsidRPr="0071741D">
        <w:rPr>
          <w:rFonts w:ascii="Verdana" w:hAnsi="Verdana"/>
          <w:i/>
          <w:iCs/>
        </w:rPr>
        <w:t>efecto</w:t>
      </w:r>
      <w:r>
        <w:rPr>
          <w:rFonts w:ascii="Verdana" w:hAnsi="Verdana"/>
          <w:i/>
          <w:iCs/>
        </w:rPr>
        <w:t xml:space="preserve"> </w:t>
      </w:r>
      <w:r w:rsidR="002E3EB4" w:rsidRPr="0071741D">
        <w:rPr>
          <w:rFonts w:ascii="Verdana" w:hAnsi="Verdana"/>
          <w:i/>
          <w:iCs/>
        </w:rPr>
        <w:t>de</w:t>
      </w:r>
      <w:r>
        <w:rPr>
          <w:rFonts w:ascii="Verdana" w:hAnsi="Verdana"/>
          <w:i/>
          <w:iCs/>
        </w:rPr>
        <w:t xml:space="preserve"> </w:t>
      </w:r>
      <w:r w:rsidR="002E3EB4" w:rsidRPr="0071741D">
        <w:rPr>
          <w:rFonts w:ascii="Verdana" w:hAnsi="Verdana"/>
          <w:i/>
          <w:iCs/>
        </w:rPr>
        <w:t>hacer</w:t>
      </w:r>
      <w:r>
        <w:rPr>
          <w:rFonts w:ascii="Verdana" w:hAnsi="Verdana"/>
          <w:i/>
          <w:iCs/>
        </w:rPr>
        <w:t xml:space="preserve"> </w:t>
      </w:r>
      <w:r w:rsidR="002E3EB4" w:rsidRPr="0071741D">
        <w:rPr>
          <w:rFonts w:ascii="Verdana" w:hAnsi="Verdana"/>
          <w:i/>
          <w:iCs/>
        </w:rPr>
        <w:t>más</w:t>
      </w:r>
      <w:r>
        <w:rPr>
          <w:rFonts w:ascii="Verdana" w:hAnsi="Verdana"/>
          <w:i/>
          <w:iCs/>
        </w:rPr>
        <w:t xml:space="preserve"> </w:t>
      </w:r>
      <w:r w:rsidR="002E3EB4" w:rsidRPr="0071741D">
        <w:rPr>
          <w:rFonts w:ascii="Verdana" w:hAnsi="Verdana"/>
          <w:i/>
          <w:iCs/>
        </w:rPr>
        <w:t>ágil</w:t>
      </w:r>
      <w:r>
        <w:rPr>
          <w:rFonts w:ascii="Verdana" w:hAnsi="Verdana"/>
          <w:i/>
          <w:iCs/>
        </w:rPr>
        <w:t xml:space="preserve"> </w:t>
      </w:r>
      <w:r w:rsidR="002E3EB4" w:rsidRPr="0071741D">
        <w:rPr>
          <w:rFonts w:ascii="Verdana" w:hAnsi="Verdana"/>
          <w:i/>
          <w:iCs/>
        </w:rPr>
        <w:t>o</w:t>
      </w:r>
      <w:r>
        <w:rPr>
          <w:rFonts w:ascii="Verdana" w:hAnsi="Verdana"/>
          <w:i/>
          <w:iCs/>
        </w:rPr>
        <w:t xml:space="preserve"> </w:t>
      </w:r>
      <w:r w:rsidR="002E3EB4" w:rsidRPr="0071741D">
        <w:rPr>
          <w:rFonts w:ascii="Verdana" w:hAnsi="Verdana"/>
          <w:i/>
          <w:iCs/>
        </w:rPr>
        <w:t>real</w:t>
      </w:r>
      <w:r>
        <w:rPr>
          <w:rFonts w:ascii="Verdana" w:hAnsi="Verdana"/>
          <w:i/>
          <w:iCs/>
        </w:rPr>
        <w:t xml:space="preserve"> </w:t>
      </w:r>
      <w:r w:rsidR="002E3EB4" w:rsidRPr="0071741D">
        <w:rPr>
          <w:rFonts w:ascii="Verdana" w:hAnsi="Verdana"/>
          <w:i/>
          <w:iCs/>
        </w:rPr>
        <w:t>la</w:t>
      </w:r>
      <w:r>
        <w:rPr>
          <w:rFonts w:ascii="Verdana" w:hAnsi="Verdana"/>
          <w:i/>
          <w:iCs/>
        </w:rPr>
        <w:t xml:space="preserve"> </w:t>
      </w:r>
      <w:r w:rsidR="002E3EB4" w:rsidRPr="0071741D">
        <w:rPr>
          <w:rFonts w:ascii="Verdana" w:hAnsi="Verdana"/>
          <w:i/>
          <w:iCs/>
        </w:rPr>
        <w:t>presentación de varías cifras que tenían aproximaciones decimales en informes</w:t>
      </w:r>
      <w:r w:rsidR="002E3EB4" w:rsidRPr="0071741D">
        <w:rPr>
          <w:rStyle w:val="Cuerpodeltexto8Sincursiva"/>
          <w:rFonts w:ascii="Verdana" w:hAnsi="Verdana"/>
          <w:i w:val="0"/>
          <w:iCs w:val="0"/>
          <w:sz w:val="24"/>
          <w:szCs w:val="24"/>
        </w:rPr>
        <w:t xml:space="preserve"> </w:t>
      </w:r>
      <w:r w:rsidR="002E3EB4" w:rsidRPr="0071741D">
        <w:rPr>
          <w:rStyle w:val="Cuerpodeltexto8Sincursiva"/>
          <w:rFonts w:ascii="Verdana" w:hAnsi="Verdana"/>
          <w:sz w:val="24"/>
          <w:szCs w:val="24"/>
        </w:rPr>
        <w:t>y</w:t>
      </w:r>
      <w:r w:rsidR="002E3EB4" w:rsidRPr="0071741D">
        <w:rPr>
          <w:rStyle w:val="Cuerpodeltexto8Sincursiva"/>
          <w:rFonts w:ascii="Verdana" w:hAnsi="Verdana"/>
          <w:i w:val="0"/>
          <w:iCs w:val="0"/>
          <w:sz w:val="24"/>
          <w:szCs w:val="24"/>
        </w:rPr>
        <w:t xml:space="preserve"> </w:t>
      </w:r>
      <w:r w:rsidR="002E3EB4" w:rsidRPr="0071741D">
        <w:rPr>
          <w:rFonts w:ascii="Verdana" w:hAnsi="Verdana"/>
          <w:i/>
          <w:iCs/>
        </w:rPr>
        <w:t>que por ello se hacía dificultoso la sumator</w:t>
      </w:r>
      <w:r>
        <w:rPr>
          <w:rFonts w:ascii="Verdana" w:hAnsi="Verdana"/>
          <w:i/>
          <w:iCs/>
        </w:rPr>
        <w:t>i</w:t>
      </w:r>
      <w:r w:rsidR="002E3EB4" w:rsidRPr="0071741D">
        <w:rPr>
          <w:rFonts w:ascii="Verdana" w:hAnsi="Verdana"/>
          <w:i/>
          <w:iCs/>
        </w:rPr>
        <w:t>a real para que se llegará a cuadrar de una manera exacta.</w:t>
      </w:r>
    </w:p>
    <w:p w14:paraId="17F01453" w14:textId="77777777" w:rsidR="0071741D" w:rsidRDefault="0071741D" w:rsidP="0071741D">
      <w:pPr>
        <w:pStyle w:val="Sinespaciado"/>
        <w:jc w:val="both"/>
        <w:rPr>
          <w:rFonts w:ascii="Verdana" w:hAnsi="Verdana"/>
          <w:i/>
          <w:iCs/>
        </w:rPr>
      </w:pPr>
    </w:p>
    <w:p w14:paraId="6CC498DF" w14:textId="3669E7D8" w:rsidR="00C3016B" w:rsidRPr="0071741D" w:rsidRDefault="002E3EB4" w:rsidP="0071741D">
      <w:pPr>
        <w:pStyle w:val="Sinespaciado"/>
        <w:jc w:val="both"/>
        <w:rPr>
          <w:rFonts w:ascii="Verdana" w:hAnsi="Verdana"/>
          <w:i/>
          <w:iCs/>
        </w:rPr>
      </w:pPr>
      <w:r w:rsidRPr="0071741D">
        <w:rPr>
          <w:rFonts w:ascii="Verdana" w:hAnsi="Verdana"/>
          <w:i/>
          <w:iCs/>
        </w:rPr>
        <w:t>No sé realmente cual fue el mecanismo utilizado (resolución, concepto, directiva), por ello acudo a sus archivos a efecto de establecer si aún se encuentra vigente</w:t>
      </w:r>
      <w:r w:rsidRPr="0071741D">
        <w:rPr>
          <w:rStyle w:val="Cuerpodeltexto8Sincursiva"/>
          <w:rFonts w:ascii="Verdana" w:hAnsi="Verdana"/>
          <w:i w:val="0"/>
          <w:iCs w:val="0"/>
          <w:sz w:val="24"/>
          <w:szCs w:val="24"/>
        </w:rPr>
        <w:t xml:space="preserve"> y </w:t>
      </w:r>
      <w:r w:rsidRPr="0071741D">
        <w:rPr>
          <w:rFonts w:ascii="Verdana" w:hAnsi="Verdana"/>
          <w:i/>
          <w:iCs/>
        </w:rPr>
        <w:t>si es así, se pueda mencionar como soporte de sustentación a efecto de agilizar una serle de procesos aritméticos-contables”.</w:t>
      </w:r>
    </w:p>
    <w:p w14:paraId="275FDEC5" w14:textId="77777777" w:rsidR="0071741D" w:rsidRDefault="0071741D" w:rsidP="0071741D">
      <w:pPr>
        <w:pStyle w:val="Sinespaciado"/>
        <w:jc w:val="both"/>
        <w:rPr>
          <w:rStyle w:val="Ttulo1Arial95pto"/>
          <w:rFonts w:ascii="Verdana" w:hAnsi="Verdana"/>
          <w:sz w:val="24"/>
          <w:szCs w:val="24"/>
        </w:rPr>
      </w:pPr>
      <w:bookmarkStart w:id="2" w:name="bookmark2"/>
    </w:p>
    <w:p w14:paraId="4D299F51" w14:textId="7048793C" w:rsidR="00C3016B" w:rsidRPr="0071741D" w:rsidRDefault="002E3EB4" w:rsidP="0071741D">
      <w:pPr>
        <w:pStyle w:val="Sinespaciado"/>
        <w:jc w:val="both"/>
        <w:rPr>
          <w:rFonts w:ascii="Verdana" w:hAnsi="Verdana"/>
        </w:rPr>
      </w:pPr>
      <w:r w:rsidRPr="0071741D">
        <w:rPr>
          <w:rStyle w:val="Ttulo1Arial95pto"/>
          <w:rFonts w:ascii="Verdana" w:hAnsi="Verdana"/>
          <w:sz w:val="24"/>
          <w:szCs w:val="24"/>
        </w:rPr>
        <w:t>CONSIDERACIONES Y CONCEPTO</w:t>
      </w:r>
      <w:bookmarkEnd w:id="2"/>
    </w:p>
    <w:p w14:paraId="15508945" w14:textId="77777777" w:rsidR="0071741D" w:rsidRDefault="0071741D" w:rsidP="0071741D">
      <w:pPr>
        <w:pStyle w:val="Sinespaciado"/>
        <w:jc w:val="both"/>
        <w:rPr>
          <w:rFonts w:ascii="Verdana" w:hAnsi="Verdana"/>
        </w:rPr>
      </w:pPr>
    </w:p>
    <w:p w14:paraId="50D1CD74" w14:textId="23F1FBAB" w:rsidR="00C3016B" w:rsidRPr="0071741D" w:rsidRDefault="002E3EB4" w:rsidP="0071741D">
      <w:pPr>
        <w:pStyle w:val="Sinespaciado"/>
        <w:jc w:val="both"/>
        <w:rPr>
          <w:rFonts w:ascii="Verdana" w:hAnsi="Verdana"/>
        </w:rPr>
      </w:pPr>
      <w:r w:rsidRPr="0071741D">
        <w:rPr>
          <w:rFonts w:ascii="Verdana" w:hAnsi="Verdana"/>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4617DC46" w14:textId="77777777" w:rsidR="0071741D" w:rsidRDefault="0071741D" w:rsidP="0071741D">
      <w:pPr>
        <w:pStyle w:val="Sinespaciado"/>
        <w:jc w:val="both"/>
        <w:rPr>
          <w:rFonts w:ascii="Verdana" w:hAnsi="Verdana"/>
        </w:rPr>
      </w:pPr>
    </w:p>
    <w:p w14:paraId="1BC3AB9E" w14:textId="4DAECDBE" w:rsidR="00C3016B" w:rsidRPr="0071741D" w:rsidRDefault="002E3EB4" w:rsidP="0071741D">
      <w:pPr>
        <w:pStyle w:val="Sinespaciado"/>
        <w:jc w:val="both"/>
        <w:rPr>
          <w:rFonts w:ascii="Verdana" w:hAnsi="Verdana"/>
        </w:rPr>
      </w:pPr>
      <w:r w:rsidRPr="0071741D">
        <w:rPr>
          <w:rFonts w:ascii="Verdana" w:hAnsi="Verdana"/>
        </w:rPr>
        <w:t>Respecto de la presentación de las cifras en los estados financieros, los marcos de información financiera, establecen:</w:t>
      </w:r>
    </w:p>
    <w:p w14:paraId="31255C73" w14:textId="77777777" w:rsidR="0071741D" w:rsidRDefault="0071741D" w:rsidP="0071741D">
      <w:pPr>
        <w:pStyle w:val="Sinespaciado"/>
        <w:jc w:val="both"/>
        <w:rPr>
          <w:rFonts w:ascii="Verdana" w:hAnsi="Verdana"/>
        </w:rPr>
      </w:pPr>
    </w:p>
    <w:p w14:paraId="0ECC5E7D" w14:textId="77777777" w:rsidR="0071741D" w:rsidRDefault="002E3EB4" w:rsidP="0071741D">
      <w:pPr>
        <w:pStyle w:val="Sinespaciado"/>
        <w:numPr>
          <w:ilvl w:val="0"/>
          <w:numId w:val="1"/>
        </w:numPr>
        <w:jc w:val="both"/>
        <w:rPr>
          <w:rFonts w:ascii="Verdana" w:hAnsi="Verdana"/>
        </w:rPr>
      </w:pPr>
      <w:r w:rsidRPr="0071741D">
        <w:rPr>
          <w:rFonts w:ascii="Verdana" w:hAnsi="Verdana"/>
        </w:rPr>
        <w:t xml:space="preserve">Anexo 1 del DUR 2420 de 2015. Las entidades deben revelar de manera clara, el grado de redondeo utilizado (pesos sin decimales, miles, millones, etc.) en la presentación de los estados financieros (NIC </w:t>
      </w:r>
      <w:r w:rsidRPr="0071741D">
        <w:rPr>
          <w:rFonts w:ascii="Verdana" w:hAnsi="Verdana"/>
        </w:rPr>
        <w:lastRenderedPageBreak/>
        <w:t>1.52(e) y NIC 1.53);</w:t>
      </w:r>
    </w:p>
    <w:p w14:paraId="4292D116" w14:textId="77777777" w:rsidR="0071741D" w:rsidRDefault="0071741D" w:rsidP="0071741D">
      <w:pPr>
        <w:pStyle w:val="Sinespaciado"/>
        <w:ind w:left="720"/>
        <w:jc w:val="both"/>
        <w:rPr>
          <w:rFonts w:ascii="Verdana" w:hAnsi="Verdana"/>
        </w:rPr>
      </w:pPr>
    </w:p>
    <w:p w14:paraId="34FE409E" w14:textId="51519A21" w:rsidR="00C3016B" w:rsidRPr="0071741D" w:rsidRDefault="002E3EB4" w:rsidP="0071741D">
      <w:pPr>
        <w:pStyle w:val="Sinespaciado"/>
        <w:numPr>
          <w:ilvl w:val="0"/>
          <w:numId w:val="1"/>
        </w:numPr>
        <w:jc w:val="both"/>
        <w:rPr>
          <w:rFonts w:ascii="Verdana" w:hAnsi="Verdana"/>
        </w:rPr>
      </w:pPr>
      <w:r w:rsidRPr="0071741D">
        <w:rPr>
          <w:rFonts w:ascii="Verdana" w:hAnsi="Verdana"/>
        </w:rPr>
        <w:t>Anexo 2 del DUR 2420 de 2015. Las entidades deben revelar de manera clara, el grado de redondeo utilizado (pesos sin decimales, miles, millones, etc.) en la presentación de los estados financieros (párrafo 3.23(e) NIIF para las Pymes)</w:t>
      </w:r>
    </w:p>
    <w:p w14:paraId="6B0D6A3A" w14:textId="77777777" w:rsidR="0071741D" w:rsidRDefault="0071741D" w:rsidP="0071741D">
      <w:pPr>
        <w:pStyle w:val="Sinespaciado"/>
        <w:jc w:val="both"/>
        <w:rPr>
          <w:rFonts w:ascii="Verdana" w:hAnsi="Verdana"/>
        </w:rPr>
      </w:pPr>
    </w:p>
    <w:p w14:paraId="1901B329" w14:textId="156BFE74" w:rsidR="00C3016B" w:rsidRPr="0071741D" w:rsidRDefault="002E3EB4" w:rsidP="0071741D">
      <w:pPr>
        <w:pStyle w:val="Sinespaciado"/>
        <w:jc w:val="both"/>
        <w:rPr>
          <w:rFonts w:ascii="Verdana" w:hAnsi="Verdana"/>
        </w:rPr>
      </w:pPr>
      <w:r w:rsidRPr="0071741D">
        <w:rPr>
          <w:rFonts w:ascii="Verdana" w:hAnsi="Verdana"/>
        </w:rPr>
        <w:t>Respecto del reconocimiento de transacciones, otros eventos y sucesos, en el sistema de información contable de la entidad, será responsabilidad de la administración decidir la forma en que se realizan el redondeo de la moneda en que son reconocidos y presentadas las cifras en los estados financieros, en todo caso deberá tenerse en cuenta que podrían existir diferencias entre el grado de redondeo utilizado para efectos del registro en el sistema de información contable y el grado de redondeo utilizado para la presentación de los estados financieros, para ello, deberá tenerse en cuenta el principio de importancia relativa o materialidad a que se refieren los marcos de información financiera aplicados y cualquier normatividad especifica del sector donde opera la entidad.</w:t>
      </w:r>
    </w:p>
    <w:p w14:paraId="3079CAAF" w14:textId="77777777" w:rsidR="0071741D" w:rsidRDefault="0071741D" w:rsidP="0071741D">
      <w:pPr>
        <w:pStyle w:val="Sinespaciado"/>
        <w:jc w:val="both"/>
        <w:rPr>
          <w:rFonts w:ascii="Verdana" w:hAnsi="Verdana"/>
        </w:rPr>
      </w:pPr>
    </w:p>
    <w:p w14:paraId="7142E37D" w14:textId="7CB114D9" w:rsidR="00C3016B" w:rsidRPr="0071741D" w:rsidRDefault="002E3EB4" w:rsidP="0071741D">
      <w:pPr>
        <w:pStyle w:val="Sinespaciado"/>
        <w:jc w:val="both"/>
        <w:rPr>
          <w:rFonts w:ascii="Verdana" w:hAnsi="Verdana"/>
        </w:rPr>
      </w:pPr>
      <w:r w:rsidRPr="0071741D">
        <w:rPr>
          <w:rFonts w:ascii="Verdana" w:hAnsi="Verdana"/>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73A60367" w14:textId="77777777" w:rsidR="0071741D" w:rsidRDefault="0071741D" w:rsidP="0071741D">
      <w:pPr>
        <w:pStyle w:val="Sinespaciado"/>
        <w:jc w:val="both"/>
        <w:rPr>
          <w:rFonts w:ascii="Verdana" w:hAnsi="Verdana"/>
        </w:rPr>
      </w:pPr>
    </w:p>
    <w:p w14:paraId="4662E071" w14:textId="77777777" w:rsidR="0071741D" w:rsidRDefault="0071741D" w:rsidP="0071741D">
      <w:pPr>
        <w:pStyle w:val="Sinespaciado"/>
        <w:jc w:val="both"/>
        <w:rPr>
          <w:rFonts w:ascii="Verdana" w:hAnsi="Verdana"/>
        </w:rPr>
      </w:pPr>
    </w:p>
    <w:p w14:paraId="2E1E2A12" w14:textId="5A492584" w:rsidR="00C3016B" w:rsidRDefault="002E3EB4" w:rsidP="0071741D">
      <w:pPr>
        <w:pStyle w:val="Sinespaciado"/>
        <w:jc w:val="both"/>
        <w:rPr>
          <w:rFonts w:ascii="Verdana" w:hAnsi="Verdana"/>
        </w:rPr>
      </w:pPr>
      <w:r w:rsidRPr="0071741D">
        <w:rPr>
          <w:rFonts w:ascii="Verdana" w:hAnsi="Verdana"/>
        </w:rPr>
        <w:t>Cordialmente,</w:t>
      </w:r>
    </w:p>
    <w:p w14:paraId="43312A52" w14:textId="50315ECF" w:rsidR="0071741D" w:rsidRDefault="0071741D" w:rsidP="0071741D">
      <w:pPr>
        <w:pStyle w:val="Sinespaciado"/>
        <w:jc w:val="both"/>
        <w:rPr>
          <w:rFonts w:ascii="Verdana" w:hAnsi="Verdana"/>
        </w:rPr>
      </w:pPr>
    </w:p>
    <w:p w14:paraId="110F0EEF" w14:textId="09BC913D" w:rsidR="0071741D" w:rsidRDefault="0071741D" w:rsidP="0071741D">
      <w:pPr>
        <w:pStyle w:val="Sinespaciado"/>
        <w:jc w:val="both"/>
        <w:rPr>
          <w:rFonts w:ascii="Verdana" w:hAnsi="Verdana"/>
        </w:rPr>
      </w:pPr>
    </w:p>
    <w:p w14:paraId="221C7D4C" w14:textId="39FF7F90" w:rsidR="0071741D" w:rsidRDefault="0071741D" w:rsidP="0071741D">
      <w:pPr>
        <w:pStyle w:val="Sinespaciado"/>
        <w:jc w:val="both"/>
        <w:rPr>
          <w:rFonts w:ascii="Verdana" w:hAnsi="Verdana"/>
        </w:rPr>
      </w:pPr>
    </w:p>
    <w:p w14:paraId="19CD7E92" w14:textId="45272C90" w:rsidR="0071741D" w:rsidRDefault="0071741D" w:rsidP="0071741D">
      <w:pPr>
        <w:pStyle w:val="Sinespaciado"/>
        <w:jc w:val="both"/>
        <w:rPr>
          <w:rFonts w:ascii="Verdana" w:hAnsi="Verdana"/>
          <w:b/>
          <w:bCs/>
        </w:rPr>
      </w:pPr>
      <w:r w:rsidRPr="0071741D">
        <w:rPr>
          <w:rFonts w:ascii="Verdana" w:hAnsi="Verdana"/>
          <w:b/>
          <w:bCs/>
        </w:rPr>
        <w:t>Leonardo Varón García</w:t>
      </w:r>
    </w:p>
    <w:p w14:paraId="0AE569DB" w14:textId="3EA1D17E" w:rsidR="0071741D" w:rsidRPr="0071741D" w:rsidRDefault="0071741D" w:rsidP="0071741D">
      <w:pPr>
        <w:pStyle w:val="Sinespaciado"/>
        <w:jc w:val="both"/>
        <w:rPr>
          <w:rFonts w:ascii="Verdana" w:hAnsi="Verdana"/>
        </w:rPr>
      </w:pPr>
      <w:r w:rsidRPr="0071741D">
        <w:rPr>
          <w:rFonts w:ascii="Verdana" w:hAnsi="Verdana"/>
        </w:rPr>
        <w:t>Consejero CTCP</w:t>
      </w:r>
    </w:p>
    <w:sectPr w:rsidR="0071741D" w:rsidRPr="0071741D" w:rsidSect="0071741D">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146E" w14:textId="77777777" w:rsidR="005A325E" w:rsidRDefault="005A325E">
      <w:r>
        <w:separator/>
      </w:r>
    </w:p>
  </w:endnote>
  <w:endnote w:type="continuationSeparator" w:id="0">
    <w:p w14:paraId="207C4879" w14:textId="77777777" w:rsidR="005A325E" w:rsidRDefault="005A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9947" w14:textId="77777777" w:rsidR="005A325E" w:rsidRDefault="005A325E"/>
  </w:footnote>
  <w:footnote w:type="continuationSeparator" w:id="0">
    <w:p w14:paraId="53434FD4" w14:textId="77777777" w:rsidR="005A325E" w:rsidRDefault="005A3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C7966"/>
    <w:multiLevelType w:val="hybridMultilevel"/>
    <w:tmpl w:val="17547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B"/>
    <w:rsid w:val="002E3EB4"/>
    <w:rsid w:val="005A325E"/>
    <w:rsid w:val="0071741D"/>
    <w:rsid w:val="00C3016B"/>
    <w:rsid w:val="00C86E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ABFF"/>
  <w15:docId w15:val="{7F7B4C5E-5403-40B8-AC42-871B9A24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Ttulo1">
    <w:name w:val="Título #1_"/>
    <w:basedOn w:val="Fuentedeprrafopredeter"/>
    <w:link w:val="Ttulo10"/>
    <w:rPr>
      <w:rFonts w:ascii="Segoe UI" w:eastAsia="Segoe UI" w:hAnsi="Segoe UI" w:cs="Segoe UI"/>
      <w:b/>
      <w:bCs/>
      <w:i w:val="0"/>
      <w:iCs w:val="0"/>
      <w:smallCaps w:val="0"/>
      <w:strike w:val="0"/>
      <w:sz w:val="22"/>
      <w:szCs w:val="22"/>
      <w:u w:val="none"/>
    </w:rPr>
  </w:style>
  <w:style w:type="character" w:customStyle="1" w:styleId="Ttulo1Arial95pto">
    <w:name w:val="Título #1 + Arial;9;5 pto"/>
    <w:basedOn w:val="Ttulo1"/>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sz w:val="19"/>
      <w:szCs w:val="19"/>
      <w:u w:val="none"/>
    </w:rPr>
  </w:style>
  <w:style w:type="character" w:customStyle="1" w:styleId="Cuerpodeltexto8">
    <w:name w:val="Cuerpo del texto (8)_"/>
    <w:basedOn w:val="Fuentedeprrafopredeter"/>
    <w:link w:val="Cuerpodeltexto80"/>
    <w:rPr>
      <w:rFonts w:ascii="Arial" w:eastAsia="Arial" w:hAnsi="Arial" w:cs="Arial"/>
      <w:b w:val="0"/>
      <w:bCs w:val="0"/>
      <w:i/>
      <w:iCs/>
      <w:smallCaps w:val="0"/>
      <w:strike w:val="0"/>
      <w:sz w:val="18"/>
      <w:szCs w:val="18"/>
      <w:u w:val="none"/>
    </w:rPr>
  </w:style>
  <w:style w:type="character" w:customStyle="1" w:styleId="Cuerpodeltexto8Sincursiva">
    <w:name w:val="Cuerpo del texto (8) + Sin cursiva"/>
    <w:basedOn w:val="Cuerpodeltexto8"/>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character" w:customStyle="1" w:styleId="Cuerpodeltexto9">
    <w:name w:val="Cuerpo del texto (9)_"/>
    <w:basedOn w:val="Fuentedeprrafopredeter"/>
    <w:link w:val="Cuerpodeltexto90"/>
    <w:rPr>
      <w:rFonts w:ascii="Arial" w:eastAsia="Arial" w:hAnsi="Arial" w:cs="Arial"/>
      <w:b w:val="0"/>
      <w:bCs w:val="0"/>
      <w:i w:val="0"/>
      <w:iCs w:val="0"/>
      <w:smallCaps w:val="0"/>
      <w:strike w:val="0"/>
      <w:sz w:val="18"/>
      <w:szCs w:val="18"/>
      <w:u w:val="none"/>
    </w:rPr>
  </w:style>
  <w:style w:type="character" w:customStyle="1" w:styleId="Cuerpodeltexto10">
    <w:name w:val="Cuerpo del texto (10)_"/>
    <w:basedOn w:val="Fuentedeprrafopredeter"/>
    <w:link w:val="Cuerpodeltexto100"/>
    <w:rPr>
      <w:rFonts w:ascii="Arial" w:eastAsia="Arial" w:hAnsi="Arial" w:cs="Arial"/>
      <w:b/>
      <w:bCs/>
      <w:i w:val="0"/>
      <w:iCs w:val="0"/>
      <w:smallCaps w:val="0"/>
      <w:strike w:val="0"/>
      <w:sz w:val="19"/>
      <w:szCs w:val="19"/>
      <w:u w:val="none"/>
    </w:rPr>
  </w:style>
  <w:style w:type="character" w:customStyle="1" w:styleId="Cuerpodeltexto109ptoSinnegrita">
    <w:name w:val="Cuerpo del texto (10) + 9 pto;Sin negrita"/>
    <w:basedOn w:val="Cuerpodeltexto10"/>
    <w:rPr>
      <w:rFonts w:ascii="Arial" w:eastAsia="Arial" w:hAnsi="Arial" w:cs="Arial"/>
      <w:b/>
      <w:bCs/>
      <w:i w:val="0"/>
      <w:iCs w:val="0"/>
      <w:smallCaps w:val="0"/>
      <w:strike w:val="0"/>
      <w:color w:val="000000"/>
      <w:spacing w:val="0"/>
      <w:w w:val="100"/>
      <w:position w:val="0"/>
      <w:sz w:val="18"/>
      <w:szCs w:val="18"/>
      <w:u w:val="none"/>
      <w:lang w:val="es-ES" w:eastAsia="es-ES" w:bidi="es-ES"/>
    </w:rPr>
  </w:style>
  <w:style w:type="paragraph" w:customStyle="1" w:styleId="Ttulo10">
    <w:name w:val="Título #1"/>
    <w:basedOn w:val="Normal"/>
    <w:link w:val="Ttulo1"/>
    <w:pPr>
      <w:shd w:val="clear" w:color="auto" w:fill="FFFFFF"/>
      <w:spacing w:line="206" w:lineRule="exact"/>
      <w:jc w:val="both"/>
      <w:outlineLvl w:val="0"/>
    </w:pPr>
    <w:rPr>
      <w:rFonts w:ascii="Segoe UI" w:eastAsia="Segoe UI" w:hAnsi="Segoe UI" w:cs="Segoe UI"/>
      <w:b/>
      <w:bCs/>
      <w:sz w:val="22"/>
      <w:szCs w:val="22"/>
    </w:rPr>
  </w:style>
  <w:style w:type="paragraph" w:customStyle="1" w:styleId="Cuerpodeltexto70">
    <w:name w:val="Cuerpo del texto (7)"/>
    <w:basedOn w:val="Normal"/>
    <w:link w:val="Cuerpodeltexto7"/>
    <w:pPr>
      <w:shd w:val="clear" w:color="auto" w:fill="FFFFFF"/>
      <w:spacing w:line="269" w:lineRule="exact"/>
      <w:jc w:val="both"/>
    </w:pPr>
    <w:rPr>
      <w:rFonts w:ascii="Arial" w:eastAsia="Arial" w:hAnsi="Arial" w:cs="Arial"/>
      <w:b/>
      <w:bCs/>
      <w:sz w:val="19"/>
      <w:szCs w:val="19"/>
    </w:rPr>
  </w:style>
  <w:style w:type="paragraph" w:customStyle="1" w:styleId="Cuerpodeltexto80">
    <w:name w:val="Cuerpo del texto (8)"/>
    <w:basedOn w:val="Normal"/>
    <w:link w:val="Cuerpodeltexto8"/>
    <w:pPr>
      <w:shd w:val="clear" w:color="auto" w:fill="FFFFFF"/>
      <w:spacing w:before="360" w:line="269" w:lineRule="exact"/>
      <w:ind w:hanging="400"/>
      <w:jc w:val="both"/>
    </w:pPr>
    <w:rPr>
      <w:rFonts w:ascii="Arial" w:eastAsia="Arial" w:hAnsi="Arial" w:cs="Arial"/>
      <w:i/>
      <w:iCs/>
      <w:sz w:val="18"/>
      <w:szCs w:val="18"/>
    </w:rPr>
  </w:style>
  <w:style w:type="paragraph" w:customStyle="1" w:styleId="Cuerpodeltexto90">
    <w:name w:val="Cuerpo del texto (9)"/>
    <w:basedOn w:val="Normal"/>
    <w:link w:val="Cuerpodeltexto9"/>
    <w:pPr>
      <w:shd w:val="clear" w:color="auto" w:fill="FFFFFF"/>
      <w:spacing w:before="360" w:after="240" w:line="269" w:lineRule="exact"/>
      <w:ind w:hanging="400"/>
      <w:jc w:val="both"/>
    </w:pPr>
    <w:rPr>
      <w:rFonts w:ascii="Arial" w:eastAsia="Arial" w:hAnsi="Arial" w:cs="Arial"/>
      <w:sz w:val="18"/>
      <w:szCs w:val="18"/>
    </w:rPr>
  </w:style>
  <w:style w:type="paragraph" w:customStyle="1" w:styleId="Cuerpodeltexto100">
    <w:name w:val="Cuerpo del texto (10)"/>
    <w:basedOn w:val="Normal"/>
    <w:link w:val="Cuerpodeltexto10"/>
    <w:pPr>
      <w:shd w:val="clear" w:color="auto" w:fill="FFFFFF"/>
      <w:spacing w:before="840" w:line="265" w:lineRule="exact"/>
    </w:pPr>
    <w:rPr>
      <w:rFonts w:ascii="Arial" w:eastAsia="Arial" w:hAnsi="Arial" w:cs="Arial"/>
      <w:b/>
      <w:bCs/>
      <w:sz w:val="19"/>
      <w:szCs w:val="19"/>
    </w:rPr>
  </w:style>
  <w:style w:type="paragraph" w:styleId="Sinespaciado">
    <w:name w:val="No Spacing"/>
    <w:uiPriority w:val="1"/>
    <w:qFormat/>
    <w:rsid w:val="0071741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2679</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CNETCO</dc:creator>
  <cp:lastModifiedBy>Guillermo Alzate Duque</cp:lastModifiedBy>
  <cp:revision>2</cp:revision>
  <dcterms:created xsi:type="dcterms:W3CDTF">2021-08-21T16:45:00Z</dcterms:created>
  <dcterms:modified xsi:type="dcterms:W3CDTF">2021-08-21T16:45:00Z</dcterms:modified>
</cp:coreProperties>
</file>