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49035" w14:textId="77777777" w:rsidR="00C20E0A" w:rsidRPr="00C20E0A" w:rsidRDefault="00C20E0A" w:rsidP="00C20E0A">
      <w:pPr>
        <w:spacing w:after="0" w:line="360" w:lineRule="auto"/>
        <w:jc w:val="center"/>
        <w:rPr>
          <w:rFonts w:eastAsia="Times New Roman" w:cs="Times New Roman"/>
          <w:color w:val="000000"/>
          <w:szCs w:val="24"/>
          <w:lang w:eastAsia="es-CO"/>
        </w:rPr>
      </w:pPr>
      <w:r w:rsidRPr="00C20E0A">
        <w:rPr>
          <w:rFonts w:eastAsia="Times New Roman" w:cs="Times New Roman"/>
          <w:b/>
          <w:bCs/>
          <w:color w:val="0000FF"/>
          <w:szCs w:val="24"/>
          <w:lang w:eastAsia="es-CO"/>
        </w:rPr>
        <w:t>CONSEJO DE ESTADO</w:t>
      </w:r>
    </w:p>
    <w:p w14:paraId="392D060A" w14:textId="77777777" w:rsidR="00C20E0A" w:rsidRPr="00C20E0A" w:rsidRDefault="00C20E0A" w:rsidP="00C20E0A">
      <w:pPr>
        <w:spacing w:after="0" w:line="360" w:lineRule="auto"/>
        <w:jc w:val="center"/>
        <w:rPr>
          <w:rFonts w:eastAsia="Times New Roman" w:cs="Times New Roman"/>
          <w:color w:val="000000"/>
          <w:szCs w:val="24"/>
          <w:lang w:eastAsia="es-CO"/>
        </w:rPr>
      </w:pPr>
      <w:r w:rsidRPr="00C20E0A">
        <w:rPr>
          <w:rFonts w:eastAsia="Times New Roman" w:cs="Times New Roman"/>
          <w:b/>
          <w:bCs/>
          <w:color w:val="0000FF"/>
          <w:szCs w:val="24"/>
          <w:lang w:eastAsia="es-CO"/>
        </w:rPr>
        <w:t>SALA DE LO CONTENCIOSO ADMINISTRATIVO</w:t>
      </w:r>
    </w:p>
    <w:p w14:paraId="0F4D7DBC" w14:textId="77777777" w:rsidR="00C20E0A" w:rsidRPr="00C20E0A" w:rsidRDefault="00C20E0A" w:rsidP="00C20E0A">
      <w:pPr>
        <w:spacing w:after="0" w:line="360" w:lineRule="auto"/>
        <w:jc w:val="center"/>
        <w:rPr>
          <w:rFonts w:eastAsia="Times New Roman" w:cs="Times New Roman"/>
          <w:color w:val="000000"/>
          <w:szCs w:val="24"/>
          <w:lang w:eastAsia="es-CO"/>
        </w:rPr>
      </w:pPr>
      <w:r w:rsidRPr="00C20E0A">
        <w:rPr>
          <w:rFonts w:eastAsia="Times New Roman" w:cs="Times New Roman"/>
          <w:b/>
          <w:bCs/>
          <w:color w:val="0000FF"/>
          <w:szCs w:val="24"/>
          <w:lang w:eastAsia="es-CO"/>
        </w:rPr>
        <w:t>SECCIÓN CUARTA</w:t>
      </w:r>
    </w:p>
    <w:p w14:paraId="2ADD4F71" w14:textId="77777777" w:rsidR="00C20E0A" w:rsidRPr="00C20E0A" w:rsidRDefault="00C20E0A" w:rsidP="00C20E0A">
      <w:pPr>
        <w:spacing w:after="0" w:line="360" w:lineRule="auto"/>
        <w:jc w:val="center"/>
        <w:rPr>
          <w:rFonts w:eastAsia="Times New Roman" w:cs="Times New Roman"/>
          <w:color w:val="000000"/>
          <w:szCs w:val="24"/>
          <w:lang w:eastAsia="es-CO"/>
        </w:rPr>
      </w:pPr>
      <w:r w:rsidRPr="00C20E0A">
        <w:rPr>
          <w:rFonts w:eastAsia="Times New Roman" w:cs="Times New Roman"/>
          <w:b/>
          <w:bCs/>
          <w:color w:val="0000FF"/>
          <w:szCs w:val="24"/>
          <w:lang w:eastAsia="es-CO"/>
        </w:rPr>
        <w:t> </w:t>
      </w:r>
    </w:p>
    <w:p w14:paraId="073D7A18" w14:textId="77777777" w:rsidR="00C20E0A" w:rsidRPr="00C20E0A" w:rsidRDefault="00C20E0A" w:rsidP="00C20E0A">
      <w:pPr>
        <w:spacing w:after="0" w:line="360" w:lineRule="auto"/>
        <w:jc w:val="center"/>
        <w:rPr>
          <w:rFonts w:eastAsia="Times New Roman" w:cs="Times New Roman"/>
          <w:color w:val="000000"/>
          <w:szCs w:val="24"/>
          <w:lang w:eastAsia="es-CO"/>
        </w:rPr>
      </w:pPr>
      <w:r w:rsidRPr="00C20E0A">
        <w:rPr>
          <w:rFonts w:eastAsia="Times New Roman" w:cs="Times New Roman"/>
          <w:b/>
          <w:bCs/>
          <w:color w:val="0000FF"/>
          <w:szCs w:val="24"/>
          <w:lang w:eastAsia="es-CO"/>
        </w:rPr>
        <w:t>Consejera ponente: STELLA JEANNETTE CARVAJAL BASTO</w:t>
      </w:r>
    </w:p>
    <w:p w14:paraId="5C81AE9A" w14:textId="77777777" w:rsidR="00C20E0A" w:rsidRPr="00C20E0A" w:rsidRDefault="00C20E0A" w:rsidP="00C20E0A">
      <w:pPr>
        <w:spacing w:after="0" w:line="360" w:lineRule="auto"/>
        <w:jc w:val="center"/>
        <w:rPr>
          <w:rFonts w:eastAsia="Times New Roman" w:cs="Times New Roman"/>
          <w:color w:val="000000"/>
          <w:szCs w:val="24"/>
          <w:lang w:eastAsia="es-CO"/>
        </w:rPr>
      </w:pPr>
      <w:r w:rsidRPr="00C20E0A">
        <w:rPr>
          <w:rFonts w:eastAsia="Times New Roman" w:cs="Times New Roman"/>
          <w:b/>
          <w:bCs/>
          <w:color w:val="0000FF"/>
          <w:szCs w:val="24"/>
          <w:lang w:eastAsia="es-CO"/>
        </w:rPr>
        <w:t>Bogotá D.C., tres (3) de junio de dos mil veintiuno (2021)</w:t>
      </w:r>
    </w:p>
    <w:p w14:paraId="76143983" w14:textId="77777777" w:rsidR="00C20E0A" w:rsidRPr="00C20E0A" w:rsidRDefault="00C20E0A" w:rsidP="00C20E0A">
      <w:pPr>
        <w:spacing w:after="0" w:line="360" w:lineRule="auto"/>
        <w:jc w:val="center"/>
        <w:rPr>
          <w:rFonts w:eastAsia="Times New Roman" w:cs="Times New Roman"/>
          <w:color w:val="000000"/>
          <w:szCs w:val="24"/>
          <w:lang w:eastAsia="es-CO"/>
        </w:rPr>
      </w:pPr>
      <w:r w:rsidRPr="00C20E0A">
        <w:rPr>
          <w:rFonts w:eastAsia="Times New Roman" w:cs="Times New Roman"/>
          <w:b/>
          <w:bCs/>
          <w:color w:val="0000FF"/>
          <w:szCs w:val="24"/>
          <w:lang w:eastAsia="es-CO"/>
        </w:rPr>
        <w:t>Radicación número: 25000-23-37-000-2017-00401-01(24898)</w:t>
      </w:r>
    </w:p>
    <w:p w14:paraId="00EF4231" w14:textId="77777777" w:rsidR="00C20E0A" w:rsidRPr="00C20E0A" w:rsidRDefault="00C20E0A" w:rsidP="00C20E0A">
      <w:pPr>
        <w:spacing w:after="0" w:line="360" w:lineRule="auto"/>
        <w:jc w:val="center"/>
        <w:rPr>
          <w:rFonts w:eastAsia="Times New Roman" w:cs="Times New Roman"/>
          <w:color w:val="000000"/>
          <w:szCs w:val="24"/>
          <w:lang w:eastAsia="es-CO"/>
        </w:rPr>
      </w:pPr>
      <w:r w:rsidRPr="00C20E0A">
        <w:rPr>
          <w:rFonts w:eastAsia="Times New Roman" w:cs="Times New Roman"/>
          <w:b/>
          <w:bCs/>
          <w:color w:val="0000FF"/>
          <w:szCs w:val="24"/>
          <w:lang w:eastAsia="es-CO"/>
        </w:rPr>
        <w:t>Actor: VD EL MUNDO A SUS PIES S.A.S. EN REORGANIZACIÓN</w:t>
      </w:r>
    </w:p>
    <w:p w14:paraId="75CAFEFB" w14:textId="77777777" w:rsidR="00C20E0A" w:rsidRPr="00C20E0A" w:rsidRDefault="00C20E0A" w:rsidP="00C20E0A">
      <w:pPr>
        <w:spacing w:after="0" w:line="360" w:lineRule="auto"/>
        <w:jc w:val="center"/>
        <w:rPr>
          <w:rFonts w:eastAsia="Times New Roman" w:cs="Times New Roman"/>
          <w:color w:val="000000"/>
          <w:szCs w:val="24"/>
          <w:lang w:eastAsia="es-CO"/>
        </w:rPr>
      </w:pPr>
      <w:r w:rsidRPr="00C20E0A">
        <w:rPr>
          <w:rFonts w:eastAsia="Times New Roman" w:cs="Times New Roman"/>
          <w:b/>
          <w:bCs/>
          <w:color w:val="0000FF"/>
          <w:szCs w:val="24"/>
          <w:lang w:eastAsia="es-CO"/>
        </w:rPr>
        <w:t>Demandado: DIRECCIÓN DE IMPUESTOS Y ADUANAS NACIONALES - DIAN</w:t>
      </w:r>
    </w:p>
    <w:p w14:paraId="07A4D155" w14:textId="77777777" w:rsidR="00C20E0A" w:rsidRPr="00C20E0A" w:rsidRDefault="00C20E0A" w:rsidP="00C20E0A">
      <w:pPr>
        <w:spacing w:after="0" w:line="360" w:lineRule="auto"/>
        <w:jc w:val="center"/>
        <w:rPr>
          <w:rFonts w:eastAsia="Times New Roman" w:cs="Times New Roman"/>
          <w:color w:val="000000"/>
          <w:szCs w:val="24"/>
          <w:lang w:eastAsia="es-CO"/>
        </w:rPr>
      </w:pPr>
      <w:r w:rsidRPr="00C20E0A">
        <w:rPr>
          <w:rFonts w:eastAsia="Times New Roman" w:cs="Times New Roman"/>
          <w:b/>
          <w:bCs/>
          <w:color w:val="0000FF"/>
          <w:szCs w:val="24"/>
          <w:lang w:eastAsia="es-CO"/>
        </w:rPr>
        <w:t> </w:t>
      </w:r>
    </w:p>
    <w:p w14:paraId="58FF6958" w14:textId="77777777" w:rsidR="00C20E0A" w:rsidRPr="00C20E0A" w:rsidRDefault="00C20E0A" w:rsidP="00C20E0A">
      <w:pPr>
        <w:spacing w:after="0" w:line="360" w:lineRule="auto"/>
        <w:jc w:val="center"/>
        <w:rPr>
          <w:rFonts w:eastAsia="Times New Roman" w:cs="Times New Roman"/>
          <w:color w:val="000000"/>
          <w:szCs w:val="24"/>
          <w:lang w:eastAsia="es-CO"/>
        </w:rPr>
      </w:pPr>
      <w:r w:rsidRPr="00C20E0A">
        <w:rPr>
          <w:rFonts w:eastAsia="Times New Roman" w:cs="Times New Roman"/>
          <w:b/>
          <w:bCs/>
          <w:color w:val="0000FF"/>
          <w:szCs w:val="24"/>
          <w:lang w:eastAsia="es-CO"/>
        </w:rPr>
        <w:t>FALLO</w:t>
      </w:r>
    </w:p>
    <w:p w14:paraId="59792909"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b/>
          <w:bCs/>
          <w:color w:val="000000"/>
          <w:szCs w:val="24"/>
          <w:lang w:eastAsia="es-CO"/>
        </w:rPr>
        <w:t> </w:t>
      </w:r>
    </w:p>
    <w:p w14:paraId="182836D5"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p w14:paraId="59CC46D2"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La Sala decide el recurso de apelación interpuesto por la demandante contra la sentencia del 3 de mayo de 2019, proferida por el Tribunal Administrativo de Cundinamarca, Sección Cuarta, Subsección B, que negó las pretensiones de la demanda y no condenó en costas.</w:t>
      </w:r>
    </w:p>
    <w:p w14:paraId="0CC5BE09"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b/>
          <w:bCs/>
          <w:color w:val="000000"/>
          <w:szCs w:val="24"/>
          <w:lang w:eastAsia="es-CO"/>
        </w:rPr>
        <w:t> </w:t>
      </w:r>
    </w:p>
    <w:p w14:paraId="19180749" w14:textId="77777777" w:rsidR="00C20E0A" w:rsidRPr="00C20E0A" w:rsidRDefault="00C20E0A" w:rsidP="00C20E0A">
      <w:pPr>
        <w:spacing w:after="0" w:line="360" w:lineRule="auto"/>
        <w:jc w:val="center"/>
        <w:rPr>
          <w:rFonts w:eastAsia="Times New Roman" w:cs="Times New Roman"/>
          <w:color w:val="000000"/>
          <w:szCs w:val="24"/>
          <w:lang w:eastAsia="es-CO"/>
        </w:rPr>
      </w:pPr>
      <w:r w:rsidRPr="00C20E0A">
        <w:rPr>
          <w:rFonts w:eastAsia="Times New Roman" w:cs="Times New Roman"/>
          <w:b/>
          <w:bCs/>
          <w:color w:val="000000"/>
          <w:szCs w:val="24"/>
          <w:lang w:eastAsia="es-CO"/>
        </w:rPr>
        <w:t>ANTECEDENTES</w:t>
      </w:r>
    </w:p>
    <w:p w14:paraId="49DC2ED8"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b/>
          <w:bCs/>
          <w:color w:val="000000"/>
          <w:szCs w:val="24"/>
          <w:lang w:eastAsia="es-CO"/>
        </w:rPr>
        <w:t> </w:t>
      </w:r>
    </w:p>
    <w:p w14:paraId="1EFDFE92"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Mediante escritura pública 162 del 24 de enero de 2011</w:t>
      </w:r>
      <w:bookmarkStart w:id="0" w:name="_ftnref1"/>
      <w:r w:rsidRPr="00C20E0A">
        <w:rPr>
          <w:rFonts w:eastAsia="Times New Roman" w:cs="Times New Roman"/>
          <w:color w:val="000000"/>
          <w:szCs w:val="24"/>
          <w:lang w:eastAsia="es-CO"/>
        </w:rPr>
        <w:fldChar w:fldCharType="begin"/>
      </w:r>
      <w:r w:rsidRPr="00C20E0A">
        <w:rPr>
          <w:rFonts w:eastAsia="Times New Roman" w:cs="Times New Roman"/>
          <w:color w:val="000000"/>
          <w:szCs w:val="24"/>
          <w:lang w:eastAsia="es-CO"/>
        </w:rPr>
        <w:instrText xml:space="preserve"> HYPERLINK "https://www.ceta.org.co/html/vista_de_un_documento.asp?DocumentoID=42284" \l "_ftn1" \o "" </w:instrText>
      </w:r>
      <w:r w:rsidRPr="00C20E0A">
        <w:rPr>
          <w:rFonts w:eastAsia="Times New Roman" w:cs="Times New Roman"/>
          <w:color w:val="000000"/>
          <w:szCs w:val="24"/>
          <w:lang w:eastAsia="es-CO"/>
        </w:rPr>
        <w:fldChar w:fldCharType="separate"/>
      </w:r>
      <w:r w:rsidRPr="00C20E0A">
        <w:rPr>
          <w:rFonts w:eastAsia="Times New Roman" w:cs="Times New Roman"/>
          <w:color w:val="0089E1"/>
          <w:szCs w:val="24"/>
          <w:lang w:eastAsia="es-CO"/>
        </w:rPr>
        <w:t>[1]</w:t>
      </w:r>
      <w:r w:rsidRPr="00C20E0A">
        <w:rPr>
          <w:rFonts w:eastAsia="Times New Roman" w:cs="Times New Roman"/>
          <w:color w:val="000000"/>
          <w:szCs w:val="24"/>
          <w:lang w:eastAsia="es-CO"/>
        </w:rPr>
        <w:fldChar w:fldCharType="end"/>
      </w:r>
      <w:bookmarkEnd w:id="0"/>
      <w:r w:rsidRPr="00C20E0A">
        <w:rPr>
          <w:rFonts w:eastAsia="Times New Roman" w:cs="Times New Roman"/>
          <w:color w:val="000000"/>
          <w:szCs w:val="24"/>
          <w:lang w:eastAsia="es-CO"/>
        </w:rPr>
        <w:t>, registrada el 27 de enero del mismo año, se protocolizó la fusión mediante la cual la sociedad VD El Mundo a sus Pies S. A.</w:t>
      </w:r>
      <w:bookmarkStart w:id="1" w:name="_ftnref2"/>
      <w:r w:rsidRPr="00C20E0A">
        <w:rPr>
          <w:rFonts w:eastAsia="Times New Roman" w:cs="Times New Roman"/>
          <w:color w:val="000000"/>
          <w:szCs w:val="24"/>
          <w:lang w:eastAsia="es-CO"/>
        </w:rPr>
        <w:fldChar w:fldCharType="begin"/>
      </w:r>
      <w:r w:rsidRPr="00C20E0A">
        <w:rPr>
          <w:rFonts w:eastAsia="Times New Roman" w:cs="Times New Roman"/>
          <w:color w:val="000000"/>
          <w:szCs w:val="24"/>
          <w:lang w:eastAsia="es-CO"/>
        </w:rPr>
        <w:instrText xml:space="preserve"> HYPERLINK "https://www.ceta.org.co/html/vista_de_un_documento.asp?DocumentoID=42284" \l "_ftn2" \o "" </w:instrText>
      </w:r>
      <w:r w:rsidRPr="00C20E0A">
        <w:rPr>
          <w:rFonts w:eastAsia="Times New Roman" w:cs="Times New Roman"/>
          <w:color w:val="000000"/>
          <w:szCs w:val="24"/>
          <w:lang w:eastAsia="es-CO"/>
        </w:rPr>
        <w:fldChar w:fldCharType="separate"/>
      </w:r>
      <w:r w:rsidRPr="00C20E0A">
        <w:rPr>
          <w:rFonts w:eastAsia="Times New Roman" w:cs="Times New Roman"/>
          <w:color w:val="0089E1"/>
          <w:szCs w:val="24"/>
          <w:lang w:eastAsia="es-CO"/>
        </w:rPr>
        <w:t>[2]</w:t>
      </w:r>
      <w:r w:rsidRPr="00C20E0A">
        <w:rPr>
          <w:rFonts w:eastAsia="Times New Roman" w:cs="Times New Roman"/>
          <w:color w:val="000000"/>
          <w:szCs w:val="24"/>
          <w:lang w:eastAsia="es-CO"/>
        </w:rPr>
        <w:fldChar w:fldCharType="end"/>
      </w:r>
      <w:bookmarkEnd w:id="1"/>
      <w:r w:rsidRPr="00C20E0A">
        <w:rPr>
          <w:rFonts w:eastAsia="Times New Roman" w:cs="Times New Roman"/>
          <w:color w:val="000000"/>
          <w:szCs w:val="24"/>
          <w:lang w:eastAsia="es-CO"/>
        </w:rPr>
        <w:t xml:space="preserve">, absorbió a </w:t>
      </w:r>
      <w:proofErr w:type="spellStart"/>
      <w:r w:rsidRPr="00C20E0A">
        <w:rPr>
          <w:rFonts w:eastAsia="Times New Roman" w:cs="Times New Roman"/>
          <w:color w:val="000000"/>
          <w:szCs w:val="24"/>
          <w:lang w:eastAsia="es-CO"/>
        </w:rPr>
        <w:t>Scarpines</w:t>
      </w:r>
      <w:proofErr w:type="spellEnd"/>
      <w:r w:rsidRPr="00C20E0A">
        <w:rPr>
          <w:rFonts w:eastAsia="Times New Roman" w:cs="Times New Roman"/>
          <w:color w:val="000000"/>
          <w:szCs w:val="24"/>
          <w:lang w:eastAsia="es-CO"/>
        </w:rPr>
        <w:t xml:space="preserve"> Ltda.</w:t>
      </w:r>
    </w:p>
    <w:p w14:paraId="111BE24F"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p w14:paraId="75C5BE2C"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El 13 de abril de 2011</w:t>
      </w:r>
      <w:bookmarkStart w:id="2" w:name="_ftnref3"/>
      <w:r w:rsidRPr="00C20E0A">
        <w:rPr>
          <w:rFonts w:eastAsia="Times New Roman" w:cs="Times New Roman"/>
          <w:color w:val="000000"/>
          <w:szCs w:val="24"/>
          <w:lang w:eastAsia="es-CO"/>
        </w:rPr>
        <w:fldChar w:fldCharType="begin"/>
      </w:r>
      <w:r w:rsidRPr="00C20E0A">
        <w:rPr>
          <w:rFonts w:eastAsia="Times New Roman" w:cs="Times New Roman"/>
          <w:color w:val="000000"/>
          <w:szCs w:val="24"/>
          <w:lang w:eastAsia="es-CO"/>
        </w:rPr>
        <w:instrText xml:space="preserve"> HYPERLINK "https://www.ceta.org.co/html/vista_de_un_documento.asp?DocumentoID=42284" \l "_ftn3" \o "" </w:instrText>
      </w:r>
      <w:r w:rsidRPr="00C20E0A">
        <w:rPr>
          <w:rFonts w:eastAsia="Times New Roman" w:cs="Times New Roman"/>
          <w:color w:val="000000"/>
          <w:szCs w:val="24"/>
          <w:lang w:eastAsia="es-CO"/>
        </w:rPr>
        <w:fldChar w:fldCharType="separate"/>
      </w:r>
      <w:r w:rsidRPr="00C20E0A">
        <w:rPr>
          <w:rFonts w:eastAsia="Times New Roman" w:cs="Times New Roman"/>
          <w:color w:val="0089E1"/>
          <w:szCs w:val="24"/>
          <w:lang w:eastAsia="es-CO"/>
        </w:rPr>
        <w:t>[3]</w:t>
      </w:r>
      <w:r w:rsidRPr="00C20E0A">
        <w:rPr>
          <w:rFonts w:eastAsia="Times New Roman" w:cs="Times New Roman"/>
          <w:color w:val="000000"/>
          <w:szCs w:val="24"/>
          <w:lang w:eastAsia="es-CO"/>
        </w:rPr>
        <w:fldChar w:fldCharType="end"/>
      </w:r>
      <w:bookmarkEnd w:id="2"/>
      <w:r w:rsidRPr="00C20E0A">
        <w:rPr>
          <w:rFonts w:eastAsia="Times New Roman" w:cs="Times New Roman"/>
          <w:color w:val="000000"/>
          <w:szCs w:val="24"/>
          <w:lang w:eastAsia="es-CO"/>
        </w:rPr>
        <w:t>, la sociedad VD El Mundo a sus Pies S.A. presentó su declaración del impuesto sobre la renta del año gravable 2010, corregida el 8 de octubre de 2013</w:t>
      </w:r>
      <w:bookmarkStart w:id="3" w:name="_ftnref4"/>
      <w:r w:rsidRPr="00C20E0A">
        <w:rPr>
          <w:rFonts w:eastAsia="Times New Roman" w:cs="Times New Roman"/>
          <w:color w:val="000000"/>
          <w:szCs w:val="24"/>
          <w:lang w:eastAsia="es-CO"/>
        </w:rPr>
        <w:fldChar w:fldCharType="begin"/>
      </w:r>
      <w:r w:rsidRPr="00C20E0A">
        <w:rPr>
          <w:rFonts w:eastAsia="Times New Roman" w:cs="Times New Roman"/>
          <w:color w:val="000000"/>
          <w:szCs w:val="24"/>
          <w:lang w:eastAsia="es-CO"/>
        </w:rPr>
        <w:instrText xml:space="preserve"> HYPERLINK "https://www.ceta.org.co/html/vista_de_un_documento.asp?DocumentoID=42284" \l "_ftn4" \o "" </w:instrText>
      </w:r>
      <w:r w:rsidRPr="00C20E0A">
        <w:rPr>
          <w:rFonts w:eastAsia="Times New Roman" w:cs="Times New Roman"/>
          <w:color w:val="000000"/>
          <w:szCs w:val="24"/>
          <w:lang w:eastAsia="es-CO"/>
        </w:rPr>
        <w:fldChar w:fldCharType="separate"/>
      </w:r>
      <w:r w:rsidRPr="00C20E0A">
        <w:rPr>
          <w:rFonts w:eastAsia="Times New Roman" w:cs="Times New Roman"/>
          <w:color w:val="0089E1"/>
          <w:szCs w:val="24"/>
          <w:lang w:eastAsia="es-CO"/>
        </w:rPr>
        <w:t>[4]</w:t>
      </w:r>
      <w:r w:rsidRPr="00C20E0A">
        <w:rPr>
          <w:rFonts w:eastAsia="Times New Roman" w:cs="Times New Roman"/>
          <w:color w:val="000000"/>
          <w:szCs w:val="24"/>
          <w:lang w:eastAsia="es-CO"/>
        </w:rPr>
        <w:fldChar w:fldCharType="end"/>
      </w:r>
      <w:bookmarkEnd w:id="3"/>
      <w:r w:rsidRPr="00C20E0A">
        <w:rPr>
          <w:rFonts w:eastAsia="Times New Roman" w:cs="Times New Roman"/>
          <w:color w:val="000000"/>
          <w:szCs w:val="24"/>
          <w:lang w:eastAsia="es-CO"/>
        </w:rPr>
        <w:t>.</w:t>
      </w:r>
    </w:p>
    <w:p w14:paraId="3E1D9725"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p w14:paraId="103C3558"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El 7 de noviembre de 2014, la División de Gestión de Fiscalización de Personas Jurídicas y Asimiladas de la Dirección Seccional de Impuestos de Bogotá formuló el emplazamiento para declarar 322402014000258</w:t>
      </w:r>
      <w:bookmarkStart w:id="4" w:name="_ftnref5"/>
      <w:r w:rsidRPr="00C20E0A">
        <w:rPr>
          <w:rFonts w:eastAsia="Times New Roman" w:cs="Times New Roman"/>
          <w:color w:val="000000"/>
          <w:szCs w:val="24"/>
          <w:lang w:eastAsia="es-CO"/>
        </w:rPr>
        <w:fldChar w:fldCharType="begin"/>
      </w:r>
      <w:r w:rsidRPr="00C20E0A">
        <w:rPr>
          <w:rFonts w:eastAsia="Times New Roman" w:cs="Times New Roman"/>
          <w:color w:val="000000"/>
          <w:szCs w:val="24"/>
          <w:lang w:eastAsia="es-CO"/>
        </w:rPr>
        <w:instrText xml:space="preserve"> HYPERLINK "https://www.ceta.org.co/html/vista_de_un_documento.asp?DocumentoID=42284" \l "_ftn5" \o "" </w:instrText>
      </w:r>
      <w:r w:rsidRPr="00C20E0A">
        <w:rPr>
          <w:rFonts w:eastAsia="Times New Roman" w:cs="Times New Roman"/>
          <w:color w:val="000000"/>
          <w:szCs w:val="24"/>
          <w:lang w:eastAsia="es-CO"/>
        </w:rPr>
        <w:fldChar w:fldCharType="separate"/>
      </w:r>
      <w:r w:rsidRPr="00C20E0A">
        <w:rPr>
          <w:rFonts w:eastAsia="Times New Roman" w:cs="Times New Roman"/>
          <w:color w:val="0089E1"/>
          <w:szCs w:val="24"/>
          <w:lang w:eastAsia="es-CO"/>
        </w:rPr>
        <w:t>[5]</w:t>
      </w:r>
      <w:r w:rsidRPr="00C20E0A">
        <w:rPr>
          <w:rFonts w:eastAsia="Times New Roman" w:cs="Times New Roman"/>
          <w:color w:val="000000"/>
          <w:szCs w:val="24"/>
          <w:lang w:eastAsia="es-CO"/>
        </w:rPr>
        <w:fldChar w:fldCharType="end"/>
      </w:r>
      <w:bookmarkEnd w:id="4"/>
      <w:r w:rsidRPr="00C20E0A">
        <w:rPr>
          <w:rFonts w:eastAsia="Times New Roman" w:cs="Times New Roman"/>
          <w:color w:val="000000"/>
          <w:szCs w:val="24"/>
          <w:lang w:eastAsia="es-CO"/>
        </w:rPr>
        <w:t xml:space="preserve">, a la sociedad </w:t>
      </w:r>
      <w:proofErr w:type="spellStart"/>
      <w:r w:rsidRPr="00C20E0A">
        <w:rPr>
          <w:rFonts w:eastAsia="Times New Roman" w:cs="Times New Roman"/>
          <w:color w:val="000000"/>
          <w:szCs w:val="24"/>
          <w:lang w:eastAsia="es-CO"/>
        </w:rPr>
        <w:t>Scarpines</w:t>
      </w:r>
      <w:proofErr w:type="spellEnd"/>
      <w:r w:rsidRPr="00C20E0A">
        <w:rPr>
          <w:rFonts w:eastAsia="Times New Roman" w:cs="Times New Roman"/>
          <w:color w:val="000000"/>
          <w:szCs w:val="24"/>
          <w:lang w:eastAsia="es-CO"/>
        </w:rPr>
        <w:t xml:space="preserve"> Ltda., en relación con el impuesto sobre la renta del año gravable 2010. En dicho acto se indicó que </w:t>
      </w:r>
      <w:r w:rsidRPr="00C20E0A">
        <w:rPr>
          <w:rFonts w:eastAsia="Times New Roman" w:cs="Times New Roman"/>
          <w:i/>
          <w:iCs/>
          <w:color w:val="000000"/>
          <w:szCs w:val="24"/>
          <w:lang w:eastAsia="es-CO"/>
        </w:rPr>
        <w:t xml:space="preserve">«la sociedad VD El Mundo a sus Pies debió presentar la declaración del impuesto sobre la renta indicando el nombre y razón social y NIT de la absorbida </w:t>
      </w:r>
      <w:proofErr w:type="spellStart"/>
      <w:r w:rsidRPr="00C20E0A">
        <w:rPr>
          <w:rFonts w:eastAsia="Times New Roman" w:cs="Times New Roman"/>
          <w:i/>
          <w:iCs/>
          <w:color w:val="000000"/>
          <w:szCs w:val="24"/>
          <w:lang w:eastAsia="es-CO"/>
        </w:rPr>
        <w:t>Scarpines</w:t>
      </w:r>
      <w:proofErr w:type="spellEnd"/>
      <w:r w:rsidRPr="00C20E0A">
        <w:rPr>
          <w:rFonts w:eastAsia="Times New Roman" w:cs="Times New Roman"/>
          <w:i/>
          <w:iCs/>
          <w:color w:val="000000"/>
          <w:szCs w:val="24"/>
          <w:lang w:eastAsia="es-CO"/>
        </w:rPr>
        <w:t xml:space="preserve"> Ltda.».</w:t>
      </w:r>
    </w:p>
    <w:p w14:paraId="70D72EB5"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p w14:paraId="0A27C95F"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Previa respuesta al emplazamiento, el 11 de noviembre de 2015</w:t>
      </w:r>
      <w:bookmarkStart w:id="5" w:name="_ftnref6"/>
      <w:r w:rsidRPr="00C20E0A">
        <w:rPr>
          <w:rFonts w:eastAsia="Times New Roman" w:cs="Times New Roman"/>
          <w:color w:val="000000"/>
          <w:szCs w:val="24"/>
          <w:lang w:eastAsia="es-CO"/>
        </w:rPr>
        <w:fldChar w:fldCharType="begin"/>
      </w:r>
      <w:r w:rsidRPr="00C20E0A">
        <w:rPr>
          <w:rFonts w:eastAsia="Times New Roman" w:cs="Times New Roman"/>
          <w:color w:val="000000"/>
          <w:szCs w:val="24"/>
          <w:lang w:eastAsia="es-CO"/>
        </w:rPr>
        <w:instrText xml:space="preserve"> HYPERLINK "https://www.ceta.org.co/html/vista_de_un_documento.asp?DocumentoID=42284" \l "_ftn6" \o "" </w:instrText>
      </w:r>
      <w:r w:rsidRPr="00C20E0A">
        <w:rPr>
          <w:rFonts w:eastAsia="Times New Roman" w:cs="Times New Roman"/>
          <w:color w:val="000000"/>
          <w:szCs w:val="24"/>
          <w:lang w:eastAsia="es-CO"/>
        </w:rPr>
        <w:fldChar w:fldCharType="separate"/>
      </w:r>
      <w:r w:rsidRPr="00C20E0A">
        <w:rPr>
          <w:rFonts w:eastAsia="Times New Roman" w:cs="Times New Roman"/>
          <w:color w:val="0089E1"/>
          <w:szCs w:val="24"/>
          <w:lang w:eastAsia="es-CO"/>
        </w:rPr>
        <w:t>[6]</w:t>
      </w:r>
      <w:r w:rsidRPr="00C20E0A">
        <w:rPr>
          <w:rFonts w:eastAsia="Times New Roman" w:cs="Times New Roman"/>
          <w:color w:val="000000"/>
          <w:szCs w:val="24"/>
          <w:lang w:eastAsia="es-CO"/>
        </w:rPr>
        <w:fldChar w:fldCharType="end"/>
      </w:r>
      <w:bookmarkEnd w:id="5"/>
      <w:r w:rsidRPr="00C20E0A">
        <w:rPr>
          <w:rFonts w:eastAsia="Times New Roman" w:cs="Times New Roman"/>
          <w:color w:val="000000"/>
          <w:szCs w:val="24"/>
          <w:lang w:eastAsia="es-CO"/>
        </w:rPr>
        <w:t xml:space="preserve">, la División de Gestión de Liquidación de la Dirección Seccional señalada, por Resolución 322412015000299, impuso sanción por no declarar de $5.947.061.000 a </w:t>
      </w:r>
      <w:proofErr w:type="spellStart"/>
      <w:r w:rsidRPr="00C20E0A">
        <w:rPr>
          <w:rFonts w:eastAsia="Times New Roman" w:cs="Times New Roman"/>
          <w:color w:val="000000"/>
          <w:szCs w:val="24"/>
          <w:lang w:eastAsia="es-CO"/>
        </w:rPr>
        <w:t>Scarpines</w:t>
      </w:r>
      <w:proofErr w:type="spellEnd"/>
      <w:r w:rsidRPr="00C20E0A">
        <w:rPr>
          <w:rFonts w:eastAsia="Times New Roman" w:cs="Times New Roman"/>
          <w:color w:val="000000"/>
          <w:szCs w:val="24"/>
          <w:lang w:eastAsia="es-CO"/>
        </w:rPr>
        <w:t xml:space="preserve"> Ltda., absorbida por VD El Mundo a sus Pies. La referida resolución precisó que era </w:t>
      </w:r>
      <w:r w:rsidRPr="00C20E0A">
        <w:rPr>
          <w:rFonts w:eastAsia="Times New Roman" w:cs="Times New Roman"/>
          <w:i/>
          <w:iCs/>
          <w:color w:val="000000"/>
          <w:szCs w:val="24"/>
          <w:lang w:eastAsia="es-CO"/>
        </w:rPr>
        <w:t>«responsabilidad de la sociedad absorbente VD El Mundo a sus Pies (…) presentar las declaraciones por dichos períodos indicando el nombre y razón social y NIT de la absorbida (…), </w:t>
      </w:r>
      <w:bookmarkStart w:id="6" w:name="_Hlk71220203"/>
      <w:r w:rsidRPr="00C20E0A">
        <w:rPr>
          <w:rFonts w:eastAsia="Times New Roman" w:cs="Times New Roman"/>
          <w:i/>
          <w:iCs/>
          <w:color w:val="0089E1"/>
          <w:szCs w:val="24"/>
          <w:lang w:eastAsia="es-CO"/>
        </w:rPr>
        <w:t xml:space="preserve">por lo cual es claro que por ser el período 2010 anterior </w:t>
      </w:r>
      <w:r w:rsidRPr="00C20E0A">
        <w:rPr>
          <w:rFonts w:eastAsia="Times New Roman" w:cs="Times New Roman"/>
          <w:i/>
          <w:iCs/>
          <w:color w:val="0089E1"/>
          <w:szCs w:val="24"/>
          <w:lang w:eastAsia="es-CO"/>
        </w:rPr>
        <w:lastRenderedPageBreak/>
        <w:t>al perfeccionamiento de la absorción se debió presentar las declaraciones de manera independiente»</w:t>
      </w:r>
      <w:bookmarkEnd w:id="6"/>
      <w:r w:rsidRPr="00C20E0A">
        <w:rPr>
          <w:rFonts w:eastAsia="Times New Roman" w:cs="Times New Roman"/>
          <w:color w:val="000000"/>
          <w:szCs w:val="24"/>
          <w:lang w:eastAsia="es-CO"/>
        </w:rPr>
        <w:t>.</w:t>
      </w:r>
    </w:p>
    <w:p w14:paraId="3364FF7A"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p w14:paraId="44A9CD7A"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Contra el acto sancionatorio se interpuso recurso de reconsideración, que fue decidido por la Resolución 008.227 del 26 de octubre de 2016, expedida por la Subdirección de Gestión de Recursos Jurídicos de la División de Gestión Jurídica de la DIAN, en el sentido de confirmar la resolución sanción. Este acto se notificó personalmente el 15 de noviembre de 2016</w:t>
      </w:r>
      <w:bookmarkStart w:id="7" w:name="_ftnref7"/>
      <w:r w:rsidRPr="00C20E0A">
        <w:rPr>
          <w:rFonts w:eastAsia="Times New Roman" w:cs="Times New Roman"/>
          <w:color w:val="000000"/>
          <w:szCs w:val="24"/>
          <w:lang w:eastAsia="es-CO"/>
        </w:rPr>
        <w:fldChar w:fldCharType="begin"/>
      </w:r>
      <w:r w:rsidRPr="00C20E0A">
        <w:rPr>
          <w:rFonts w:eastAsia="Times New Roman" w:cs="Times New Roman"/>
          <w:color w:val="000000"/>
          <w:szCs w:val="24"/>
          <w:lang w:eastAsia="es-CO"/>
        </w:rPr>
        <w:instrText xml:space="preserve"> HYPERLINK "https://www.ceta.org.co/html/vista_de_un_documento.asp?DocumentoID=42284" \l "_ftn7" \o "" </w:instrText>
      </w:r>
      <w:r w:rsidRPr="00C20E0A">
        <w:rPr>
          <w:rFonts w:eastAsia="Times New Roman" w:cs="Times New Roman"/>
          <w:color w:val="000000"/>
          <w:szCs w:val="24"/>
          <w:lang w:eastAsia="es-CO"/>
        </w:rPr>
        <w:fldChar w:fldCharType="separate"/>
      </w:r>
      <w:r w:rsidRPr="00C20E0A">
        <w:rPr>
          <w:rFonts w:eastAsia="Times New Roman" w:cs="Times New Roman"/>
          <w:color w:val="0089E1"/>
          <w:szCs w:val="24"/>
          <w:lang w:eastAsia="es-CO"/>
        </w:rPr>
        <w:t>[7]</w:t>
      </w:r>
      <w:r w:rsidRPr="00C20E0A">
        <w:rPr>
          <w:rFonts w:eastAsia="Times New Roman" w:cs="Times New Roman"/>
          <w:color w:val="000000"/>
          <w:szCs w:val="24"/>
          <w:lang w:eastAsia="es-CO"/>
        </w:rPr>
        <w:fldChar w:fldCharType="end"/>
      </w:r>
      <w:bookmarkEnd w:id="7"/>
      <w:r w:rsidRPr="00C20E0A">
        <w:rPr>
          <w:rFonts w:eastAsia="Times New Roman" w:cs="Times New Roman"/>
          <w:color w:val="000000"/>
          <w:szCs w:val="24"/>
          <w:lang w:eastAsia="es-CO"/>
        </w:rPr>
        <w:t>.</w:t>
      </w:r>
    </w:p>
    <w:p w14:paraId="413C9936"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p w14:paraId="4CCE88EE" w14:textId="77777777" w:rsidR="00C20E0A" w:rsidRPr="00C20E0A" w:rsidRDefault="00C20E0A" w:rsidP="00C20E0A">
      <w:pPr>
        <w:spacing w:after="0" w:line="360" w:lineRule="auto"/>
        <w:jc w:val="center"/>
        <w:rPr>
          <w:rFonts w:eastAsia="Times New Roman" w:cs="Times New Roman"/>
          <w:color w:val="000000"/>
          <w:szCs w:val="24"/>
          <w:lang w:eastAsia="es-CO"/>
        </w:rPr>
      </w:pPr>
      <w:r w:rsidRPr="00C20E0A">
        <w:rPr>
          <w:rFonts w:eastAsia="Times New Roman" w:cs="Times New Roman"/>
          <w:b/>
          <w:bCs/>
          <w:color w:val="000000"/>
          <w:szCs w:val="24"/>
          <w:lang w:eastAsia="es-CO"/>
        </w:rPr>
        <w:t>DEMANDA</w:t>
      </w:r>
    </w:p>
    <w:p w14:paraId="2A67E3E9"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p w14:paraId="6E9F2620"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La actora, a través de apoderado y en ejercicio del medio de control de nulidad y restablecimiento del derecho, formuló las siguientes pretensiones</w:t>
      </w:r>
      <w:bookmarkStart w:id="8" w:name="_ftnref8"/>
      <w:r w:rsidRPr="00C20E0A">
        <w:rPr>
          <w:rFonts w:eastAsia="Times New Roman" w:cs="Times New Roman"/>
          <w:color w:val="000000"/>
          <w:szCs w:val="24"/>
          <w:lang w:eastAsia="es-CO"/>
        </w:rPr>
        <w:fldChar w:fldCharType="begin"/>
      </w:r>
      <w:r w:rsidRPr="00C20E0A">
        <w:rPr>
          <w:rFonts w:eastAsia="Times New Roman" w:cs="Times New Roman"/>
          <w:color w:val="000000"/>
          <w:szCs w:val="24"/>
          <w:lang w:eastAsia="es-CO"/>
        </w:rPr>
        <w:instrText xml:space="preserve"> HYPERLINK "https://www.ceta.org.co/html/vista_de_un_documento.asp?DocumentoID=42284" \l "_ftn8" \o "" </w:instrText>
      </w:r>
      <w:r w:rsidRPr="00C20E0A">
        <w:rPr>
          <w:rFonts w:eastAsia="Times New Roman" w:cs="Times New Roman"/>
          <w:color w:val="000000"/>
          <w:szCs w:val="24"/>
          <w:lang w:eastAsia="es-CO"/>
        </w:rPr>
        <w:fldChar w:fldCharType="separate"/>
      </w:r>
      <w:r w:rsidRPr="00C20E0A">
        <w:rPr>
          <w:rFonts w:eastAsia="Times New Roman" w:cs="Times New Roman"/>
          <w:color w:val="0089E1"/>
          <w:szCs w:val="24"/>
          <w:lang w:eastAsia="es-CO"/>
        </w:rPr>
        <w:t>[8]</w:t>
      </w:r>
      <w:r w:rsidRPr="00C20E0A">
        <w:rPr>
          <w:rFonts w:eastAsia="Times New Roman" w:cs="Times New Roman"/>
          <w:color w:val="000000"/>
          <w:szCs w:val="24"/>
          <w:lang w:eastAsia="es-CO"/>
        </w:rPr>
        <w:fldChar w:fldCharType="end"/>
      </w:r>
      <w:bookmarkEnd w:id="8"/>
      <w:r w:rsidRPr="00C20E0A">
        <w:rPr>
          <w:rFonts w:eastAsia="Times New Roman" w:cs="Times New Roman"/>
          <w:color w:val="000000"/>
          <w:szCs w:val="24"/>
          <w:lang w:eastAsia="es-CO"/>
        </w:rPr>
        <w:t>:</w:t>
      </w:r>
    </w:p>
    <w:p w14:paraId="6A869A93"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p w14:paraId="48E4EA78" w14:textId="77777777" w:rsidR="00C20E0A" w:rsidRPr="00C20E0A" w:rsidRDefault="00C20E0A" w:rsidP="00C20E0A">
      <w:pPr>
        <w:spacing w:after="0" w:line="360" w:lineRule="auto"/>
        <w:ind w:left="284"/>
        <w:jc w:val="both"/>
        <w:rPr>
          <w:rFonts w:eastAsia="Times New Roman" w:cs="Times New Roman"/>
          <w:color w:val="000000"/>
          <w:szCs w:val="24"/>
          <w:lang w:eastAsia="es-CO"/>
        </w:rPr>
      </w:pPr>
      <w:r w:rsidRPr="00C20E0A">
        <w:rPr>
          <w:rFonts w:eastAsia="Times New Roman" w:cs="Times New Roman"/>
          <w:i/>
          <w:iCs/>
          <w:color w:val="000000"/>
          <w:szCs w:val="24"/>
          <w:lang w:eastAsia="es-CO"/>
        </w:rPr>
        <w:t>«Con esta acción se pretende obtener de ese despacho público la anulación y restablecimiento del derecho con respecto a los actos administrativos ya indicados</w:t>
      </w:r>
      <w:bookmarkStart w:id="9" w:name="_ftnref9"/>
      <w:r w:rsidRPr="00C20E0A">
        <w:rPr>
          <w:rFonts w:eastAsia="Times New Roman" w:cs="Times New Roman"/>
          <w:i/>
          <w:iCs/>
          <w:color w:val="000000"/>
          <w:szCs w:val="24"/>
          <w:lang w:eastAsia="es-CO"/>
        </w:rPr>
        <w:fldChar w:fldCharType="begin"/>
      </w:r>
      <w:r w:rsidRPr="00C20E0A">
        <w:rPr>
          <w:rFonts w:eastAsia="Times New Roman" w:cs="Times New Roman"/>
          <w:i/>
          <w:iCs/>
          <w:color w:val="000000"/>
          <w:szCs w:val="24"/>
          <w:lang w:eastAsia="es-CO"/>
        </w:rPr>
        <w:instrText xml:space="preserve"> HYPERLINK "https://www.ceta.org.co/html/vista_de_un_documento.asp?DocumentoID=42284" \l "_ftn9" \o "" </w:instrText>
      </w:r>
      <w:r w:rsidRPr="00C20E0A">
        <w:rPr>
          <w:rFonts w:eastAsia="Times New Roman" w:cs="Times New Roman"/>
          <w:i/>
          <w:iCs/>
          <w:color w:val="000000"/>
          <w:szCs w:val="24"/>
          <w:lang w:eastAsia="es-CO"/>
        </w:rPr>
        <w:fldChar w:fldCharType="separate"/>
      </w:r>
      <w:r w:rsidRPr="00C20E0A">
        <w:rPr>
          <w:rFonts w:eastAsia="Times New Roman" w:cs="Times New Roman"/>
          <w:b/>
          <w:bCs/>
          <w:i/>
          <w:iCs/>
          <w:color w:val="0089E1"/>
          <w:szCs w:val="24"/>
          <w:lang w:eastAsia="es-CO"/>
        </w:rPr>
        <w:t>[9]</w:t>
      </w:r>
      <w:r w:rsidRPr="00C20E0A">
        <w:rPr>
          <w:rFonts w:eastAsia="Times New Roman" w:cs="Times New Roman"/>
          <w:i/>
          <w:iCs/>
          <w:color w:val="000000"/>
          <w:szCs w:val="24"/>
          <w:lang w:eastAsia="es-CO"/>
        </w:rPr>
        <w:fldChar w:fldCharType="end"/>
      </w:r>
      <w:bookmarkEnd w:id="9"/>
      <w:r w:rsidRPr="00C20E0A">
        <w:rPr>
          <w:rFonts w:eastAsia="Times New Roman" w:cs="Times New Roman"/>
          <w:i/>
          <w:iCs/>
          <w:color w:val="000000"/>
          <w:szCs w:val="24"/>
          <w:lang w:eastAsia="es-CO"/>
        </w:rPr>
        <w:t>, conforme lo establece el artículo 85 del Código Contencioso Administrativo, dado que la sociedad al haber sido Absorbida por Fusión por la Sociedad VD EL MUNDO A SUS PIES S.A.S. esta era la que estaba obligada a declarar todas las actividades desarrolladas por SCARPINES LTDA. durante el año 2010 como en efecto así se cumplió.»</w:t>
      </w:r>
    </w:p>
    <w:p w14:paraId="1103DB1C"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p w14:paraId="5BF968A8"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Invocó como disposiciones violadas los artículos </w:t>
      </w:r>
      <w:hyperlink r:id="rId4" w:tooltip="Estatuto Tributario CETA" w:history="1">
        <w:r w:rsidRPr="00C20E0A">
          <w:rPr>
            <w:rFonts w:eastAsia="Times New Roman" w:cs="Times New Roman"/>
            <w:color w:val="0089E1"/>
            <w:szCs w:val="24"/>
            <w:u w:val="single"/>
            <w:lang w:eastAsia="es-CO"/>
          </w:rPr>
          <w:t>683</w:t>
        </w:r>
      </w:hyperlink>
      <w:r w:rsidRPr="00C20E0A">
        <w:rPr>
          <w:rFonts w:eastAsia="Times New Roman" w:cs="Times New Roman"/>
          <w:color w:val="000000"/>
          <w:szCs w:val="24"/>
          <w:lang w:eastAsia="es-CO"/>
        </w:rPr>
        <w:t> y </w:t>
      </w:r>
      <w:hyperlink r:id="rId5" w:tooltip="Estatuto Tributario CETA" w:history="1">
        <w:r w:rsidRPr="00C20E0A">
          <w:rPr>
            <w:rFonts w:eastAsia="Times New Roman" w:cs="Times New Roman"/>
            <w:color w:val="0089E1"/>
            <w:szCs w:val="24"/>
            <w:u w:val="single"/>
            <w:lang w:eastAsia="es-CO"/>
          </w:rPr>
          <w:t>730</w:t>
        </w:r>
      </w:hyperlink>
      <w:r w:rsidRPr="00C20E0A">
        <w:rPr>
          <w:rFonts w:eastAsia="Times New Roman" w:cs="Times New Roman"/>
          <w:color w:val="000000"/>
          <w:szCs w:val="24"/>
          <w:lang w:eastAsia="es-CO"/>
        </w:rPr>
        <w:t>-1 del Estatuto Tributario, y 172 del Código de Comercio.</w:t>
      </w:r>
    </w:p>
    <w:p w14:paraId="0A30EAAC"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p w14:paraId="11A782B5"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Como concepto de la violación expuso, en síntesis, lo siguiente:</w:t>
      </w:r>
    </w:p>
    <w:p w14:paraId="624E1266"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p w14:paraId="6824B92E"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Manifestó que el emplazamiento para declarar a la sociedad absorbida </w:t>
      </w:r>
      <w:r w:rsidRPr="00C20E0A">
        <w:rPr>
          <w:rFonts w:eastAsia="Times New Roman" w:cs="Times New Roman"/>
          <w:i/>
          <w:iCs/>
          <w:color w:val="000000"/>
          <w:szCs w:val="24"/>
          <w:lang w:eastAsia="es-CO"/>
        </w:rPr>
        <w:t>-</w:t>
      </w:r>
      <w:proofErr w:type="spellStart"/>
      <w:r w:rsidRPr="00C20E0A">
        <w:rPr>
          <w:rFonts w:eastAsia="Times New Roman" w:cs="Times New Roman"/>
          <w:i/>
          <w:iCs/>
          <w:color w:val="000000"/>
          <w:szCs w:val="24"/>
          <w:lang w:eastAsia="es-CO"/>
        </w:rPr>
        <w:t>Scarpines</w:t>
      </w:r>
      <w:proofErr w:type="spellEnd"/>
      <w:r w:rsidRPr="00C20E0A">
        <w:rPr>
          <w:rFonts w:eastAsia="Times New Roman" w:cs="Times New Roman"/>
          <w:i/>
          <w:iCs/>
          <w:color w:val="000000"/>
          <w:szCs w:val="24"/>
          <w:lang w:eastAsia="es-CO"/>
        </w:rPr>
        <w:t xml:space="preserve"> Ltda.-</w:t>
      </w:r>
      <w:r w:rsidRPr="00C20E0A">
        <w:rPr>
          <w:rFonts w:eastAsia="Times New Roman" w:cs="Times New Roman"/>
          <w:color w:val="000000"/>
          <w:szCs w:val="24"/>
          <w:lang w:eastAsia="es-CO"/>
        </w:rPr>
        <w:t xml:space="preserve"> es: i) nulo por falta de competencia, porque debió expedirlo la Dirección Seccional de Impuestos de Grandes Contribuyentes, atendiendo la calidad de la sociedad absorbente VD El Mundo a sus Pies S.A.S; </w:t>
      </w:r>
      <w:proofErr w:type="spellStart"/>
      <w:r w:rsidRPr="00C20E0A">
        <w:rPr>
          <w:rFonts w:eastAsia="Times New Roman" w:cs="Times New Roman"/>
          <w:color w:val="000000"/>
          <w:szCs w:val="24"/>
          <w:lang w:eastAsia="es-CO"/>
        </w:rPr>
        <w:t>ii</w:t>
      </w:r>
      <w:proofErr w:type="spellEnd"/>
      <w:r w:rsidRPr="00C20E0A">
        <w:rPr>
          <w:rFonts w:eastAsia="Times New Roman" w:cs="Times New Roman"/>
          <w:color w:val="000000"/>
          <w:szCs w:val="24"/>
          <w:lang w:eastAsia="es-CO"/>
        </w:rPr>
        <w:t>) improcedente, pues en la declaración de renta del año gravable 2010, la absorbente incluyó las operaciones de la sociedad absorbida, como se acreditó mediante certificación de revisor fiscal</w:t>
      </w:r>
      <w:r w:rsidRPr="00C20E0A">
        <w:rPr>
          <w:rFonts w:eastAsia="Times New Roman" w:cs="Times New Roman"/>
          <w:i/>
          <w:iCs/>
          <w:color w:val="000000"/>
          <w:szCs w:val="24"/>
          <w:lang w:eastAsia="es-CO"/>
        </w:rPr>
        <w:t>; </w:t>
      </w:r>
      <w:r w:rsidRPr="00C20E0A">
        <w:rPr>
          <w:rFonts w:eastAsia="Times New Roman" w:cs="Times New Roman"/>
          <w:color w:val="000000"/>
          <w:szCs w:val="24"/>
          <w:lang w:eastAsia="es-CO"/>
        </w:rPr>
        <w:t>e </w:t>
      </w:r>
      <w:proofErr w:type="spellStart"/>
      <w:r w:rsidRPr="00C20E0A">
        <w:rPr>
          <w:rFonts w:eastAsia="Times New Roman" w:cs="Times New Roman"/>
          <w:color w:val="000000"/>
          <w:szCs w:val="24"/>
          <w:lang w:eastAsia="es-CO"/>
        </w:rPr>
        <w:t>iii</w:t>
      </w:r>
      <w:proofErr w:type="spellEnd"/>
      <w:r w:rsidRPr="00C20E0A">
        <w:rPr>
          <w:rFonts w:eastAsia="Times New Roman" w:cs="Times New Roman"/>
          <w:color w:val="000000"/>
          <w:szCs w:val="24"/>
          <w:lang w:eastAsia="es-CO"/>
        </w:rPr>
        <w:t xml:space="preserve">) ineficaz, porque cuando se expidió, </w:t>
      </w:r>
      <w:proofErr w:type="spellStart"/>
      <w:r w:rsidRPr="00C20E0A">
        <w:rPr>
          <w:rFonts w:eastAsia="Times New Roman" w:cs="Times New Roman"/>
          <w:color w:val="000000"/>
          <w:szCs w:val="24"/>
          <w:lang w:eastAsia="es-CO"/>
        </w:rPr>
        <w:t>Scarpines</w:t>
      </w:r>
      <w:proofErr w:type="spellEnd"/>
      <w:r w:rsidRPr="00C20E0A">
        <w:rPr>
          <w:rFonts w:eastAsia="Times New Roman" w:cs="Times New Roman"/>
          <w:color w:val="000000"/>
          <w:szCs w:val="24"/>
          <w:lang w:eastAsia="es-CO"/>
        </w:rPr>
        <w:t xml:space="preserve"> Ltda. había sido absorbida y las obligaciones tributarias recaían sobre la absorbente.</w:t>
      </w:r>
    </w:p>
    <w:p w14:paraId="63E109A7"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p w14:paraId="4B3C33BE" w14:textId="77777777" w:rsidR="00C20E0A" w:rsidRPr="00C20E0A" w:rsidRDefault="00C20E0A" w:rsidP="00C20E0A">
      <w:pPr>
        <w:spacing w:after="0" w:line="360" w:lineRule="auto"/>
        <w:jc w:val="center"/>
        <w:rPr>
          <w:rFonts w:eastAsia="Times New Roman" w:cs="Times New Roman"/>
          <w:color w:val="000000"/>
          <w:szCs w:val="24"/>
          <w:lang w:eastAsia="es-CO"/>
        </w:rPr>
      </w:pPr>
      <w:r w:rsidRPr="00C20E0A">
        <w:rPr>
          <w:rFonts w:eastAsia="Times New Roman" w:cs="Times New Roman"/>
          <w:b/>
          <w:bCs/>
          <w:color w:val="000000"/>
          <w:szCs w:val="24"/>
          <w:lang w:eastAsia="es-CO"/>
        </w:rPr>
        <w:t>OPOSICIÓN</w:t>
      </w:r>
    </w:p>
    <w:p w14:paraId="5F99E553"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p w14:paraId="2DFF912C"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b/>
          <w:bCs/>
          <w:color w:val="000000"/>
          <w:szCs w:val="24"/>
          <w:lang w:eastAsia="es-CO"/>
        </w:rPr>
        <w:t>La DIAN</w:t>
      </w:r>
      <w:r w:rsidRPr="00C20E0A">
        <w:rPr>
          <w:rFonts w:eastAsia="Times New Roman" w:cs="Times New Roman"/>
          <w:color w:val="000000"/>
          <w:szCs w:val="24"/>
          <w:lang w:eastAsia="es-CO"/>
        </w:rPr>
        <w:t>, se opuso a las pretensiones de la demanda, con fundamento en lo siguiente:</w:t>
      </w:r>
    </w:p>
    <w:p w14:paraId="40710DAA"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p w14:paraId="4C2613F0"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xml:space="preserve">Aseveró que el emplazamiento para declarar no está viciado de nulidad, porque, como la fusión societaria se perfeccionó el 24 de enero de 2011, se debía presentar la declaración de renta de la sociedad absorbida por el año gravable 2010, cuya competencia para fiscalizarla correspondía a la </w:t>
      </w:r>
      <w:r w:rsidRPr="00C20E0A">
        <w:rPr>
          <w:rFonts w:eastAsia="Times New Roman" w:cs="Times New Roman"/>
          <w:color w:val="000000"/>
          <w:szCs w:val="24"/>
          <w:lang w:eastAsia="es-CO"/>
        </w:rPr>
        <w:lastRenderedPageBreak/>
        <w:t>División de Fiscalización de Personas Jurídicas de la Dirección Seccional de Impuestos de Bogotá; y que el referido emplazamiento era procedente y eficaz, pues, las obligaciones tributarias consolidadas antes del perfeccionamiento de la fusión, deben ser declaradas </w:t>
      </w:r>
      <w:r w:rsidRPr="00C20E0A">
        <w:rPr>
          <w:rFonts w:eastAsia="Times New Roman" w:cs="Times New Roman"/>
          <w:i/>
          <w:iCs/>
          <w:color w:val="000000"/>
          <w:szCs w:val="24"/>
          <w:lang w:eastAsia="es-CO"/>
        </w:rPr>
        <w:t>«por la absorbente, indicando el nombre y razón social y NIT de la sociedad absorbida (…), por lo cual es claro que por ser el período 2010 anterior al perfeccionamiento de la absorción se debió presentar las declaraciones de manera independiente»</w:t>
      </w:r>
      <w:r w:rsidRPr="00C20E0A">
        <w:rPr>
          <w:rFonts w:eastAsia="Times New Roman" w:cs="Times New Roman"/>
          <w:color w:val="000000"/>
          <w:szCs w:val="24"/>
          <w:lang w:eastAsia="es-CO"/>
        </w:rPr>
        <w:t>.</w:t>
      </w:r>
    </w:p>
    <w:p w14:paraId="6BD7CE94"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p w14:paraId="511CEF49" w14:textId="77777777" w:rsidR="00C20E0A" w:rsidRPr="00C20E0A" w:rsidRDefault="00C20E0A" w:rsidP="00C20E0A">
      <w:pPr>
        <w:spacing w:after="0" w:line="360" w:lineRule="auto"/>
        <w:jc w:val="center"/>
        <w:rPr>
          <w:rFonts w:eastAsia="Times New Roman" w:cs="Times New Roman"/>
          <w:color w:val="000000"/>
          <w:szCs w:val="24"/>
          <w:lang w:eastAsia="es-CO"/>
        </w:rPr>
      </w:pPr>
      <w:r w:rsidRPr="00C20E0A">
        <w:rPr>
          <w:rFonts w:eastAsia="Times New Roman" w:cs="Times New Roman"/>
          <w:b/>
          <w:bCs/>
          <w:color w:val="000000"/>
          <w:szCs w:val="24"/>
          <w:lang w:eastAsia="es-CO"/>
        </w:rPr>
        <w:t>AUDIENCIA INICIAL</w:t>
      </w:r>
    </w:p>
    <w:p w14:paraId="5E14B688"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p w14:paraId="5BAB78A4"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En la audiencia inicial celebrada el 18 de septiembre de 2018</w:t>
      </w:r>
      <w:bookmarkStart w:id="10" w:name="_ftnref10"/>
      <w:r w:rsidRPr="00C20E0A">
        <w:rPr>
          <w:rFonts w:eastAsia="Times New Roman" w:cs="Times New Roman"/>
          <w:color w:val="000000"/>
          <w:szCs w:val="24"/>
          <w:lang w:eastAsia="es-CO"/>
        </w:rPr>
        <w:fldChar w:fldCharType="begin"/>
      </w:r>
      <w:r w:rsidRPr="00C20E0A">
        <w:rPr>
          <w:rFonts w:eastAsia="Times New Roman" w:cs="Times New Roman"/>
          <w:color w:val="000000"/>
          <w:szCs w:val="24"/>
          <w:lang w:eastAsia="es-CO"/>
        </w:rPr>
        <w:instrText xml:space="preserve"> HYPERLINK "https://www.ceta.org.co/html/vista_de_un_documento.asp?DocumentoID=42284" \l "_ftn10" \o "" </w:instrText>
      </w:r>
      <w:r w:rsidRPr="00C20E0A">
        <w:rPr>
          <w:rFonts w:eastAsia="Times New Roman" w:cs="Times New Roman"/>
          <w:color w:val="000000"/>
          <w:szCs w:val="24"/>
          <w:lang w:eastAsia="es-CO"/>
        </w:rPr>
        <w:fldChar w:fldCharType="separate"/>
      </w:r>
      <w:r w:rsidRPr="00C20E0A">
        <w:rPr>
          <w:rFonts w:eastAsia="Times New Roman" w:cs="Times New Roman"/>
          <w:color w:val="0089E1"/>
          <w:szCs w:val="24"/>
          <w:lang w:eastAsia="es-CO"/>
        </w:rPr>
        <w:t>[10]</w:t>
      </w:r>
      <w:r w:rsidRPr="00C20E0A">
        <w:rPr>
          <w:rFonts w:eastAsia="Times New Roman" w:cs="Times New Roman"/>
          <w:color w:val="000000"/>
          <w:szCs w:val="24"/>
          <w:lang w:eastAsia="es-CO"/>
        </w:rPr>
        <w:fldChar w:fldCharType="end"/>
      </w:r>
      <w:bookmarkEnd w:id="10"/>
      <w:r w:rsidRPr="00C20E0A">
        <w:rPr>
          <w:rFonts w:eastAsia="Times New Roman" w:cs="Times New Roman"/>
          <w:color w:val="000000"/>
          <w:szCs w:val="24"/>
          <w:lang w:eastAsia="es-CO"/>
        </w:rPr>
        <w:t>, no se presentaron excepciones ni se advirtieron irregularidades o nulidades en lo actuado, se allegaron las pruebas aportadas por las partes en la demanda y su contestación, se negó la prueba solicitada por la actora correspondiente a inspección judicial de las operaciones comerciales de la sociedad absorbida del año gravable 2010 y, el litigio se fijó en determinar la legalidad de los actos administrativos demandados.</w:t>
      </w:r>
    </w:p>
    <w:p w14:paraId="5C40015F"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p w14:paraId="1E817287" w14:textId="77777777" w:rsidR="00C20E0A" w:rsidRPr="00C20E0A" w:rsidRDefault="00C20E0A" w:rsidP="00C20E0A">
      <w:pPr>
        <w:spacing w:after="0" w:line="360" w:lineRule="auto"/>
        <w:jc w:val="center"/>
        <w:rPr>
          <w:rFonts w:eastAsia="Times New Roman" w:cs="Times New Roman"/>
          <w:color w:val="000000"/>
          <w:szCs w:val="24"/>
          <w:lang w:eastAsia="es-CO"/>
        </w:rPr>
      </w:pPr>
      <w:r w:rsidRPr="00C20E0A">
        <w:rPr>
          <w:rFonts w:eastAsia="Times New Roman" w:cs="Times New Roman"/>
          <w:b/>
          <w:bCs/>
          <w:color w:val="000000"/>
          <w:szCs w:val="24"/>
          <w:lang w:eastAsia="es-CO"/>
        </w:rPr>
        <w:t>SENTENCIA APELADA</w:t>
      </w:r>
    </w:p>
    <w:p w14:paraId="671376CA"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p w14:paraId="70C103BD"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El Tribunal Administrativo de Cundinamarca, Sección Cuarta, Subsección B, negó las pretensiones de la demanda y no condenó en costas, con base en lo siguiente:</w:t>
      </w:r>
    </w:p>
    <w:p w14:paraId="37B95A21"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p w14:paraId="5CC37030"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xml:space="preserve">Precisó que la investigación tributaria adelantada contra </w:t>
      </w:r>
      <w:proofErr w:type="spellStart"/>
      <w:r w:rsidRPr="00C20E0A">
        <w:rPr>
          <w:rFonts w:eastAsia="Times New Roman" w:cs="Times New Roman"/>
          <w:color w:val="000000"/>
          <w:szCs w:val="24"/>
          <w:lang w:eastAsia="es-CO"/>
        </w:rPr>
        <w:t>Scarpines</w:t>
      </w:r>
      <w:proofErr w:type="spellEnd"/>
      <w:r w:rsidRPr="00C20E0A">
        <w:rPr>
          <w:rFonts w:eastAsia="Times New Roman" w:cs="Times New Roman"/>
          <w:color w:val="000000"/>
          <w:szCs w:val="24"/>
          <w:lang w:eastAsia="es-CO"/>
        </w:rPr>
        <w:t xml:space="preserve"> Ltda., se circunscribió a las operaciones realizadas durante el año 2010, cuando la sociedad aún no había sido absorbida, por lo que la competencia era de la División de Fiscalización de Personas Jurídicas y Asimiladas de la Dirección Seccional de Impuestos de Bogotá, de conformidad con lo dispuesto en el Decreto 4048 de 2008.</w:t>
      </w:r>
    </w:p>
    <w:p w14:paraId="50B3D739"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p w14:paraId="1E54943B"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Dijo que el emplazamiento para declarar es procedente, porque cuando las obligaciones tributarias son causadas antes de la formalización del proceso de fusión, la absorbente debe responder por su cumplimiento en nombre de la absorbida </w:t>
      </w:r>
      <w:r w:rsidRPr="00C20E0A">
        <w:rPr>
          <w:rFonts w:eastAsia="Times New Roman" w:cs="Times New Roman"/>
          <w:i/>
          <w:iCs/>
          <w:color w:val="000000"/>
          <w:szCs w:val="24"/>
          <w:lang w:eastAsia="es-CO"/>
        </w:rPr>
        <w:t xml:space="preserve">«indicando la razón social y </w:t>
      </w:r>
      <w:proofErr w:type="spellStart"/>
      <w:r w:rsidRPr="00C20E0A">
        <w:rPr>
          <w:rFonts w:eastAsia="Times New Roman" w:cs="Times New Roman"/>
          <w:i/>
          <w:iCs/>
          <w:color w:val="000000"/>
          <w:szCs w:val="24"/>
          <w:lang w:eastAsia="es-CO"/>
        </w:rPr>
        <w:t>Nit</w:t>
      </w:r>
      <w:proofErr w:type="spellEnd"/>
      <w:r w:rsidRPr="00C20E0A">
        <w:rPr>
          <w:rFonts w:eastAsia="Times New Roman" w:cs="Times New Roman"/>
          <w:i/>
          <w:iCs/>
          <w:color w:val="000000"/>
          <w:szCs w:val="24"/>
          <w:lang w:eastAsia="es-CO"/>
        </w:rPr>
        <w:t xml:space="preserve"> de la absorbida (…), de manera separada a sus operaciones»</w:t>
      </w:r>
      <w:r w:rsidRPr="00C20E0A">
        <w:rPr>
          <w:rFonts w:eastAsia="Times New Roman" w:cs="Times New Roman"/>
          <w:color w:val="000000"/>
          <w:szCs w:val="24"/>
          <w:lang w:eastAsia="es-CO"/>
        </w:rPr>
        <w:t>.</w:t>
      </w:r>
    </w:p>
    <w:p w14:paraId="2DC74BD7"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p w14:paraId="51B5379E"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Y que, por lo demás, la certificación de revisor fiscal aportada para demostrar que las operaciones de la sociedad absorbida fueron declaradas por la actora, es insuficiente, pues no se allegaron comprobantes y registros contables que la sustentaran.</w:t>
      </w:r>
    </w:p>
    <w:p w14:paraId="3023914D"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p w14:paraId="5F89F5D6" w14:textId="77777777" w:rsidR="00C20E0A" w:rsidRPr="00C20E0A" w:rsidRDefault="00C20E0A" w:rsidP="00C20E0A">
      <w:pPr>
        <w:spacing w:after="0" w:line="360" w:lineRule="auto"/>
        <w:jc w:val="center"/>
        <w:rPr>
          <w:rFonts w:eastAsia="Times New Roman" w:cs="Times New Roman"/>
          <w:color w:val="000000"/>
          <w:szCs w:val="24"/>
          <w:lang w:eastAsia="es-CO"/>
        </w:rPr>
      </w:pPr>
      <w:r w:rsidRPr="00C20E0A">
        <w:rPr>
          <w:rFonts w:eastAsia="Times New Roman" w:cs="Times New Roman"/>
          <w:b/>
          <w:bCs/>
          <w:color w:val="000000"/>
          <w:szCs w:val="24"/>
          <w:lang w:eastAsia="es-CO"/>
        </w:rPr>
        <w:t>RECURSO DE APELACIÓN</w:t>
      </w:r>
    </w:p>
    <w:p w14:paraId="4AA8FBCB"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p w14:paraId="4FD0678C"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La </w:t>
      </w:r>
      <w:r w:rsidRPr="00C20E0A">
        <w:rPr>
          <w:rFonts w:eastAsia="Times New Roman" w:cs="Times New Roman"/>
          <w:b/>
          <w:bCs/>
          <w:color w:val="000000"/>
          <w:szCs w:val="24"/>
          <w:lang w:eastAsia="es-CO"/>
        </w:rPr>
        <w:t>demandante</w:t>
      </w:r>
      <w:r w:rsidRPr="00C20E0A">
        <w:rPr>
          <w:rFonts w:eastAsia="Times New Roman" w:cs="Times New Roman"/>
          <w:color w:val="000000"/>
          <w:szCs w:val="24"/>
          <w:lang w:eastAsia="es-CO"/>
        </w:rPr>
        <w:t> interpuso recurso de apelación, por los siguientes motivos:</w:t>
      </w:r>
    </w:p>
    <w:p w14:paraId="092146AC"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p w14:paraId="5CA0DBAC"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lastRenderedPageBreak/>
        <w:t xml:space="preserve">Reiteró que la competencia para investigar a la sociedad absorbida correspondía a la Dirección de Grandes Contribuyentes, pues al proferirse el emplazamiento para declarar a </w:t>
      </w:r>
      <w:proofErr w:type="spellStart"/>
      <w:r w:rsidRPr="00C20E0A">
        <w:rPr>
          <w:rFonts w:eastAsia="Times New Roman" w:cs="Times New Roman"/>
          <w:color w:val="000000"/>
          <w:szCs w:val="24"/>
          <w:lang w:eastAsia="es-CO"/>
        </w:rPr>
        <w:t>Scarpines</w:t>
      </w:r>
      <w:proofErr w:type="spellEnd"/>
      <w:r w:rsidRPr="00C20E0A">
        <w:rPr>
          <w:rFonts w:eastAsia="Times New Roman" w:cs="Times New Roman"/>
          <w:color w:val="000000"/>
          <w:szCs w:val="24"/>
          <w:lang w:eastAsia="es-CO"/>
        </w:rPr>
        <w:t xml:space="preserve"> Ltda., la fusión estaba perfeccionada, lo cual era conocido por la demandada, y que las operaciones realizadas por la absorbida fueron declaradas por la absorbente «en una sola declaración», como lo certificó el revisor fiscal de la compañía.</w:t>
      </w:r>
    </w:p>
    <w:p w14:paraId="22182F40"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p w14:paraId="14D974F5"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Agregó que, como el </w:t>
      </w:r>
      <w:r w:rsidRPr="00C20E0A">
        <w:rPr>
          <w:rFonts w:eastAsia="Times New Roman" w:cs="Times New Roman"/>
          <w:i/>
          <w:iCs/>
          <w:color w:val="000000"/>
          <w:szCs w:val="24"/>
          <w:lang w:eastAsia="es-CO"/>
        </w:rPr>
        <w:t>a quo</w:t>
      </w:r>
      <w:r w:rsidRPr="00C20E0A">
        <w:rPr>
          <w:rFonts w:eastAsia="Times New Roman" w:cs="Times New Roman"/>
          <w:color w:val="000000"/>
          <w:szCs w:val="24"/>
          <w:lang w:eastAsia="es-CO"/>
        </w:rPr>
        <w:t> negó la práctica de inspección judicial a sus libros de contabilidad, no se pudo corroborar la información certificada, y solicitó como prueba trasladada el dictamen pericial rendido en el proceso 2017-00456-00, promovido entre las mismas partes</w:t>
      </w:r>
      <w:bookmarkStart w:id="11" w:name="_ftnref11"/>
      <w:r w:rsidRPr="00C20E0A">
        <w:rPr>
          <w:rFonts w:eastAsia="Times New Roman" w:cs="Times New Roman"/>
          <w:color w:val="000000"/>
          <w:szCs w:val="24"/>
          <w:lang w:eastAsia="es-CO"/>
        </w:rPr>
        <w:fldChar w:fldCharType="begin"/>
      </w:r>
      <w:r w:rsidRPr="00C20E0A">
        <w:rPr>
          <w:rFonts w:eastAsia="Times New Roman" w:cs="Times New Roman"/>
          <w:color w:val="000000"/>
          <w:szCs w:val="24"/>
          <w:lang w:eastAsia="es-CO"/>
        </w:rPr>
        <w:instrText xml:space="preserve"> HYPERLINK "https://www.ceta.org.co/html/vista_de_un_documento.asp?DocumentoID=42284" \l "_ftn11" \o "" </w:instrText>
      </w:r>
      <w:r w:rsidRPr="00C20E0A">
        <w:rPr>
          <w:rFonts w:eastAsia="Times New Roman" w:cs="Times New Roman"/>
          <w:color w:val="000000"/>
          <w:szCs w:val="24"/>
          <w:lang w:eastAsia="es-CO"/>
        </w:rPr>
        <w:fldChar w:fldCharType="separate"/>
      </w:r>
      <w:r w:rsidRPr="00C20E0A">
        <w:rPr>
          <w:rFonts w:eastAsia="Times New Roman" w:cs="Times New Roman"/>
          <w:color w:val="0089E1"/>
          <w:szCs w:val="24"/>
          <w:lang w:eastAsia="es-CO"/>
        </w:rPr>
        <w:t>[11]</w:t>
      </w:r>
      <w:r w:rsidRPr="00C20E0A">
        <w:rPr>
          <w:rFonts w:eastAsia="Times New Roman" w:cs="Times New Roman"/>
          <w:color w:val="000000"/>
          <w:szCs w:val="24"/>
          <w:lang w:eastAsia="es-CO"/>
        </w:rPr>
        <w:fldChar w:fldCharType="end"/>
      </w:r>
      <w:bookmarkEnd w:id="11"/>
      <w:r w:rsidRPr="00C20E0A">
        <w:rPr>
          <w:rFonts w:eastAsia="Times New Roman" w:cs="Times New Roman"/>
          <w:color w:val="000000"/>
          <w:szCs w:val="24"/>
          <w:lang w:eastAsia="es-CO"/>
        </w:rPr>
        <w:t>.</w:t>
      </w:r>
    </w:p>
    <w:p w14:paraId="75689226"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p w14:paraId="47BBB005" w14:textId="77777777" w:rsidR="00C20E0A" w:rsidRPr="00C20E0A" w:rsidRDefault="00C20E0A" w:rsidP="00C20E0A">
      <w:pPr>
        <w:spacing w:after="0" w:line="360" w:lineRule="auto"/>
        <w:jc w:val="center"/>
        <w:rPr>
          <w:rFonts w:eastAsia="Times New Roman" w:cs="Times New Roman"/>
          <w:color w:val="000000"/>
          <w:szCs w:val="24"/>
          <w:lang w:eastAsia="es-CO"/>
        </w:rPr>
      </w:pPr>
      <w:r w:rsidRPr="00C20E0A">
        <w:rPr>
          <w:rFonts w:eastAsia="Times New Roman" w:cs="Times New Roman"/>
          <w:b/>
          <w:bCs/>
          <w:color w:val="000000"/>
          <w:szCs w:val="24"/>
          <w:lang w:eastAsia="es-CO"/>
        </w:rPr>
        <w:t>ALEGATOS DE CONCLUSIÓN</w:t>
      </w:r>
    </w:p>
    <w:p w14:paraId="065C7F2B"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p w14:paraId="258755D0"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La </w:t>
      </w:r>
      <w:r w:rsidRPr="00C20E0A">
        <w:rPr>
          <w:rFonts w:eastAsia="Times New Roman" w:cs="Times New Roman"/>
          <w:b/>
          <w:bCs/>
          <w:color w:val="000000"/>
          <w:szCs w:val="24"/>
          <w:lang w:eastAsia="es-CO"/>
        </w:rPr>
        <w:t>demandante</w:t>
      </w:r>
      <w:r w:rsidRPr="00C20E0A">
        <w:rPr>
          <w:rFonts w:eastAsia="Times New Roman" w:cs="Times New Roman"/>
          <w:color w:val="000000"/>
          <w:szCs w:val="24"/>
          <w:lang w:eastAsia="es-CO"/>
        </w:rPr>
        <w:t> reiteró lo expuesto en la demanda y en el recurso de apelación.</w:t>
      </w:r>
    </w:p>
    <w:p w14:paraId="53F3C116"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p w14:paraId="49434F7E"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La </w:t>
      </w:r>
      <w:r w:rsidRPr="00C20E0A">
        <w:rPr>
          <w:rFonts w:eastAsia="Times New Roman" w:cs="Times New Roman"/>
          <w:b/>
          <w:bCs/>
          <w:color w:val="000000"/>
          <w:szCs w:val="24"/>
          <w:lang w:eastAsia="es-CO"/>
        </w:rPr>
        <w:t>demandada </w:t>
      </w:r>
      <w:r w:rsidRPr="00C20E0A">
        <w:rPr>
          <w:rFonts w:eastAsia="Times New Roman" w:cs="Times New Roman"/>
          <w:color w:val="000000"/>
          <w:szCs w:val="24"/>
          <w:lang w:eastAsia="es-CO"/>
        </w:rPr>
        <w:t>solicitó confirmar la sentencia apelada y reiteró lo aducido en la contestación de la demanda.</w:t>
      </w:r>
    </w:p>
    <w:p w14:paraId="364D8132"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p w14:paraId="56622EA2"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El </w:t>
      </w:r>
      <w:r w:rsidRPr="00C20E0A">
        <w:rPr>
          <w:rFonts w:eastAsia="Times New Roman" w:cs="Times New Roman"/>
          <w:b/>
          <w:bCs/>
          <w:color w:val="000000"/>
          <w:szCs w:val="24"/>
          <w:lang w:eastAsia="es-CO"/>
        </w:rPr>
        <w:t>Ministerio Público</w:t>
      </w:r>
      <w:r w:rsidRPr="00C20E0A">
        <w:rPr>
          <w:rFonts w:eastAsia="Times New Roman" w:cs="Times New Roman"/>
          <w:color w:val="000000"/>
          <w:szCs w:val="24"/>
          <w:lang w:eastAsia="es-CO"/>
        </w:rPr>
        <w:t> solicitó confirmar la sentencia apelada, por cuanto las obligaciones tributarias surgidas durante el año 2010 debieron ser declaradas por la sociedad absorbente </w:t>
      </w:r>
      <w:r w:rsidRPr="00C20E0A">
        <w:rPr>
          <w:rFonts w:eastAsia="Times New Roman" w:cs="Times New Roman"/>
          <w:i/>
          <w:iCs/>
          <w:color w:val="000000"/>
          <w:szCs w:val="24"/>
          <w:lang w:eastAsia="es-CO"/>
        </w:rPr>
        <w:t>«con el NIT y nombre de la absorbida»</w:t>
      </w:r>
      <w:r w:rsidRPr="00C20E0A">
        <w:rPr>
          <w:rFonts w:eastAsia="Times New Roman" w:cs="Times New Roman"/>
          <w:color w:val="000000"/>
          <w:szCs w:val="24"/>
          <w:lang w:eastAsia="es-CO"/>
        </w:rPr>
        <w:t>, y adujo que la solicitud de pruebas en segunda instancia es improcedente.</w:t>
      </w:r>
    </w:p>
    <w:p w14:paraId="0FA3E408"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p w14:paraId="1D6FBEF4" w14:textId="77777777" w:rsidR="00C20E0A" w:rsidRPr="00C20E0A" w:rsidRDefault="00C20E0A" w:rsidP="00C20E0A">
      <w:pPr>
        <w:spacing w:after="0" w:line="360" w:lineRule="auto"/>
        <w:jc w:val="center"/>
        <w:rPr>
          <w:rFonts w:eastAsia="Times New Roman" w:cs="Times New Roman"/>
          <w:color w:val="000000"/>
          <w:szCs w:val="24"/>
          <w:lang w:eastAsia="es-CO"/>
        </w:rPr>
      </w:pPr>
      <w:r w:rsidRPr="00C20E0A">
        <w:rPr>
          <w:rFonts w:eastAsia="Times New Roman" w:cs="Times New Roman"/>
          <w:b/>
          <w:bCs/>
          <w:color w:val="000000"/>
          <w:szCs w:val="24"/>
          <w:lang w:eastAsia="es-CO"/>
        </w:rPr>
        <w:t>CONSIDERACIONES DE LA SALA</w:t>
      </w:r>
    </w:p>
    <w:p w14:paraId="62FD6B62"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p w14:paraId="2F0D7927"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xml:space="preserve">Corresponde decidir sobre la legalidad de los actos administrativos que impusieron sanción por no declarar a la sociedad </w:t>
      </w:r>
      <w:proofErr w:type="spellStart"/>
      <w:r w:rsidRPr="00C20E0A">
        <w:rPr>
          <w:rFonts w:eastAsia="Times New Roman" w:cs="Times New Roman"/>
          <w:color w:val="000000"/>
          <w:szCs w:val="24"/>
          <w:lang w:eastAsia="es-CO"/>
        </w:rPr>
        <w:t>Scarpines</w:t>
      </w:r>
      <w:proofErr w:type="spellEnd"/>
      <w:r w:rsidRPr="00C20E0A">
        <w:rPr>
          <w:rFonts w:eastAsia="Times New Roman" w:cs="Times New Roman"/>
          <w:color w:val="000000"/>
          <w:szCs w:val="24"/>
          <w:lang w:eastAsia="es-CO"/>
        </w:rPr>
        <w:t xml:space="preserve"> Ltda. - absorbida por VD El Mundo a sus Pies, respecto de la declaración del impuesto sobre la renta del año gravable 2010.</w:t>
      </w:r>
    </w:p>
    <w:p w14:paraId="32ED8BE2"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p w14:paraId="5E1C3836"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xml:space="preserve">En los términos del recurso de apelación, se deben determinar los efectos del proceso de fusión entre VD El Mundo a sus Pies S. A. (absorbente) y </w:t>
      </w:r>
      <w:proofErr w:type="spellStart"/>
      <w:r w:rsidRPr="00C20E0A">
        <w:rPr>
          <w:rFonts w:eastAsia="Times New Roman" w:cs="Times New Roman"/>
          <w:color w:val="000000"/>
          <w:szCs w:val="24"/>
          <w:lang w:eastAsia="es-CO"/>
        </w:rPr>
        <w:t>Scarpines</w:t>
      </w:r>
      <w:proofErr w:type="spellEnd"/>
      <w:r w:rsidRPr="00C20E0A">
        <w:rPr>
          <w:rFonts w:eastAsia="Times New Roman" w:cs="Times New Roman"/>
          <w:color w:val="000000"/>
          <w:szCs w:val="24"/>
          <w:lang w:eastAsia="es-CO"/>
        </w:rPr>
        <w:t xml:space="preserve"> Ltda. (absorbida), en el cumplimiento de los deberes formales de esta última en relación con el año gravable 2010 y en la competencia de fiscalización.</w:t>
      </w:r>
    </w:p>
    <w:p w14:paraId="7BA56B05"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p w14:paraId="1407A53E"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b/>
          <w:bCs/>
          <w:color w:val="000000"/>
          <w:szCs w:val="24"/>
          <w:lang w:eastAsia="es-CO"/>
        </w:rPr>
        <w:t>Cuestión previa</w:t>
      </w:r>
    </w:p>
    <w:p w14:paraId="045AE9E8" w14:textId="77777777" w:rsidR="00C20E0A" w:rsidRPr="00C20E0A" w:rsidRDefault="00C20E0A" w:rsidP="00C20E0A">
      <w:pPr>
        <w:shd w:val="clear" w:color="auto" w:fill="FFFFFF"/>
        <w:spacing w:after="0" w:line="360" w:lineRule="auto"/>
        <w:jc w:val="both"/>
        <w:rPr>
          <w:rFonts w:eastAsia="Times New Roman" w:cs="Times New Roman"/>
          <w:color w:val="000000"/>
          <w:szCs w:val="24"/>
          <w:lang w:eastAsia="es-CO"/>
        </w:rPr>
      </w:pPr>
      <w:r w:rsidRPr="00C20E0A">
        <w:rPr>
          <w:rFonts w:eastAsia="Times New Roman" w:cs="Times New Roman"/>
          <w:b/>
          <w:bCs/>
          <w:color w:val="000000"/>
          <w:szCs w:val="24"/>
          <w:lang w:eastAsia="es-CO"/>
        </w:rPr>
        <w:t> </w:t>
      </w:r>
    </w:p>
    <w:p w14:paraId="2ECC2D78" w14:textId="77777777" w:rsidR="00C20E0A" w:rsidRPr="00C20E0A" w:rsidRDefault="00C20E0A" w:rsidP="00C20E0A">
      <w:pPr>
        <w:shd w:val="clear" w:color="auto" w:fill="FFFFFF"/>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En las pretensiones de la demanda, la actora solicitó la nulidad del emplazamiento para declarar 322402014000258 del 7 de noviembre de 2014. Comoquiera que se trata de un acto de trámite que no es pasible de conocimiento en sede judicial, la Sala se inhibirá frente a dicha pretensión.</w:t>
      </w:r>
    </w:p>
    <w:p w14:paraId="69F9134E" w14:textId="77777777" w:rsidR="00C20E0A" w:rsidRPr="00C20E0A" w:rsidRDefault="00C20E0A" w:rsidP="00C20E0A">
      <w:pPr>
        <w:shd w:val="clear" w:color="auto" w:fill="FFFFFF"/>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p w14:paraId="136698D1" w14:textId="77777777" w:rsidR="00C20E0A" w:rsidRPr="00C20E0A" w:rsidRDefault="00C20E0A" w:rsidP="00C20E0A">
      <w:pPr>
        <w:shd w:val="clear" w:color="auto" w:fill="FFFFFF"/>
        <w:spacing w:after="0" w:line="360" w:lineRule="auto"/>
        <w:jc w:val="both"/>
        <w:rPr>
          <w:rFonts w:eastAsia="Times New Roman" w:cs="Times New Roman"/>
          <w:color w:val="000000"/>
          <w:szCs w:val="24"/>
          <w:lang w:eastAsia="es-CO"/>
        </w:rPr>
      </w:pPr>
      <w:r w:rsidRPr="00C20E0A">
        <w:rPr>
          <w:rFonts w:eastAsia="Times New Roman" w:cs="Times New Roman"/>
          <w:b/>
          <w:bCs/>
          <w:color w:val="000000"/>
          <w:szCs w:val="24"/>
          <w:lang w:eastAsia="es-CO"/>
        </w:rPr>
        <w:t>Obligaciones tributarias derivadas de procesos de fusión. Reiteración de jurisprudencia</w:t>
      </w:r>
      <w:bookmarkStart w:id="12" w:name="_ftnref12"/>
      <w:r w:rsidRPr="00C20E0A">
        <w:rPr>
          <w:rFonts w:eastAsia="Times New Roman" w:cs="Times New Roman"/>
          <w:b/>
          <w:bCs/>
          <w:color w:val="000000"/>
          <w:szCs w:val="24"/>
          <w:lang w:eastAsia="es-CO"/>
        </w:rPr>
        <w:fldChar w:fldCharType="begin"/>
      </w:r>
      <w:r w:rsidRPr="00C20E0A">
        <w:rPr>
          <w:rFonts w:eastAsia="Times New Roman" w:cs="Times New Roman"/>
          <w:b/>
          <w:bCs/>
          <w:color w:val="000000"/>
          <w:szCs w:val="24"/>
          <w:lang w:eastAsia="es-CO"/>
        </w:rPr>
        <w:instrText xml:space="preserve"> HYPERLINK "https://www.ceta.org.co/html/vista_de_un_documento.asp?DocumentoID=42284" \l "_ftn12" \o "" </w:instrText>
      </w:r>
      <w:r w:rsidRPr="00C20E0A">
        <w:rPr>
          <w:rFonts w:eastAsia="Times New Roman" w:cs="Times New Roman"/>
          <w:b/>
          <w:bCs/>
          <w:color w:val="000000"/>
          <w:szCs w:val="24"/>
          <w:lang w:eastAsia="es-CO"/>
        </w:rPr>
        <w:fldChar w:fldCharType="separate"/>
      </w:r>
      <w:r w:rsidRPr="00C20E0A">
        <w:rPr>
          <w:rFonts w:eastAsia="Times New Roman" w:cs="Times New Roman"/>
          <w:b/>
          <w:bCs/>
          <w:color w:val="0089E1"/>
          <w:szCs w:val="24"/>
          <w:lang w:eastAsia="es-CO"/>
        </w:rPr>
        <w:t>[12]</w:t>
      </w:r>
      <w:r w:rsidRPr="00C20E0A">
        <w:rPr>
          <w:rFonts w:eastAsia="Times New Roman" w:cs="Times New Roman"/>
          <w:b/>
          <w:bCs/>
          <w:color w:val="000000"/>
          <w:szCs w:val="24"/>
          <w:lang w:eastAsia="es-CO"/>
        </w:rPr>
        <w:fldChar w:fldCharType="end"/>
      </w:r>
      <w:bookmarkEnd w:id="12"/>
    </w:p>
    <w:p w14:paraId="6201389B" w14:textId="77777777" w:rsidR="00C20E0A" w:rsidRPr="00C20E0A" w:rsidRDefault="00C20E0A" w:rsidP="00C20E0A">
      <w:pPr>
        <w:shd w:val="clear" w:color="auto" w:fill="FFFFFF"/>
        <w:spacing w:after="0" w:line="360" w:lineRule="auto"/>
        <w:jc w:val="both"/>
        <w:rPr>
          <w:rFonts w:eastAsia="Times New Roman" w:cs="Times New Roman"/>
          <w:color w:val="000000"/>
          <w:szCs w:val="24"/>
          <w:lang w:eastAsia="es-CO"/>
        </w:rPr>
      </w:pPr>
      <w:r w:rsidRPr="00C20E0A">
        <w:rPr>
          <w:rFonts w:eastAsia="Times New Roman" w:cs="Times New Roman"/>
          <w:b/>
          <w:bCs/>
          <w:color w:val="000000"/>
          <w:szCs w:val="24"/>
          <w:lang w:eastAsia="es-CO"/>
        </w:rPr>
        <w:lastRenderedPageBreak/>
        <w:t> </w:t>
      </w:r>
    </w:p>
    <w:p w14:paraId="63E5725D" w14:textId="77777777" w:rsidR="00C20E0A" w:rsidRPr="00C20E0A" w:rsidRDefault="00C20E0A" w:rsidP="00C20E0A">
      <w:pPr>
        <w:shd w:val="clear" w:color="auto" w:fill="FFFFFF"/>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Sobre los efectos de los procesos de fusión societaria, la Sala precisó lo siguiente:</w:t>
      </w:r>
    </w:p>
    <w:p w14:paraId="746154BD" w14:textId="77777777" w:rsidR="00C20E0A" w:rsidRPr="00C20E0A" w:rsidRDefault="00C20E0A" w:rsidP="00C20E0A">
      <w:pPr>
        <w:shd w:val="clear" w:color="auto" w:fill="FFFFFF"/>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p w14:paraId="54FCD9A2"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El </w:t>
      </w:r>
      <w:hyperlink r:id="rId6" w:tooltip="Estatuto Tributario CETA" w:history="1">
        <w:r w:rsidRPr="00C20E0A">
          <w:rPr>
            <w:rFonts w:eastAsia="Times New Roman" w:cs="Times New Roman"/>
            <w:color w:val="0089E1"/>
            <w:szCs w:val="24"/>
            <w:u w:val="single"/>
            <w:lang w:eastAsia="es-CO"/>
          </w:rPr>
          <w:t>artículo 14-1</w:t>
        </w:r>
      </w:hyperlink>
      <w:r w:rsidRPr="00C20E0A">
        <w:rPr>
          <w:rFonts w:eastAsia="Times New Roman" w:cs="Times New Roman"/>
          <w:color w:val="000000"/>
          <w:szCs w:val="24"/>
          <w:lang w:eastAsia="es-CO"/>
        </w:rPr>
        <w:t> del Estatuto Tributario, establecía</w:t>
      </w:r>
      <w:bookmarkStart w:id="13" w:name="_ftnref13"/>
      <w:r w:rsidRPr="00C20E0A">
        <w:rPr>
          <w:rFonts w:eastAsia="Times New Roman" w:cs="Times New Roman"/>
          <w:color w:val="000000"/>
          <w:szCs w:val="24"/>
          <w:lang w:eastAsia="es-CO"/>
        </w:rPr>
        <w:fldChar w:fldCharType="begin"/>
      </w:r>
      <w:r w:rsidRPr="00C20E0A">
        <w:rPr>
          <w:rFonts w:eastAsia="Times New Roman" w:cs="Times New Roman"/>
          <w:color w:val="000000"/>
          <w:szCs w:val="24"/>
          <w:lang w:eastAsia="es-CO"/>
        </w:rPr>
        <w:instrText xml:space="preserve"> HYPERLINK "https://www.ceta.org.co/html/vista_de_un_documento.asp?DocumentoID=42284" \l "_ftn13" \o "" </w:instrText>
      </w:r>
      <w:r w:rsidRPr="00C20E0A">
        <w:rPr>
          <w:rFonts w:eastAsia="Times New Roman" w:cs="Times New Roman"/>
          <w:color w:val="000000"/>
          <w:szCs w:val="24"/>
          <w:lang w:eastAsia="es-CO"/>
        </w:rPr>
        <w:fldChar w:fldCharType="separate"/>
      </w:r>
      <w:r w:rsidRPr="00C20E0A">
        <w:rPr>
          <w:rFonts w:eastAsia="Times New Roman" w:cs="Times New Roman"/>
          <w:color w:val="0089E1"/>
          <w:szCs w:val="24"/>
          <w:lang w:eastAsia="es-CO"/>
        </w:rPr>
        <w:t>[13]</w:t>
      </w:r>
      <w:r w:rsidRPr="00C20E0A">
        <w:rPr>
          <w:rFonts w:eastAsia="Times New Roman" w:cs="Times New Roman"/>
          <w:color w:val="000000"/>
          <w:szCs w:val="24"/>
          <w:lang w:eastAsia="es-CO"/>
        </w:rPr>
        <w:fldChar w:fldCharType="end"/>
      </w:r>
      <w:bookmarkEnd w:id="13"/>
      <w:r w:rsidRPr="00C20E0A">
        <w:rPr>
          <w:rFonts w:eastAsia="Times New Roman" w:cs="Times New Roman"/>
          <w:color w:val="000000"/>
          <w:szCs w:val="24"/>
          <w:lang w:eastAsia="es-CO"/>
        </w:rPr>
        <w:t> que las fusiones societarias no implicaban enajenación entre las partes intervinientes, por lo que no estaba gravada con el impuesto sobre la renta la transferencia y adquisición de activos, pasivos y derechos de la sociedad absorbida a la absorbente -</w:t>
      </w:r>
      <w:r w:rsidRPr="00C20E0A">
        <w:rPr>
          <w:rFonts w:eastAsia="Times New Roman" w:cs="Times New Roman"/>
          <w:i/>
          <w:iCs/>
          <w:color w:val="000000"/>
          <w:szCs w:val="24"/>
          <w:lang w:eastAsia="es-CO"/>
        </w:rPr>
        <w:t>artículo 178 del Código de Comercio</w:t>
      </w:r>
      <w:r w:rsidRPr="00C20E0A">
        <w:rPr>
          <w:rFonts w:eastAsia="Times New Roman" w:cs="Times New Roman"/>
          <w:color w:val="000000"/>
          <w:szCs w:val="24"/>
          <w:lang w:eastAsia="es-CO"/>
        </w:rPr>
        <w:t>-, sin perjuicio de lo cual la sociedad absorbente adquiría la condición de deudora solidaria de las obligaciones tributarias causadas antes del perfeccionamiento de la fusión de las que fuera sujeto pasivo la sociedad absorbida, según el inciso segundo del artículo en cita y el literal c del </w:t>
      </w:r>
      <w:hyperlink r:id="rId7" w:tooltip="Estatuto Tributario CETA" w:history="1">
        <w:r w:rsidRPr="00C20E0A">
          <w:rPr>
            <w:rFonts w:eastAsia="Times New Roman" w:cs="Times New Roman"/>
            <w:color w:val="0089E1"/>
            <w:szCs w:val="24"/>
            <w:u w:val="single"/>
            <w:lang w:eastAsia="es-CO"/>
          </w:rPr>
          <w:t>artículo 793</w:t>
        </w:r>
      </w:hyperlink>
      <w:r w:rsidRPr="00C20E0A">
        <w:rPr>
          <w:rFonts w:eastAsia="Times New Roman" w:cs="Times New Roman"/>
          <w:color w:val="000000"/>
          <w:szCs w:val="24"/>
          <w:lang w:eastAsia="es-CO"/>
        </w:rPr>
        <w:t> del Estatuto Tributario.</w:t>
      </w:r>
    </w:p>
    <w:p w14:paraId="0336092D"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p w14:paraId="4B0AB759"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Respecto de la existencia del negocio jurídico de fusión y de la reforma estatutaria que conlleva, el artículo 172 del Código de Comercio establece que ocurren cuando la entidad absorbente adquiere los derechos y obligaciones de las entidades disueltas «</w:t>
      </w:r>
      <w:r w:rsidRPr="00C20E0A">
        <w:rPr>
          <w:rFonts w:eastAsia="Times New Roman" w:cs="Times New Roman"/>
          <w:i/>
          <w:iCs/>
          <w:color w:val="000000"/>
          <w:szCs w:val="24"/>
          <w:lang w:eastAsia="es-CO"/>
        </w:rPr>
        <w:t>al formalizarse el acuerdo de fusión</w:t>
      </w:r>
      <w:r w:rsidRPr="00C20E0A">
        <w:rPr>
          <w:rFonts w:eastAsia="Times New Roman" w:cs="Times New Roman"/>
          <w:color w:val="000000"/>
          <w:szCs w:val="24"/>
          <w:lang w:eastAsia="es-CO"/>
        </w:rPr>
        <w:t>»; lo cual, para aquellos tipos societarios en los cuales las reformas estatutarias se llevan a cabo mediante escritura pública -</w:t>
      </w:r>
      <w:r w:rsidRPr="00C20E0A">
        <w:rPr>
          <w:rFonts w:eastAsia="Times New Roman" w:cs="Times New Roman"/>
          <w:i/>
          <w:iCs/>
          <w:color w:val="000000"/>
          <w:szCs w:val="24"/>
          <w:lang w:eastAsia="es-CO"/>
        </w:rPr>
        <w:t>como es el caso que ocupa a la Sala-</w:t>
      </w:r>
      <w:r w:rsidRPr="00C20E0A">
        <w:rPr>
          <w:rFonts w:eastAsia="Times New Roman" w:cs="Times New Roman"/>
          <w:color w:val="000000"/>
          <w:szCs w:val="24"/>
          <w:lang w:eastAsia="es-CO"/>
        </w:rPr>
        <w:t>, ocurre, por virtud del artículo 177 </w:t>
      </w:r>
      <w:proofErr w:type="spellStart"/>
      <w:r w:rsidRPr="00C20E0A">
        <w:rPr>
          <w:rFonts w:eastAsia="Times New Roman" w:cs="Times New Roman"/>
          <w:i/>
          <w:iCs/>
          <w:color w:val="000000"/>
          <w:szCs w:val="24"/>
          <w:lang w:eastAsia="es-CO"/>
        </w:rPr>
        <w:t>ibídem</w:t>
      </w:r>
      <w:proofErr w:type="spellEnd"/>
      <w:r w:rsidRPr="00C20E0A">
        <w:rPr>
          <w:rFonts w:eastAsia="Times New Roman" w:cs="Times New Roman"/>
          <w:color w:val="000000"/>
          <w:szCs w:val="24"/>
          <w:lang w:eastAsia="es-CO"/>
        </w:rPr>
        <w:t>, al elevar a escritura pública el acuerdo de fusión, con el lleno de los requisitos y procedimientos establecidos por la normativa aplicable</w:t>
      </w:r>
      <w:bookmarkStart w:id="14" w:name="_ftnref14"/>
      <w:r w:rsidRPr="00C20E0A">
        <w:rPr>
          <w:rFonts w:eastAsia="Times New Roman" w:cs="Times New Roman"/>
          <w:color w:val="000000"/>
          <w:szCs w:val="24"/>
          <w:lang w:eastAsia="es-CO"/>
        </w:rPr>
        <w:fldChar w:fldCharType="begin"/>
      </w:r>
      <w:r w:rsidRPr="00C20E0A">
        <w:rPr>
          <w:rFonts w:eastAsia="Times New Roman" w:cs="Times New Roman"/>
          <w:color w:val="000000"/>
          <w:szCs w:val="24"/>
          <w:lang w:eastAsia="es-CO"/>
        </w:rPr>
        <w:instrText xml:space="preserve"> HYPERLINK "https://www.ceta.org.co/html/vista_de_un_documento.asp?DocumentoID=42284" \l "_ftn14" \o "" </w:instrText>
      </w:r>
      <w:r w:rsidRPr="00C20E0A">
        <w:rPr>
          <w:rFonts w:eastAsia="Times New Roman" w:cs="Times New Roman"/>
          <w:color w:val="000000"/>
          <w:szCs w:val="24"/>
          <w:lang w:eastAsia="es-CO"/>
        </w:rPr>
        <w:fldChar w:fldCharType="separate"/>
      </w:r>
      <w:r w:rsidRPr="00C20E0A">
        <w:rPr>
          <w:rFonts w:eastAsia="Times New Roman" w:cs="Times New Roman"/>
          <w:color w:val="0089E1"/>
          <w:szCs w:val="24"/>
          <w:lang w:eastAsia="es-CO"/>
        </w:rPr>
        <w:t>[14]</w:t>
      </w:r>
      <w:r w:rsidRPr="00C20E0A">
        <w:rPr>
          <w:rFonts w:eastAsia="Times New Roman" w:cs="Times New Roman"/>
          <w:color w:val="000000"/>
          <w:szCs w:val="24"/>
          <w:lang w:eastAsia="es-CO"/>
        </w:rPr>
        <w:fldChar w:fldCharType="end"/>
      </w:r>
      <w:bookmarkEnd w:id="14"/>
      <w:r w:rsidRPr="00C20E0A">
        <w:rPr>
          <w:rFonts w:eastAsia="Times New Roman" w:cs="Times New Roman"/>
          <w:color w:val="000000"/>
          <w:szCs w:val="24"/>
          <w:lang w:eastAsia="es-CO"/>
        </w:rPr>
        <w:t>.</w:t>
      </w:r>
    </w:p>
    <w:p w14:paraId="7528AD6B"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p w14:paraId="3491DBC8"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Así, la fusión está sometida a una formalidad </w:t>
      </w:r>
      <w:r w:rsidRPr="00C20E0A">
        <w:rPr>
          <w:rFonts w:eastAsia="Times New Roman" w:cs="Times New Roman"/>
          <w:i/>
          <w:iCs/>
          <w:color w:val="000000"/>
          <w:szCs w:val="24"/>
          <w:lang w:eastAsia="es-CO"/>
        </w:rPr>
        <w:t xml:space="preserve">ad </w:t>
      </w:r>
      <w:proofErr w:type="spellStart"/>
      <w:r w:rsidRPr="00C20E0A">
        <w:rPr>
          <w:rFonts w:eastAsia="Times New Roman" w:cs="Times New Roman"/>
          <w:i/>
          <w:iCs/>
          <w:color w:val="000000"/>
          <w:szCs w:val="24"/>
          <w:lang w:eastAsia="es-CO"/>
        </w:rPr>
        <w:t>solemnitatem</w:t>
      </w:r>
      <w:proofErr w:type="spellEnd"/>
      <w:r w:rsidRPr="00C20E0A">
        <w:rPr>
          <w:rFonts w:eastAsia="Times New Roman" w:cs="Times New Roman"/>
          <w:color w:val="000000"/>
          <w:szCs w:val="24"/>
          <w:lang w:eastAsia="es-CO"/>
        </w:rPr>
        <w:t> (escritura pública) para que exista como negocio jurídico y sea eficaz entre los sujetos negociales, y su oponibilidad está restringida a que se inscriba en el registro mercantil (artículos 158 y 901 </w:t>
      </w:r>
      <w:proofErr w:type="spellStart"/>
      <w:r w:rsidRPr="00C20E0A">
        <w:rPr>
          <w:rFonts w:eastAsia="Times New Roman" w:cs="Times New Roman"/>
          <w:i/>
          <w:iCs/>
          <w:color w:val="000000"/>
          <w:szCs w:val="24"/>
          <w:lang w:eastAsia="es-CO"/>
        </w:rPr>
        <w:t>ejusdem</w:t>
      </w:r>
      <w:proofErr w:type="spellEnd"/>
      <w:r w:rsidRPr="00C20E0A">
        <w:rPr>
          <w:rFonts w:eastAsia="Times New Roman" w:cs="Times New Roman"/>
          <w:color w:val="000000"/>
          <w:szCs w:val="24"/>
          <w:lang w:eastAsia="es-CO"/>
        </w:rPr>
        <w:t>)</w:t>
      </w:r>
      <w:bookmarkStart w:id="15" w:name="_ftnref15"/>
      <w:r w:rsidRPr="00C20E0A">
        <w:rPr>
          <w:rFonts w:eastAsia="Times New Roman" w:cs="Times New Roman"/>
          <w:color w:val="000000"/>
          <w:szCs w:val="24"/>
          <w:lang w:eastAsia="es-CO"/>
        </w:rPr>
        <w:fldChar w:fldCharType="begin"/>
      </w:r>
      <w:r w:rsidRPr="00C20E0A">
        <w:rPr>
          <w:rFonts w:eastAsia="Times New Roman" w:cs="Times New Roman"/>
          <w:color w:val="000000"/>
          <w:szCs w:val="24"/>
          <w:lang w:eastAsia="es-CO"/>
        </w:rPr>
        <w:instrText xml:space="preserve"> HYPERLINK "https://www.ceta.org.co/html/vista_de_un_documento.asp?DocumentoID=42284" \l "_ftn15" \o "" </w:instrText>
      </w:r>
      <w:r w:rsidRPr="00C20E0A">
        <w:rPr>
          <w:rFonts w:eastAsia="Times New Roman" w:cs="Times New Roman"/>
          <w:color w:val="000000"/>
          <w:szCs w:val="24"/>
          <w:lang w:eastAsia="es-CO"/>
        </w:rPr>
        <w:fldChar w:fldCharType="separate"/>
      </w:r>
      <w:r w:rsidRPr="00C20E0A">
        <w:rPr>
          <w:rFonts w:eastAsia="Times New Roman" w:cs="Times New Roman"/>
          <w:color w:val="0089E1"/>
          <w:szCs w:val="24"/>
          <w:lang w:eastAsia="es-CO"/>
        </w:rPr>
        <w:t>[15]</w:t>
      </w:r>
      <w:r w:rsidRPr="00C20E0A">
        <w:rPr>
          <w:rFonts w:eastAsia="Times New Roman" w:cs="Times New Roman"/>
          <w:color w:val="000000"/>
          <w:szCs w:val="24"/>
          <w:lang w:eastAsia="es-CO"/>
        </w:rPr>
        <w:fldChar w:fldCharType="end"/>
      </w:r>
      <w:bookmarkEnd w:id="15"/>
      <w:r w:rsidRPr="00C20E0A">
        <w:rPr>
          <w:rFonts w:eastAsia="Times New Roman" w:cs="Times New Roman"/>
          <w:color w:val="000000"/>
          <w:szCs w:val="24"/>
          <w:lang w:eastAsia="es-CO"/>
        </w:rPr>
        <w:t>.</w:t>
      </w:r>
    </w:p>
    <w:p w14:paraId="5AA94F83"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p w14:paraId="2C5C35D9"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Por lo expuesto, para aquellos tipos societarios en los cuales las reformas estatutarias se formalizan mediante escritura pública, es a partir del perfeccionamiento de la fusión que la absorbente adquiere los derechos y obligaciones de la absorbida (artículos 172 y 178 </w:t>
      </w:r>
      <w:proofErr w:type="spellStart"/>
      <w:r w:rsidRPr="00C20E0A">
        <w:rPr>
          <w:rFonts w:eastAsia="Times New Roman" w:cs="Times New Roman"/>
          <w:i/>
          <w:iCs/>
          <w:color w:val="000000"/>
          <w:szCs w:val="24"/>
          <w:lang w:eastAsia="es-CO"/>
        </w:rPr>
        <w:t>ibídem</w:t>
      </w:r>
      <w:proofErr w:type="spellEnd"/>
      <w:r w:rsidRPr="00C20E0A">
        <w:rPr>
          <w:rFonts w:eastAsia="Times New Roman" w:cs="Times New Roman"/>
          <w:color w:val="000000"/>
          <w:szCs w:val="24"/>
          <w:lang w:eastAsia="es-CO"/>
        </w:rPr>
        <w:t>).</w:t>
      </w:r>
    </w:p>
    <w:p w14:paraId="688A96D4"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p w14:paraId="27C92A6B"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En ese sentido, en sentencia del 19 de octubre de 2017</w:t>
      </w:r>
      <w:bookmarkStart w:id="16" w:name="_ftnref16"/>
      <w:r w:rsidRPr="00C20E0A">
        <w:rPr>
          <w:rFonts w:eastAsia="Times New Roman" w:cs="Times New Roman"/>
          <w:color w:val="000000"/>
          <w:szCs w:val="24"/>
          <w:lang w:eastAsia="es-CO"/>
        </w:rPr>
        <w:fldChar w:fldCharType="begin"/>
      </w:r>
      <w:r w:rsidRPr="00C20E0A">
        <w:rPr>
          <w:rFonts w:eastAsia="Times New Roman" w:cs="Times New Roman"/>
          <w:color w:val="000000"/>
          <w:szCs w:val="24"/>
          <w:lang w:eastAsia="es-CO"/>
        </w:rPr>
        <w:instrText xml:space="preserve"> HYPERLINK "https://www.ceta.org.co/html/vista_de_un_documento.asp?DocumentoID=42284" \l "_ftn16" \o "" </w:instrText>
      </w:r>
      <w:r w:rsidRPr="00C20E0A">
        <w:rPr>
          <w:rFonts w:eastAsia="Times New Roman" w:cs="Times New Roman"/>
          <w:color w:val="000000"/>
          <w:szCs w:val="24"/>
          <w:lang w:eastAsia="es-CO"/>
        </w:rPr>
        <w:fldChar w:fldCharType="separate"/>
      </w:r>
      <w:r w:rsidRPr="00C20E0A">
        <w:rPr>
          <w:rFonts w:eastAsia="Times New Roman" w:cs="Times New Roman"/>
          <w:color w:val="0089E1"/>
          <w:szCs w:val="24"/>
          <w:lang w:eastAsia="es-CO"/>
        </w:rPr>
        <w:t>[16]</w:t>
      </w:r>
      <w:r w:rsidRPr="00C20E0A">
        <w:rPr>
          <w:rFonts w:eastAsia="Times New Roman" w:cs="Times New Roman"/>
          <w:color w:val="000000"/>
          <w:szCs w:val="24"/>
          <w:lang w:eastAsia="es-CO"/>
        </w:rPr>
        <w:fldChar w:fldCharType="end"/>
      </w:r>
      <w:bookmarkEnd w:id="16"/>
      <w:r w:rsidRPr="00C20E0A">
        <w:rPr>
          <w:rFonts w:eastAsia="Times New Roman" w:cs="Times New Roman"/>
          <w:color w:val="000000"/>
          <w:szCs w:val="24"/>
          <w:lang w:eastAsia="es-CO"/>
        </w:rPr>
        <w:t>, la Sección precisó que las obligaciones tributarias que se causen con posterioridad al perfeccionamiento de la fusión, tendrán como contribuyente a la sociedad absorbente, pues «</w:t>
      </w:r>
      <w:r w:rsidRPr="00C20E0A">
        <w:rPr>
          <w:rFonts w:eastAsia="Times New Roman" w:cs="Times New Roman"/>
          <w:i/>
          <w:iCs/>
          <w:color w:val="000000"/>
          <w:szCs w:val="24"/>
          <w:lang w:eastAsia="es-CO"/>
        </w:rPr>
        <w:t>a partir de la fecha de la escritura pública con la que se formaliza el proceso de fusión, nace para la sociedad absorbente la responsabilidad por el cumplimiento de las obligaciones tributarias</w:t>
      </w:r>
      <w:r w:rsidRPr="00C20E0A">
        <w:rPr>
          <w:rFonts w:eastAsia="Times New Roman" w:cs="Times New Roman"/>
          <w:b/>
          <w:bCs/>
          <w:i/>
          <w:iCs/>
          <w:color w:val="000000"/>
          <w:szCs w:val="24"/>
          <w:lang w:eastAsia="es-CO"/>
        </w:rPr>
        <w:t>, </w:t>
      </w:r>
      <w:r w:rsidRPr="00C20E0A">
        <w:rPr>
          <w:rFonts w:eastAsia="Times New Roman" w:cs="Times New Roman"/>
          <w:i/>
          <w:iCs/>
          <w:color w:val="000000"/>
          <w:szCs w:val="24"/>
          <w:lang w:eastAsia="es-CO"/>
        </w:rPr>
        <w:t>tanto de carácter formal como sustancial, que surjan o se consoliden con posterioridad a dicha fecha, pero, a su vez, esta adquiere los derechos que se deriven de dicha relación</w:t>
      </w:r>
      <w:r w:rsidRPr="00C20E0A">
        <w:rPr>
          <w:rFonts w:eastAsia="Times New Roman" w:cs="Times New Roman"/>
          <w:color w:val="000000"/>
          <w:szCs w:val="24"/>
          <w:lang w:eastAsia="es-CO"/>
        </w:rPr>
        <w:t>».</w:t>
      </w:r>
    </w:p>
    <w:p w14:paraId="6B6D17D2"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p w14:paraId="5337C208"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Además, señaló</w:t>
      </w:r>
      <w:bookmarkStart w:id="17" w:name="_ftnref17"/>
      <w:r w:rsidRPr="00C20E0A">
        <w:rPr>
          <w:rFonts w:eastAsia="Times New Roman" w:cs="Times New Roman"/>
          <w:color w:val="000000"/>
          <w:szCs w:val="24"/>
          <w:lang w:eastAsia="es-CO"/>
        </w:rPr>
        <w:fldChar w:fldCharType="begin"/>
      </w:r>
      <w:r w:rsidRPr="00C20E0A">
        <w:rPr>
          <w:rFonts w:eastAsia="Times New Roman" w:cs="Times New Roman"/>
          <w:color w:val="000000"/>
          <w:szCs w:val="24"/>
          <w:lang w:eastAsia="es-CO"/>
        </w:rPr>
        <w:instrText xml:space="preserve"> HYPERLINK "https://www.ceta.org.co/html/vista_de_un_documento.asp?DocumentoID=42284" \l "_ftn17" \o "" </w:instrText>
      </w:r>
      <w:r w:rsidRPr="00C20E0A">
        <w:rPr>
          <w:rFonts w:eastAsia="Times New Roman" w:cs="Times New Roman"/>
          <w:color w:val="000000"/>
          <w:szCs w:val="24"/>
          <w:lang w:eastAsia="es-CO"/>
        </w:rPr>
        <w:fldChar w:fldCharType="separate"/>
      </w:r>
      <w:r w:rsidRPr="00C20E0A">
        <w:rPr>
          <w:rFonts w:eastAsia="Times New Roman" w:cs="Times New Roman"/>
          <w:color w:val="0089E1"/>
          <w:szCs w:val="24"/>
          <w:lang w:eastAsia="es-CO"/>
        </w:rPr>
        <w:t>[17]</w:t>
      </w:r>
      <w:r w:rsidRPr="00C20E0A">
        <w:rPr>
          <w:rFonts w:eastAsia="Times New Roman" w:cs="Times New Roman"/>
          <w:color w:val="000000"/>
          <w:szCs w:val="24"/>
          <w:lang w:eastAsia="es-CO"/>
        </w:rPr>
        <w:fldChar w:fldCharType="end"/>
      </w:r>
      <w:bookmarkEnd w:id="17"/>
      <w:r w:rsidRPr="00C20E0A">
        <w:rPr>
          <w:rFonts w:eastAsia="Times New Roman" w:cs="Times New Roman"/>
          <w:color w:val="000000"/>
          <w:szCs w:val="24"/>
          <w:lang w:eastAsia="es-CO"/>
        </w:rPr>
        <w:t> que la sociedad absorbida es sujeto de las obligaciones tributarias de períodos anteriores a la fusión societaria -como ocurre en el presente caso respecto del impuesto de renta del año 2010- y que, frente a períodos posteriores </w:t>
      </w:r>
      <w:r w:rsidRPr="00C20E0A">
        <w:rPr>
          <w:rFonts w:eastAsia="Times New Roman" w:cs="Times New Roman"/>
          <w:i/>
          <w:iCs/>
          <w:color w:val="000000"/>
          <w:szCs w:val="24"/>
          <w:lang w:eastAsia="es-CO"/>
        </w:rPr>
        <w:t xml:space="preserve">«la sociedad absorbida no estaba obligada a presentar declaración del impuesto sobre la renta por el año gravable 2013, por no ser </w:t>
      </w:r>
      <w:r w:rsidRPr="00C20E0A">
        <w:rPr>
          <w:rFonts w:eastAsia="Times New Roman" w:cs="Times New Roman"/>
          <w:i/>
          <w:iCs/>
          <w:color w:val="000000"/>
          <w:szCs w:val="24"/>
          <w:lang w:eastAsia="es-CO"/>
        </w:rPr>
        <w:lastRenderedPageBreak/>
        <w:t>contribuyente del impuesto para ese período en atención a la fusión perfeccionada en el 2012; […].</w:t>
      </w:r>
    </w:p>
    <w:p w14:paraId="1D1B98BB"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p w14:paraId="46BF0005"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En ese orden, comoquiera que por efectos de la fusión la sociedad absorbida se disuelve, las obligaciones que esta había contraído con anterioridad son asumidas por la sociedad absorbente, tema sobre el cual la DIAN, mediante Concepto 034464 de 2005</w:t>
      </w:r>
      <w:bookmarkStart w:id="18" w:name="_ftnref18"/>
      <w:r w:rsidRPr="00C20E0A">
        <w:rPr>
          <w:rFonts w:eastAsia="Times New Roman" w:cs="Times New Roman"/>
          <w:color w:val="000000"/>
          <w:szCs w:val="24"/>
          <w:lang w:eastAsia="es-CO"/>
        </w:rPr>
        <w:fldChar w:fldCharType="begin"/>
      </w:r>
      <w:r w:rsidRPr="00C20E0A">
        <w:rPr>
          <w:rFonts w:eastAsia="Times New Roman" w:cs="Times New Roman"/>
          <w:color w:val="000000"/>
          <w:szCs w:val="24"/>
          <w:lang w:eastAsia="es-CO"/>
        </w:rPr>
        <w:instrText xml:space="preserve"> HYPERLINK "https://www.ceta.org.co/html/vista_de_un_documento.asp?DocumentoID=42284" \l "_ftn18" \o "" </w:instrText>
      </w:r>
      <w:r w:rsidRPr="00C20E0A">
        <w:rPr>
          <w:rFonts w:eastAsia="Times New Roman" w:cs="Times New Roman"/>
          <w:color w:val="000000"/>
          <w:szCs w:val="24"/>
          <w:lang w:eastAsia="es-CO"/>
        </w:rPr>
        <w:fldChar w:fldCharType="separate"/>
      </w:r>
      <w:r w:rsidRPr="00C20E0A">
        <w:rPr>
          <w:rFonts w:eastAsia="Times New Roman" w:cs="Times New Roman"/>
          <w:color w:val="0089E1"/>
          <w:szCs w:val="24"/>
          <w:lang w:eastAsia="es-CO"/>
        </w:rPr>
        <w:t>[18]</w:t>
      </w:r>
      <w:r w:rsidRPr="00C20E0A">
        <w:rPr>
          <w:rFonts w:eastAsia="Times New Roman" w:cs="Times New Roman"/>
          <w:color w:val="000000"/>
          <w:szCs w:val="24"/>
          <w:lang w:eastAsia="es-CO"/>
        </w:rPr>
        <w:fldChar w:fldCharType="end"/>
      </w:r>
      <w:bookmarkEnd w:id="18"/>
      <w:r w:rsidRPr="00C20E0A">
        <w:rPr>
          <w:rFonts w:eastAsia="Times New Roman" w:cs="Times New Roman"/>
          <w:color w:val="000000"/>
          <w:szCs w:val="24"/>
          <w:lang w:eastAsia="es-CO"/>
        </w:rPr>
        <w:t>, planteó que </w:t>
      </w:r>
      <w:r w:rsidRPr="00C20E0A">
        <w:rPr>
          <w:rFonts w:eastAsia="Times New Roman" w:cs="Times New Roman"/>
          <w:i/>
          <w:iCs/>
          <w:color w:val="000000"/>
          <w:szCs w:val="24"/>
          <w:lang w:eastAsia="es-CO"/>
        </w:rPr>
        <w:t>«Los períodos gravables anteriores a la fusión deben declararse de manera independiente, razón por la cual respecto de la absorbida debe utilizarse el NIT que le correspondía»</w:t>
      </w:r>
      <w:r w:rsidRPr="00C20E0A">
        <w:rPr>
          <w:rFonts w:eastAsia="Times New Roman" w:cs="Times New Roman"/>
          <w:color w:val="000000"/>
          <w:szCs w:val="24"/>
          <w:lang w:eastAsia="es-CO"/>
        </w:rPr>
        <w:t> y señaló:</w:t>
      </w:r>
    </w:p>
    <w:p w14:paraId="2870A199"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p w14:paraId="03F44600" w14:textId="77777777" w:rsidR="00C20E0A" w:rsidRPr="00C20E0A" w:rsidRDefault="00C20E0A" w:rsidP="00C20E0A">
      <w:pPr>
        <w:spacing w:after="0" w:line="360" w:lineRule="auto"/>
        <w:ind w:left="284"/>
        <w:jc w:val="both"/>
        <w:rPr>
          <w:rFonts w:eastAsia="Times New Roman" w:cs="Times New Roman"/>
          <w:color w:val="000000"/>
          <w:szCs w:val="24"/>
          <w:lang w:eastAsia="es-CO"/>
        </w:rPr>
      </w:pPr>
      <w:r w:rsidRPr="00C20E0A">
        <w:rPr>
          <w:rFonts w:eastAsia="Times New Roman" w:cs="Times New Roman"/>
          <w:i/>
          <w:iCs/>
          <w:color w:val="000000"/>
          <w:szCs w:val="24"/>
          <w:lang w:eastAsia="es-CO"/>
        </w:rPr>
        <w:t xml:space="preserve">«… si bien es cierto que la absorbente desde el momento de la formalización de la fusión responde por las obligaciones tributarias de la absorbida, es un hecho </w:t>
      </w:r>
      <w:proofErr w:type="gramStart"/>
      <w:r w:rsidRPr="00C20E0A">
        <w:rPr>
          <w:rFonts w:eastAsia="Times New Roman" w:cs="Times New Roman"/>
          <w:i/>
          <w:iCs/>
          <w:color w:val="000000"/>
          <w:szCs w:val="24"/>
          <w:lang w:eastAsia="es-CO"/>
        </w:rPr>
        <w:t>que</w:t>
      </w:r>
      <w:proofErr w:type="gramEnd"/>
      <w:r w:rsidRPr="00C20E0A">
        <w:rPr>
          <w:rFonts w:eastAsia="Times New Roman" w:cs="Times New Roman"/>
          <w:i/>
          <w:iCs/>
          <w:color w:val="000000"/>
          <w:szCs w:val="24"/>
          <w:lang w:eastAsia="es-CO"/>
        </w:rPr>
        <w:t xml:space="preserve"> en los períodos gravables anteriores a la legalización y perfeccionamiento del acuerdo, existían de manera independiente los entes societarios, razón por la cual la absorbente debe declarar dichos períodos indicando el nombre y razón social y NIT de la absorbida. Esto teniendo en cuenta </w:t>
      </w:r>
      <w:proofErr w:type="gramStart"/>
      <w:r w:rsidRPr="00C20E0A">
        <w:rPr>
          <w:rFonts w:eastAsia="Times New Roman" w:cs="Times New Roman"/>
          <w:i/>
          <w:iCs/>
          <w:color w:val="000000"/>
          <w:szCs w:val="24"/>
          <w:lang w:eastAsia="es-CO"/>
        </w:rPr>
        <w:t>que</w:t>
      </w:r>
      <w:proofErr w:type="gramEnd"/>
      <w:r w:rsidRPr="00C20E0A">
        <w:rPr>
          <w:rFonts w:eastAsia="Times New Roman" w:cs="Times New Roman"/>
          <w:i/>
          <w:iCs/>
          <w:color w:val="000000"/>
          <w:szCs w:val="24"/>
          <w:lang w:eastAsia="es-CO"/>
        </w:rPr>
        <w:t xml:space="preserve"> si bien jurídicamente se consolidan, en la práctica la cuenta corriente así como las obligaciones de la absorbida por los períodos fiscales anteriores a la fusión tienen origen en personas jurídicas diferentes, identificadas cada una tributariamente, así la absorbente a partir de la formalización de la fusión deba cumplir las obligaciones formales y sustanciales de la primera por los períodos fiscales en que aquella tuvo vida jurídica.»</w:t>
      </w:r>
    </w:p>
    <w:p w14:paraId="4D2E1231"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p w14:paraId="7B7CB15F"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xml:space="preserve">De lo anterior se colige que, aquellas obligaciones tributarias de carácter formal surgidas con anterioridad al proceso de fusión, deben ser cumplidas por la sociedad absorbente, de manera independiente, indicando el nombre, razón social y </w:t>
      </w:r>
      <w:proofErr w:type="spellStart"/>
      <w:r w:rsidRPr="00C20E0A">
        <w:rPr>
          <w:rFonts w:eastAsia="Times New Roman" w:cs="Times New Roman"/>
          <w:color w:val="000000"/>
          <w:szCs w:val="24"/>
          <w:lang w:eastAsia="es-CO"/>
        </w:rPr>
        <w:t>Nit</w:t>
      </w:r>
      <w:proofErr w:type="spellEnd"/>
      <w:r w:rsidRPr="00C20E0A">
        <w:rPr>
          <w:rFonts w:eastAsia="Times New Roman" w:cs="Times New Roman"/>
          <w:color w:val="000000"/>
          <w:szCs w:val="24"/>
          <w:lang w:eastAsia="es-CO"/>
        </w:rPr>
        <w:t xml:space="preserve"> de la sociedad absorbida.</w:t>
      </w:r>
    </w:p>
    <w:p w14:paraId="79AD85F7"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p w14:paraId="10F949B2"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Así mismo, teniendo en cuenta que con anterioridad al perfeccionamiento de la fusión las sociedades intervinientes en el proceso tenían existencia independiente, las facultades de fiscalización no cambian por efecto de la fusión.</w:t>
      </w:r>
    </w:p>
    <w:p w14:paraId="468CF9F8"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p w14:paraId="295E83CD"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b/>
          <w:bCs/>
          <w:color w:val="000000"/>
          <w:szCs w:val="24"/>
          <w:lang w:eastAsia="es-CO"/>
        </w:rPr>
        <w:t>Caso concreto</w:t>
      </w:r>
    </w:p>
    <w:p w14:paraId="29F307BF"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b/>
          <w:bCs/>
          <w:color w:val="000000"/>
          <w:szCs w:val="24"/>
          <w:lang w:eastAsia="es-CO"/>
        </w:rPr>
        <w:t> </w:t>
      </w:r>
    </w:p>
    <w:p w14:paraId="6B7CEDAC"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xml:space="preserve">Es un hecho no discutido por las partes, que la fusión societaria en la que la demandante absorbió a </w:t>
      </w:r>
      <w:proofErr w:type="spellStart"/>
      <w:r w:rsidRPr="00C20E0A">
        <w:rPr>
          <w:rFonts w:eastAsia="Times New Roman" w:cs="Times New Roman"/>
          <w:color w:val="000000"/>
          <w:szCs w:val="24"/>
          <w:lang w:eastAsia="es-CO"/>
        </w:rPr>
        <w:t>Scarpines</w:t>
      </w:r>
      <w:proofErr w:type="spellEnd"/>
      <w:r w:rsidRPr="00C20E0A">
        <w:rPr>
          <w:rFonts w:eastAsia="Times New Roman" w:cs="Times New Roman"/>
          <w:color w:val="000000"/>
          <w:szCs w:val="24"/>
          <w:lang w:eastAsia="es-CO"/>
        </w:rPr>
        <w:t xml:space="preserve"> Ltda., se perfeccionó con la escritura pública 162 del 24 de enero de 2011, con lo cual las obligaciones tributarias formales y sustanciales que surjan o se consoliden con posterioridad a dicha fecha, corresponden a la sociedad absorbente.</w:t>
      </w:r>
    </w:p>
    <w:p w14:paraId="32B6BDAC"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p w14:paraId="27972F66"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xml:space="preserve">En el caso, la DIAN inició investigación a través de la Dirección Seccional de Impuestos de Bogotá, en contra de la sociedad </w:t>
      </w:r>
      <w:proofErr w:type="spellStart"/>
      <w:r w:rsidRPr="00C20E0A">
        <w:rPr>
          <w:rFonts w:eastAsia="Times New Roman" w:cs="Times New Roman"/>
          <w:color w:val="000000"/>
          <w:szCs w:val="24"/>
          <w:lang w:eastAsia="es-CO"/>
        </w:rPr>
        <w:t>Scarpines</w:t>
      </w:r>
      <w:proofErr w:type="spellEnd"/>
      <w:r w:rsidRPr="00C20E0A">
        <w:rPr>
          <w:rFonts w:eastAsia="Times New Roman" w:cs="Times New Roman"/>
          <w:color w:val="000000"/>
          <w:szCs w:val="24"/>
          <w:lang w:eastAsia="es-CO"/>
        </w:rPr>
        <w:t xml:space="preserve"> Ltda., absorbida por VD El Mundo a sus Pies, por no declarar el impuesto sobre la renta del año gravable 2010 </w:t>
      </w:r>
      <w:r w:rsidRPr="00C20E0A">
        <w:rPr>
          <w:rFonts w:eastAsia="Times New Roman" w:cs="Times New Roman"/>
          <w:i/>
          <w:iCs/>
          <w:color w:val="000000"/>
          <w:szCs w:val="24"/>
          <w:lang w:eastAsia="es-CO"/>
        </w:rPr>
        <w:t>-anterior al proceso de fusión-</w:t>
      </w:r>
      <w:r w:rsidRPr="00C20E0A">
        <w:rPr>
          <w:rFonts w:eastAsia="Times New Roman" w:cs="Times New Roman"/>
          <w:color w:val="000000"/>
          <w:szCs w:val="24"/>
          <w:lang w:eastAsia="es-CO"/>
        </w:rPr>
        <w:t>.</w:t>
      </w:r>
    </w:p>
    <w:p w14:paraId="6E023392"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p w14:paraId="658147DF"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lastRenderedPageBreak/>
        <w:t>En la actuación administrativa acusada, la demandada señaló que </w:t>
      </w:r>
      <w:r w:rsidRPr="00C20E0A">
        <w:rPr>
          <w:rFonts w:eastAsia="Times New Roman" w:cs="Times New Roman"/>
          <w:i/>
          <w:iCs/>
          <w:color w:val="000000"/>
          <w:szCs w:val="24"/>
          <w:lang w:eastAsia="es-CO"/>
        </w:rPr>
        <w:t xml:space="preserve">«la sociedad VD El Mundo a sus Pies debió presentar la declaración del impuesto sobre la renta indicando el nombre y razón social y NIT de la absorbida </w:t>
      </w:r>
      <w:proofErr w:type="spellStart"/>
      <w:r w:rsidRPr="00C20E0A">
        <w:rPr>
          <w:rFonts w:eastAsia="Times New Roman" w:cs="Times New Roman"/>
          <w:i/>
          <w:iCs/>
          <w:color w:val="000000"/>
          <w:szCs w:val="24"/>
          <w:lang w:eastAsia="es-CO"/>
        </w:rPr>
        <w:t>Scarpines</w:t>
      </w:r>
      <w:proofErr w:type="spellEnd"/>
      <w:r w:rsidRPr="00C20E0A">
        <w:rPr>
          <w:rFonts w:eastAsia="Times New Roman" w:cs="Times New Roman"/>
          <w:i/>
          <w:iCs/>
          <w:color w:val="000000"/>
          <w:szCs w:val="24"/>
          <w:lang w:eastAsia="es-CO"/>
        </w:rPr>
        <w:t xml:space="preserve"> Ltda.» </w:t>
      </w:r>
      <w:r w:rsidRPr="00C20E0A">
        <w:rPr>
          <w:rFonts w:eastAsia="Times New Roman" w:cs="Times New Roman"/>
          <w:color w:val="000000"/>
          <w:szCs w:val="24"/>
          <w:lang w:eastAsia="es-CO"/>
        </w:rPr>
        <w:t>y que era </w:t>
      </w:r>
      <w:r w:rsidRPr="00C20E0A">
        <w:rPr>
          <w:rFonts w:eastAsia="Times New Roman" w:cs="Times New Roman"/>
          <w:i/>
          <w:iCs/>
          <w:color w:val="000000"/>
          <w:szCs w:val="24"/>
          <w:lang w:eastAsia="es-CO"/>
        </w:rPr>
        <w:t>«responsabilidad de la sociedad absorbente VD El Mundo a sus Pies (…) presentar las declaraciones por dichos períodos indicando el nombre y razón social y NIT de la absorbida (…), por lo cual es claro que por ser el período 2010 anterior al perfeccionamiento de la absorción se debió presentar las declaraciones de manera independiente»</w:t>
      </w:r>
      <w:r w:rsidRPr="00C20E0A">
        <w:rPr>
          <w:rFonts w:eastAsia="Times New Roman" w:cs="Times New Roman"/>
          <w:color w:val="000000"/>
          <w:szCs w:val="24"/>
          <w:lang w:eastAsia="es-CO"/>
        </w:rPr>
        <w:t>.</w:t>
      </w:r>
    </w:p>
    <w:p w14:paraId="2BAF1C24"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p w14:paraId="77D75AA8" w14:textId="77777777" w:rsidR="00C20E0A" w:rsidRPr="00C20E0A" w:rsidRDefault="00C20E0A" w:rsidP="00C20E0A">
      <w:pPr>
        <w:shd w:val="clear" w:color="auto" w:fill="FFFFFF"/>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La apelante alegó que, por su condición de gran contribuyente, la investigación y posterior sanción debió adelantarla la Dirección Seccional de Grandes Contribuyentes de la DIAN, con lo cual los actos proferidos por la Dirección Seccional de Impuestos de Bogotá son nulos por falta de competencia y que las operaciones del año gravable 2010 realizadas por la sociedad absorbida fueron incluidas en la declaración de la absorbente «en una sola declaración», sin que se configure la sanción por no declarar.</w:t>
      </w:r>
    </w:p>
    <w:p w14:paraId="1BBDC71C" w14:textId="77777777" w:rsidR="00C20E0A" w:rsidRPr="00C20E0A" w:rsidRDefault="00C20E0A" w:rsidP="00C20E0A">
      <w:pPr>
        <w:shd w:val="clear" w:color="auto" w:fill="FFFFFF"/>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p w14:paraId="5A8C3C2F"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xml:space="preserve">La demandada manifestó que la investigación corresponde al año gravable 2010, frente a las operaciones realizadas por la sociedad </w:t>
      </w:r>
      <w:proofErr w:type="spellStart"/>
      <w:r w:rsidRPr="00C20E0A">
        <w:rPr>
          <w:rFonts w:eastAsia="Times New Roman" w:cs="Times New Roman"/>
          <w:color w:val="000000"/>
          <w:szCs w:val="24"/>
          <w:lang w:eastAsia="es-CO"/>
        </w:rPr>
        <w:t>Scarpines</w:t>
      </w:r>
      <w:proofErr w:type="spellEnd"/>
      <w:r w:rsidRPr="00C20E0A">
        <w:rPr>
          <w:rFonts w:eastAsia="Times New Roman" w:cs="Times New Roman"/>
          <w:color w:val="000000"/>
          <w:szCs w:val="24"/>
          <w:lang w:eastAsia="es-CO"/>
        </w:rPr>
        <w:t xml:space="preserve"> Ltda., que no ostentaba la calidad de gran contribuyente y, por ello, la competencia era de la Dirección Seccional de Impuestos de Bogotá, y que las obligaciones tributarias consolidadas antes del perfeccionamiento de la fusión, deben ser declaradas </w:t>
      </w:r>
      <w:r w:rsidRPr="00C20E0A">
        <w:rPr>
          <w:rFonts w:eastAsia="Times New Roman" w:cs="Times New Roman"/>
          <w:i/>
          <w:iCs/>
          <w:color w:val="000000"/>
          <w:szCs w:val="24"/>
          <w:lang w:eastAsia="es-CO"/>
        </w:rPr>
        <w:t>«por la absorbente, indicando el nombre y razón social y NIT de la sociedad absorbida (…), por lo cual es claro que por ser el período 2010 anterior al perfeccionamiento de la absorción se debió presentar las declaraciones de manera independiente»</w:t>
      </w:r>
      <w:r w:rsidRPr="00C20E0A">
        <w:rPr>
          <w:rFonts w:eastAsia="Times New Roman" w:cs="Times New Roman"/>
          <w:color w:val="000000"/>
          <w:szCs w:val="24"/>
          <w:lang w:eastAsia="es-CO"/>
        </w:rPr>
        <w:t>.</w:t>
      </w:r>
    </w:p>
    <w:p w14:paraId="50EDCE0F"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p w14:paraId="4E07005F"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En el caso concreto, los hechos investigados ocurrieron durante el año 2010, </w:t>
      </w:r>
      <w:r w:rsidRPr="00C20E0A">
        <w:rPr>
          <w:rFonts w:eastAsia="Times New Roman" w:cs="Times New Roman"/>
          <w:i/>
          <w:iCs/>
          <w:color w:val="000000"/>
          <w:szCs w:val="24"/>
          <w:lang w:eastAsia="es-CO"/>
        </w:rPr>
        <w:t>-con anterioridad a la fusión societaria-</w:t>
      </w:r>
      <w:r w:rsidRPr="00C20E0A">
        <w:rPr>
          <w:rFonts w:eastAsia="Times New Roman" w:cs="Times New Roman"/>
          <w:color w:val="000000"/>
          <w:szCs w:val="24"/>
          <w:lang w:eastAsia="es-CO"/>
        </w:rPr>
        <w:t xml:space="preserve">, durante el cual la sociedad absorbida </w:t>
      </w:r>
      <w:proofErr w:type="spellStart"/>
      <w:r w:rsidRPr="00C20E0A">
        <w:rPr>
          <w:rFonts w:eastAsia="Times New Roman" w:cs="Times New Roman"/>
          <w:color w:val="000000"/>
          <w:szCs w:val="24"/>
          <w:lang w:eastAsia="es-CO"/>
        </w:rPr>
        <w:t>Scarpines</w:t>
      </w:r>
      <w:proofErr w:type="spellEnd"/>
      <w:r w:rsidRPr="00C20E0A">
        <w:rPr>
          <w:rFonts w:eastAsia="Times New Roman" w:cs="Times New Roman"/>
          <w:color w:val="000000"/>
          <w:szCs w:val="24"/>
          <w:lang w:eastAsia="es-CO"/>
        </w:rPr>
        <w:t xml:space="preserve"> Ltda. tenía su domicilio en la ciudad de Bogotá, sin estar catalogada como Gran Contribuyente, por lo que la competencia para fiscalizar dicho período era de la Dirección Seccional de Impuestos de Bogotá, de conformidad con lo dispuesto en el Decreto 4048 de 2008 y la Resolución 7234 del 10 de julio de 2009</w:t>
      </w:r>
      <w:bookmarkStart w:id="19" w:name="_ftnref19"/>
      <w:r w:rsidRPr="00C20E0A">
        <w:rPr>
          <w:rFonts w:eastAsia="Times New Roman" w:cs="Times New Roman"/>
          <w:color w:val="000000"/>
          <w:szCs w:val="24"/>
          <w:lang w:eastAsia="es-CO"/>
        </w:rPr>
        <w:fldChar w:fldCharType="begin"/>
      </w:r>
      <w:r w:rsidRPr="00C20E0A">
        <w:rPr>
          <w:rFonts w:eastAsia="Times New Roman" w:cs="Times New Roman"/>
          <w:color w:val="000000"/>
          <w:szCs w:val="24"/>
          <w:lang w:eastAsia="es-CO"/>
        </w:rPr>
        <w:instrText xml:space="preserve"> HYPERLINK "https://www.ceta.org.co/html/vista_de_un_documento.asp?DocumentoID=42284" \l "_ftn19" \o "" </w:instrText>
      </w:r>
      <w:r w:rsidRPr="00C20E0A">
        <w:rPr>
          <w:rFonts w:eastAsia="Times New Roman" w:cs="Times New Roman"/>
          <w:color w:val="000000"/>
          <w:szCs w:val="24"/>
          <w:lang w:eastAsia="es-CO"/>
        </w:rPr>
        <w:fldChar w:fldCharType="separate"/>
      </w:r>
      <w:r w:rsidRPr="00C20E0A">
        <w:rPr>
          <w:rFonts w:eastAsia="Times New Roman" w:cs="Times New Roman"/>
          <w:color w:val="0089E1"/>
          <w:szCs w:val="24"/>
          <w:lang w:eastAsia="es-CO"/>
        </w:rPr>
        <w:t>[19]</w:t>
      </w:r>
      <w:r w:rsidRPr="00C20E0A">
        <w:rPr>
          <w:rFonts w:eastAsia="Times New Roman" w:cs="Times New Roman"/>
          <w:color w:val="000000"/>
          <w:szCs w:val="24"/>
          <w:lang w:eastAsia="es-CO"/>
        </w:rPr>
        <w:fldChar w:fldCharType="end"/>
      </w:r>
      <w:bookmarkEnd w:id="19"/>
      <w:r w:rsidRPr="00C20E0A">
        <w:rPr>
          <w:rFonts w:eastAsia="Times New Roman" w:cs="Times New Roman"/>
          <w:color w:val="000000"/>
          <w:szCs w:val="24"/>
          <w:lang w:eastAsia="es-CO"/>
        </w:rPr>
        <w:t> expedida por la Dirección General de la DIAN.</w:t>
      </w:r>
    </w:p>
    <w:p w14:paraId="7DA61E11"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p w14:paraId="68DC5F0B"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xml:space="preserve">En ese sentido, se reitera que para el año gravable 2010, la obligación formal de presentar la declaración de renta era de </w:t>
      </w:r>
      <w:proofErr w:type="spellStart"/>
      <w:r w:rsidRPr="00C20E0A">
        <w:rPr>
          <w:rFonts w:eastAsia="Times New Roman" w:cs="Times New Roman"/>
          <w:color w:val="000000"/>
          <w:szCs w:val="24"/>
          <w:lang w:eastAsia="es-CO"/>
        </w:rPr>
        <w:t>Scarpines</w:t>
      </w:r>
      <w:proofErr w:type="spellEnd"/>
      <w:r w:rsidRPr="00C20E0A">
        <w:rPr>
          <w:rFonts w:eastAsia="Times New Roman" w:cs="Times New Roman"/>
          <w:color w:val="000000"/>
          <w:szCs w:val="24"/>
          <w:lang w:eastAsia="es-CO"/>
        </w:rPr>
        <w:t xml:space="preserve"> Ltda., cuya presentación debió hacerse por conducto de la sociedad absorbente en nombre de aquella -</w:t>
      </w:r>
      <w:r w:rsidRPr="00C20E0A">
        <w:rPr>
          <w:rFonts w:eastAsia="Times New Roman" w:cs="Times New Roman"/>
          <w:i/>
          <w:iCs/>
          <w:color w:val="000000"/>
          <w:szCs w:val="24"/>
          <w:lang w:eastAsia="es-CO"/>
        </w:rPr>
        <w:t>de manera independiente, indicando el nombre, razón social y NIT de la sociedad absorbida-</w:t>
      </w:r>
      <w:r w:rsidRPr="00C20E0A">
        <w:rPr>
          <w:rFonts w:eastAsia="Times New Roman" w:cs="Times New Roman"/>
          <w:color w:val="000000"/>
          <w:szCs w:val="24"/>
          <w:lang w:eastAsia="es-CO"/>
        </w:rPr>
        <w:t>; como ello no ocurrió, la sanción por no declarar se ajustó a derecho.</w:t>
      </w:r>
    </w:p>
    <w:p w14:paraId="69372659"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p w14:paraId="03C7201E"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xml:space="preserve">Así pues, teniendo en cuenta que en este caso se discute la omisión del deber formal de declarar que derivó en la imposición de la sanción en los actos acusados, y que está demostrado que a la sociedad absorbida </w:t>
      </w:r>
      <w:proofErr w:type="spellStart"/>
      <w:r w:rsidRPr="00C20E0A">
        <w:rPr>
          <w:rFonts w:eastAsia="Times New Roman" w:cs="Times New Roman"/>
          <w:color w:val="000000"/>
          <w:szCs w:val="24"/>
          <w:lang w:eastAsia="es-CO"/>
        </w:rPr>
        <w:t>Scarpines</w:t>
      </w:r>
      <w:proofErr w:type="spellEnd"/>
      <w:r w:rsidRPr="00C20E0A">
        <w:rPr>
          <w:rFonts w:eastAsia="Times New Roman" w:cs="Times New Roman"/>
          <w:color w:val="000000"/>
          <w:szCs w:val="24"/>
          <w:lang w:eastAsia="es-CO"/>
        </w:rPr>
        <w:t xml:space="preserve"> Ltda. le correspondía presentar la declaración de renta del año </w:t>
      </w:r>
      <w:r w:rsidRPr="00C20E0A">
        <w:rPr>
          <w:rFonts w:eastAsia="Times New Roman" w:cs="Times New Roman"/>
          <w:color w:val="000000"/>
          <w:szCs w:val="24"/>
          <w:lang w:eastAsia="es-CO"/>
        </w:rPr>
        <w:lastRenderedPageBreak/>
        <w:t>gravable 2010, por conducto de la sociedad absorbente, y no lo hizo, </w:t>
      </w:r>
      <w:bookmarkStart w:id="20" w:name="_Hlk71652404"/>
      <w:r w:rsidRPr="00C20E0A">
        <w:rPr>
          <w:rFonts w:eastAsia="Times New Roman" w:cs="Times New Roman"/>
          <w:color w:val="0089E1"/>
          <w:szCs w:val="24"/>
          <w:lang w:eastAsia="es-CO"/>
        </w:rPr>
        <w:t>resulta indiferente estudiar si esta última en su declaración registró o no los hechos económicos de la primera.</w:t>
      </w:r>
      <w:bookmarkEnd w:id="20"/>
    </w:p>
    <w:p w14:paraId="0927D513"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p w14:paraId="5825F9E4"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Con fundamento en las razones expuestas, la Sala se inhibirá de pronunciarse respecto de la nulidad del emplazamiento para declarar y confirmará la sentencia apelada.</w:t>
      </w:r>
    </w:p>
    <w:p w14:paraId="43F07E50"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p w14:paraId="7C2A9EC5"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De conformidad con lo previsto en los artículos 188 del Código de Procedimiento Administrativo y de lo Contencioso Administrativo y 365 del Código General del Proceso</w:t>
      </w:r>
      <w:bookmarkStart w:id="21" w:name="_ftnref20"/>
      <w:r w:rsidRPr="00C20E0A">
        <w:rPr>
          <w:rFonts w:eastAsia="Times New Roman" w:cs="Times New Roman"/>
          <w:color w:val="000000"/>
          <w:szCs w:val="24"/>
          <w:lang w:eastAsia="es-CO"/>
        </w:rPr>
        <w:fldChar w:fldCharType="begin"/>
      </w:r>
      <w:r w:rsidRPr="00C20E0A">
        <w:rPr>
          <w:rFonts w:eastAsia="Times New Roman" w:cs="Times New Roman"/>
          <w:color w:val="000000"/>
          <w:szCs w:val="24"/>
          <w:lang w:eastAsia="es-CO"/>
        </w:rPr>
        <w:instrText xml:space="preserve"> HYPERLINK "https://www.ceta.org.co/html/vista_de_un_documento.asp?DocumentoID=42284" \l "_ftn20" \o "" </w:instrText>
      </w:r>
      <w:r w:rsidRPr="00C20E0A">
        <w:rPr>
          <w:rFonts w:eastAsia="Times New Roman" w:cs="Times New Roman"/>
          <w:color w:val="000000"/>
          <w:szCs w:val="24"/>
          <w:lang w:eastAsia="es-CO"/>
        </w:rPr>
        <w:fldChar w:fldCharType="separate"/>
      </w:r>
      <w:r w:rsidRPr="00C20E0A">
        <w:rPr>
          <w:rFonts w:eastAsia="Times New Roman" w:cs="Times New Roman"/>
          <w:color w:val="0089E1"/>
          <w:szCs w:val="24"/>
          <w:lang w:eastAsia="es-CO"/>
        </w:rPr>
        <w:t>[20]</w:t>
      </w:r>
      <w:r w:rsidRPr="00C20E0A">
        <w:rPr>
          <w:rFonts w:eastAsia="Times New Roman" w:cs="Times New Roman"/>
          <w:color w:val="000000"/>
          <w:szCs w:val="24"/>
          <w:lang w:eastAsia="es-CO"/>
        </w:rPr>
        <w:fldChar w:fldCharType="end"/>
      </w:r>
      <w:bookmarkEnd w:id="21"/>
      <w:r w:rsidRPr="00C20E0A">
        <w:rPr>
          <w:rFonts w:eastAsia="Times New Roman" w:cs="Times New Roman"/>
          <w:color w:val="000000"/>
          <w:szCs w:val="24"/>
          <w:lang w:eastAsia="es-CO"/>
        </w:rPr>
        <w:t>, no procede la condena en costas en esta instancia (gastos del proceso y agencias en derecho), por cuanto en el expediente no se encuentran probadas.</w:t>
      </w:r>
    </w:p>
    <w:p w14:paraId="0A19F85C"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p w14:paraId="2159A097"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En </w:t>
      </w:r>
      <w:bookmarkStart w:id="22" w:name="734"/>
      <w:bookmarkEnd w:id="22"/>
      <w:r w:rsidRPr="00C20E0A">
        <w:rPr>
          <w:rFonts w:eastAsia="Times New Roman" w:cs="Times New Roman"/>
          <w:color w:val="000000"/>
          <w:szCs w:val="24"/>
          <w:lang w:eastAsia="es-CO"/>
        </w:rPr>
        <w:t>mérito de lo expuesto, el Consejo de Estado, Sala de lo Contencioso Administrativo, Sección Cuarta, administrando justicia en nombre de la República de Colombia y por autoridad de la ley,</w:t>
      </w:r>
    </w:p>
    <w:p w14:paraId="0672790E"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p w14:paraId="709ACA67" w14:textId="77777777" w:rsidR="00C20E0A" w:rsidRPr="00C20E0A" w:rsidRDefault="00C20E0A" w:rsidP="00C20E0A">
      <w:pPr>
        <w:spacing w:after="0" w:line="360" w:lineRule="auto"/>
        <w:jc w:val="center"/>
        <w:rPr>
          <w:rFonts w:eastAsia="Times New Roman" w:cs="Times New Roman"/>
          <w:color w:val="000000"/>
          <w:szCs w:val="24"/>
          <w:lang w:eastAsia="es-CO"/>
        </w:rPr>
      </w:pPr>
      <w:r w:rsidRPr="00C20E0A">
        <w:rPr>
          <w:rFonts w:eastAsia="Times New Roman" w:cs="Times New Roman"/>
          <w:b/>
          <w:bCs/>
          <w:color w:val="000000"/>
          <w:szCs w:val="24"/>
          <w:lang w:eastAsia="es-CO"/>
        </w:rPr>
        <w:t>FALLA</w:t>
      </w:r>
    </w:p>
    <w:p w14:paraId="7D53B3B8"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p w14:paraId="0F22A60A"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b/>
          <w:bCs/>
          <w:color w:val="000000"/>
          <w:szCs w:val="24"/>
          <w:lang w:eastAsia="es-CO"/>
        </w:rPr>
        <w:t>1.- INHIBIRSE</w:t>
      </w:r>
      <w:r w:rsidRPr="00C20E0A">
        <w:rPr>
          <w:rFonts w:eastAsia="Times New Roman" w:cs="Times New Roman"/>
          <w:color w:val="000000"/>
          <w:szCs w:val="24"/>
          <w:lang w:eastAsia="es-CO"/>
        </w:rPr>
        <w:t> de emitir pronunciamiento frente al Emplazamiento para Declarar 322402014000258 del 7 de noviembre de 2014, proferido por la División de Gestión de Fiscalización de Personas Jurídicas y Asimiladas de la Dirección Seccional de Impuestos de Bogotá.</w:t>
      </w:r>
    </w:p>
    <w:p w14:paraId="3F487B6A"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p w14:paraId="5AB36AAC"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b/>
          <w:bCs/>
          <w:color w:val="000000"/>
          <w:szCs w:val="24"/>
          <w:lang w:eastAsia="es-CO"/>
        </w:rPr>
        <w:t>2.- CONFIRMAR </w:t>
      </w:r>
      <w:r w:rsidRPr="00C20E0A">
        <w:rPr>
          <w:rFonts w:eastAsia="Times New Roman" w:cs="Times New Roman"/>
          <w:color w:val="000000"/>
          <w:szCs w:val="24"/>
          <w:lang w:eastAsia="es-CO"/>
        </w:rPr>
        <w:t>la sentencia del 3 de mayo de 2019, proferida por el Tribunal Administrativo de Cundinamarca, Sección Cuarta, Subsección B.</w:t>
      </w:r>
    </w:p>
    <w:p w14:paraId="3010282B"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b/>
          <w:bCs/>
          <w:color w:val="000000"/>
          <w:szCs w:val="24"/>
          <w:lang w:eastAsia="es-CO"/>
        </w:rPr>
        <w:t> </w:t>
      </w:r>
    </w:p>
    <w:p w14:paraId="76E1D1BC"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b/>
          <w:bCs/>
          <w:color w:val="000000"/>
          <w:szCs w:val="24"/>
          <w:lang w:eastAsia="es-CO"/>
        </w:rPr>
        <w:t>3.- </w:t>
      </w:r>
      <w:r w:rsidRPr="00C20E0A">
        <w:rPr>
          <w:rFonts w:eastAsia="Times New Roman" w:cs="Times New Roman"/>
          <w:color w:val="000000"/>
          <w:szCs w:val="24"/>
          <w:lang w:eastAsia="es-CO"/>
        </w:rPr>
        <w:t>Sin condena en costas en esta instancia.</w:t>
      </w:r>
    </w:p>
    <w:p w14:paraId="50380A83"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p w14:paraId="10F82F1D"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Notifíquese, comuníquese y devuélvase el expediente al Tribunal de origen. Cúmplase.</w:t>
      </w:r>
    </w:p>
    <w:p w14:paraId="1C34381D"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p w14:paraId="1A597C71"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La presente providencia se aprobó en la sesión de la fecha.</w:t>
      </w:r>
    </w:p>
    <w:p w14:paraId="7607AE99"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p w14:paraId="1FC22296"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p w14:paraId="75B5A9D5"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i/>
          <w:iCs/>
          <w:color w:val="000000"/>
          <w:szCs w:val="24"/>
          <w:lang w:eastAsia="es-CO"/>
        </w:rPr>
        <w:t>(Firmado electrónicamente)</w:t>
      </w:r>
    </w:p>
    <w:p w14:paraId="55414C4F"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b/>
          <w:bCs/>
          <w:color w:val="000000"/>
          <w:szCs w:val="24"/>
          <w:lang w:eastAsia="es-CO"/>
        </w:rPr>
        <w:t>MILTON CHAVES GARCÍA</w:t>
      </w:r>
    </w:p>
    <w:p w14:paraId="45195D52"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Presidente de la Sección</w:t>
      </w:r>
    </w:p>
    <w:p w14:paraId="791DFED5"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b/>
          <w:bCs/>
          <w:color w:val="000000"/>
          <w:szCs w:val="24"/>
          <w:lang w:eastAsia="es-CO"/>
        </w:rPr>
        <w:t> </w:t>
      </w:r>
    </w:p>
    <w:p w14:paraId="0EC62EBD"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b/>
          <w:bCs/>
          <w:color w:val="000000"/>
          <w:szCs w:val="24"/>
          <w:lang w:eastAsia="es-CO"/>
        </w:rPr>
        <w:t> </w:t>
      </w:r>
    </w:p>
    <w:p w14:paraId="63FBB7CA"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i/>
          <w:iCs/>
          <w:color w:val="000000"/>
          <w:szCs w:val="24"/>
          <w:lang w:eastAsia="es-CO"/>
        </w:rPr>
        <w:t>(Firmado electrónicamente)</w:t>
      </w:r>
    </w:p>
    <w:p w14:paraId="4AC6A3E3"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b/>
          <w:bCs/>
          <w:color w:val="000000"/>
          <w:szCs w:val="24"/>
          <w:lang w:eastAsia="es-CO"/>
        </w:rPr>
        <w:t>STELLA JEANNETTE CARVAJAL BASTO</w:t>
      </w:r>
    </w:p>
    <w:p w14:paraId="418A1DB2"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b/>
          <w:bCs/>
          <w:color w:val="000000"/>
          <w:szCs w:val="24"/>
          <w:lang w:eastAsia="es-CO"/>
        </w:rPr>
        <w:t> </w:t>
      </w:r>
    </w:p>
    <w:p w14:paraId="6AA21485"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b/>
          <w:bCs/>
          <w:color w:val="000000"/>
          <w:szCs w:val="24"/>
          <w:lang w:eastAsia="es-CO"/>
        </w:rPr>
        <w:t> </w:t>
      </w:r>
    </w:p>
    <w:p w14:paraId="66FA30DE"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i/>
          <w:iCs/>
          <w:color w:val="000000"/>
          <w:szCs w:val="24"/>
          <w:lang w:eastAsia="es-CO"/>
        </w:rPr>
        <w:lastRenderedPageBreak/>
        <w:t>(Firmado electrónicamente)</w:t>
      </w:r>
    </w:p>
    <w:p w14:paraId="2731ACD6"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b/>
          <w:bCs/>
          <w:color w:val="000000"/>
          <w:szCs w:val="24"/>
          <w:lang w:eastAsia="es-CO"/>
        </w:rPr>
        <w:t>MYRIAM STELLA GUTIÉRREZ ARGÜELLO</w:t>
      </w:r>
    </w:p>
    <w:p w14:paraId="37C04EB5"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b/>
          <w:bCs/>
          <w:color w:val="000000"/>
          <w:szCs w:val="24"/>
          <w:lang w:eastAsia="es-CO"/>
        </w:rPr>
        <w:t> </w:t>
      </w:r>
    </w:p>
    <w:p w14:paraId="67983BBC"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b/>
          <w:bCs/>
          <w:color w:val="000000"/>
          <w:szCs w:val="24"/>
          <w:lang w:eastAsia="es-CO"/>
        </w:rPr>
        <w:t> </w:t>
      </w:r>
    </w:p>
    <w:p w14:paraId="56388E29"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i/>
          <w:iCs/>
          <w:color w:val="000000"/>
          <w:szCs w:val="24"/>
          <w:lang w:eastAsia="es-CO"/>
        </w:rPr>
        <w:t>(Firmado electrónicamente)</w:t>
      </w:r>
    </w:p>
    <w:p w14:paraId="52B2A631"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b/>
          <w:bCs/>
          <w:color w:val="000000"/>
          <w:szCs w:val="24"/>
          <w:lang w:eastAsia="es-CO"/>
        </w:rPr>
        <w:t>JULIO ROBERTO PIZA RODRÍGUEZ</w:t>
      </w:r>
    </w:p>
    <w:p w14:paraId="2A9E83D6"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br w:type="textWrapping" w:clear="all"/>
      </w:r>
    </w:p>
    <w:p w14:paraId="1E348103"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pict w14:anchorId="5A80CD65">
          <v:rect id="_x0000_i1025" style="width:145.85pt;height:.6pt" o:hrpct="330" o:hrstd="t" o:hr="t" fillcolor="#a0a0a0" stroked="f"/>
        </w:pict>
      </w:r>
    </w:p>
    <w:bookmarkStart w:id="23" w:name="_ftn1"/>
    <w:p w14:paraId="5F460284"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fldChar w:fldCharType="begin"/>
      </w:r>
      <w:r w:rsidRPr="00C20E0A">
        <w:rPr>
          <w:rFonts w:eastAsia="Times New Roman" w:cs="Times New Roman"/>
          <w:color w:val="000000"/>
          <w:szCs w:val="24"/>
          <w:lang w:eastAsia="es-CO"/>
        </w:rPr>
        <w:instrText xml:space="preserve"> HYPERLINK "https://www.ceta.org.co/html/vista_de_un_documento.asp?DocumentoID=42284" \l "_ftnref1" \o "" </w:instrText>
      </w:r>
      <w:r w:rsidRPr="00C20E0A">
        <w:rPr>
          <w:rFonts w:eastAsia="Times New Roman" w:cs="Times New Roman"/>
          <w:color w:val="000000"/>
          <w:szCs w:val="24"/>
          <w:lang w:eastAsia="es-CO"/>
        </w:rPr>
        <w:fldChar w:fldCharType="separate"/>
      </w:r>
      <w:r w:rsidRPr="00C20E0A">
        <w:rPr>
          <w:rFonts w:eastAsia="Times New Roman" w:cs="Times New Roman"/>
          <w:color w:val="0089E1"/>
          <w:szCs w:val="24"/>
          <w:lang w:eastAsia="es-CO"/>
        </w:rPr>
        <w:t>[1]</w:t>
      </w:r>
      <w:r w:rsidRPr="00C20E0A">
        <w:rPr>
          <w:rFonts w:eastAsia="Times New Roman" w:cs="Times New Roman"/>
          <w:color w:val="000000"/>
          <w:szCs w:val="24"/>
          <w:lang w:eastAsia="es-CO"/>
        </w:rPr>
        <w:fldChar w:fldCharType="end"/>
      </w:r>
      <w:bookmarkEnd w:id="23"/>
      <w:r w:rsidRPr="00C20E0A">
        <w:rPr>
          <w:rFonts w:eastAsia="Times New Roman" w:cs="Times New Roman"/>
          <w:color w:val="000000"/>
          <w:szCs w:val="24"/>
          <w:lang w:eastAsia="es-CO"/>
        </w:rPr>
        <w:t> </w:t>
      </w:r>
      <w:proofErr w:type="spellStart"/>
      <w:r w:rsidRPr="00C20E0A">
        <w:rPr>
          <w:rFonts w:eastAsia="Times New Roman" w:cs="Times New Roman"/>
          <w:color w:val="000000"/>
          <w:szCs w:val="24"/>
          <w:lang w:eastAsia="es-CO"/>
        </w:rPr>
        <w:t>Fl</w:t>
      </w:r>
      <w:proofErr w:type="spellEnd"/>
      <w:r w:rsidRPr="00C20E0A">
        <w:rPr>
          <w:rFonts w:eastAsia="Times New Roman" w:cs="Times New Roman"/>
          <w:color w:val="000000"/>
          <w:szCs w:val="24"/>
          <w:lang w:eastAsia="es-CO"/>
        </w:rPr>
        <w:t xml:space="preserve">. 18 vto. </w:t>
      </w:r>
      <w:proofErr w:type="spellStart"/>
      <w:r w:rsidRPr="00C20E0A">
        <w:rPr>
          <w:rFonts w:eastAsia="Times New Roman" w:cs="Times New Roman"/>
          <w:color w:val="000000"/>
          <w:szCs w:val="24"/>
          <w:lang w:eastAsia="es-CO"/>
        </w:rPr>
        <w:t>c.p.</w:t>
      </w:r>
      <w:proofErr w:type="spellEnd"/>
    </w:p>
    <w:p w14:paraId="1BDB6529"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bookmarkStart w:id="24" w:name="_ftn2"/>
    <w:p w14:paraId="4AC49C40"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fldChar w:fldCharType="begin"/>
      </w:r>
      <w:r w:rsidRPr="00C20E0A">
        <w:rPr>
          <w:rFonts w:eastAsia="Times New Roman" w:cs="Times New Roman"/>
          <w:color w:val="000000"/>
          <w:szCs w:val="24"/>
          <w:lang w:eastAsia="es-CO"/>
        </w:rPr>
        <w:instrText xml:space="preserve"> HYPERLINK "https://www.ceta.org.co/html/vista_de_un_documento.asp?DocumentoID=42284" \l "_ftnref2" \o "" </w:instrText>
      </w:r>
      <w:r w:rsidRPr="00C20E0A">
        <w:rPr>
          <w:rFonts w:eastAsia="Times New Roman" w:cs="Times New Roman"/>
          <w:color w:val="000000"/>
          <w:szCs w:val="24"/>
          <w:lang w:eastAsia="es-CO"/>
        </w:rPr>
        <w:fldChar w:fldCharType="separate"/>
      </w:r>
      <w:r w:rsidRPr="00C20E0A">
        <w:rPr>
          <w:rFonts w:eastAsia="Times New Roman" w:cs="Times New Roman"/>
          <w:color w:val="0089E1"/>
          <w:szCs w:val="24"/>
          <w:lang w:eastAsia="es-CO"/>
        </w:rPr>
        <w:t>[2]</w:t>
      </w:r>
      <w:r w:rsidRPr="00C20E0A">
        <w:rPr>
          <w:rFonts w:eastAsia="Times New Roman" w:cs="Times New Roman"/>
          <w:color w:val="000000"/>
          <w:szCs w:val="24"/>
          <w:lang w:eastAsia="es-CO"/>
        </w:rPr>
        <w:fldChar w:fldCharType="end"/>
      </w:r>
      <w:bookmarkEnd w:id="24"/>
      <w:r w:rsidRPr="00C20E0A">
        <w:rPr>
          <w:rFonts w:eastAsia="Times New Roman" w:cs="Times New Roman"/>
          <w:color w:val="000000"/>
          <w:szCs w:val="24"/>
          <w:lang w:eastAsia="es-CO"/>
        </w:rPr>
        <w:t> Desde el 30 de noviembre de 2012, VD El Mundo a sus Pies S.A.S En Reorganización. Cuyo objeto social principal es la compra, venta, consignación, distribución, agencia, representación, franquicia, importación y exportación de toda clase de productos de cuero y productos afines (…).</w:t>
      </w:r>
    </w:p>
    <w:p w14:paraId="73AB3297"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bookmarkStart w:id="25" w:name="_ftn3"/>
    <w:p w14:paraId="09C0C7EA"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fldChar w:fldCharType="begin"/>
      </w:r>
      <w:r w:rsidRPr="00C20E0A">
        <w:rPr>
          <w:rFonts w:eastAsia="Times New Roman" w:cs="Times New Roman"/>
          <w:color w:val="000000"/>
          <w:szCs w:val="24"/>
          <w:lang w:eastAsia="es-CO"/>
        </w:rPr>
        <w:instrText xml:space="preserve"> HYPERLINK "https://www.ceta.org.co/html/vista_de_un_documento.asp?DocumentoID=42284" \l "_ftnref3" \o "" </w:instrText>
      </w:r>
      <w:r w:rsidRPr="00C20E0A">
        <w:rPr>
          <w:rFonts w:eastAsia="Times New Roman" w:cs="Times New Roman"/>
          <w:color w:val="000000"/>
          <w:szCs w:val="24"/>
          <w:lang w:eastAsia="es-CO"/>
        </w:rPr>
        <w:fldChar w:fldCharType="separate"/>
      </w:r>
      <w:r w:rsidRPr="00C20E0A">
        <w:rPr>
          <w:rFonts w:eastAsia="Times New Roman" w:cs="Times New Roman"/>
          <w:color w:val="0089E1"/>
          <w:szCs w:val="24"/>
          <w:lang w:eastAsia="es-CO"/>
        </w:rPr>
        <w:t>[3]</w:t>
      </w:r>
      <w:r w:rsidRPr="00C20E0A">
        <w:rPr>
          <w:rFonts w:eastAsia="Times New Roman" w:cs="Times New Roman"/>
          <w:color w:val="000000"/>
          <w:szCs w:val="24"/>
          <w:lang w:eastAsia="es-CO"/>
        </w:rPr>
        <w:fldChar w:fldCharType="end"/>
      </w:r>
      <w:bookmarkEnd w:id="25"/>
      <w:r w:rsidRPr="00C20E0A">
        <w:rPr>
          <w:rFonts w:eastAsia="Times New Roman" w:cs="Times New Roman"/>
          <w:color w:val="000000"/>
          <w:szCs w:val="24"/>
          <w:lang w:eastAsia="es-CO"/>
        </w:rPr>
        <w:t> </w:t>
      </w:r>
      <w:proofErr w:type="spellStart"/>
      <w:r w:rsidRPr="00C20E0A">
        <w:rPr>
          <w:rFonts w:eastAsia="Times New Roman" w:cs="Times New Roman"/>
          <w:color w:val="000000"/>
          <w:szCs w:val="24"/>
          <w:lang w:eastAsia="es-CO"/>
        </w:rPr>
        <w:t>Fl</w:t>
      </w:r>
      <w:proofErr w:type="spellEnd"/>
      <w:r w:rsidRPr="00C20E0A">
        <w:rPr>
          <w:rFonts w:eastAsia="Times New Roman" w:cs="Times New Roman"/>
          <w:color w:val="000000"/>
          <w:szCs w:val="24"/>
          <w:lang w:eastAsia="es-CO"/>
        </w:rPr>
        <w:t xml:space="preserve">. 34 </w:t>
      </w:r>
      <w:proofErr w:type="spellStart"/>
      <w:r w:rsidRPr="00C20E0A">
        <w:rPr>
          <w:rFonts w:eastAsia="Times New Roman" w:cs="Times New Roman"/>
          <w:color w:val="000000"/>
          <w:szCs w:val="24"/>
          <w:lang w:eastAsia="es-CO"/>
        </w:rPr>
        <w:t>c.p.</w:t>
      </w:r>
      <w:proofErr w:type="spellEnd"/>
    </w:p>
    <w:p w14:paraId="43C215A1"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bookmarkStart w:id="26" w:name="_ftn4"/>
    <w:p w14:paraId="07C48F1E"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fldChar w:fldCharType="begin"/>
      </w:r>
      <w:r w:rsidRPr="00C20E0A">
        <w:rPr>
          <w:rFonts w:eastAsia="Times New Roman" w:cs="Times New Roman"/>
          <w:color w:val="000000"/>
          <w:szCs w:val="24"/>
          <w:lang w:eastAsia="es-CO"/>
        </w:rPr>
        <w:instrText xml:space="preserve"> HYPERLINK "https://www.ceta.org.co/html/vista_de_un_documento.asp?DocumentoID=42284" \l "_ftnref4" \o "" </w:instrText>
      </w:r>
      <w:r w:rsidRPr="00C20E0A">
        <w:rPr>
          <w:rFonts w:eastAsia="Times New Roman" w:cs="Times New Roman"/>
          <w:color w:val="000000"/>
          <w:szCs w:val="24"/>
          <w:lang w:eastAsia="es-CO"/>
        </w:rPr>
        <w:fldChar w:fldCharType="separate"/>
      </w:r>
      <w:r w:rsidRPr="00C20E0A">
        <w:rPr>
          <w:rFonts w:eastAsia="Times New Roman" w:cs="Times New Roman"/>
          <w:color w:val="0089E1"/>
          <w:szCs w:val="24"/>
          <w:lang w:eastAsia="es-CO"/>
        </w:rPr>
        <w:t>[4]</w:t>
      </w:r>
      <w:r w:rsidRPr="00C20E0A">
        <w:rPr>
          <w:rFonts w:eastAsia="Times New Roman" w:cs="Times New Roman"/>
          <w:color w:val="000000"/>
          <w:szCs w:val="24"/>
          <w:lang w:eastAsia="es-CO"/>
        </w:rPr>
        <w:fldChar w:fldCharType="end"/>
      </w:r>
      <w:bookmarkEnd w:id="26"/>
      <w:r w:rsidRPr="00C20E0A">
        <w:rPr>
          <w:rFonts w:eastAsia="Times New Roman" w:cs="Times New Roman"/>
          <w:color w:val="000000"/>
          <w:szCs w:val="24"/>
          <w:lang w:eastAsia="es-CO"/>
        </w:rPr>
        <w:t> </w:t>
      </w:r>
      <w:proofErr w:type="spellStart"/>
      <w:r w:rsidRPr="00C20E0A">
        <w:rPr>
          <w:rFonts w:eastAsia="Times New Roman" w:cs="Times New Roman"/>
          <w:color w:val="000000"/>
          <w:szCs w:val="24"/>
          <w:lang w:eastAsia="es-CO"/>
        </w:rPr>
        <w:t>Fl</w:t>
      </w:r>
      <w:proofErr w:type="spellEnd"/>
      <w:r w:rsidRPr="00C20E0A">
        <w:rPr>
          <w:rFonts w:eastAsia="Times New Roman" w:cs="Times New Roman"/>
          <w:color w:val="000000"/>
          <w:szCs w:val="24"/>
          <w:lang w:eastAsia="es-CO"/>
        </w:rPr>
        <w:t xml:space="preserve">. 35 </w:t>
      </w:r>
      <w:proofErr w:type="spellStart"/>
      <w:r w:rsidRPr="00C20E0A">
        <w:rPr>
          <w:rFonts w:eastAsia="Times New Roman" w:cs="Times New Roman"/>
          <w:color w:val="000000"/>
          <w:szCs w:val="24"/>
          <w:lang w:eastAsia="es-CO"/>
        </w:rPr>
        <w:t>c.p.</w:t>
      </w:r>
      <w:proofErr w:type="spellEnd"/>
    </w:p>
    <w:p w14:paraId="1AB32C45"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bookmarkStart w:id="27" w:name="_ftn5"/>
    <w:p w14:paraId="66B619A6"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fldChar w:fldCharType="begin"/>
      </w:r>
      <w:r w:rsidRPr="00C20E0A">
        <w:rPr>
          <w:rFonts w:eastAsia="Times New Roman" w:cs="Times New Roman"/>
          <w:color w:val="000000"/>
          <w:szCs w:val="24"/>
          <w:lang w:eastAsia="es-CO"/>
        </w:rPr>
        <w:instrText xml:space="preserve"> HYPERLINK "https://www.ceta.org.co/html/vista_de_un_documento.asp?DocumentoID=42284" \l "_ftnref5" \o "" </w:instrText>
      </w:r>
      <w:r w:rsidRPr="00C20E0A">
        <w:rPr>
          <w:rFonts w:eastAsia="Times New Roman" w:cs="Times New Roman"/>
          <w:color w:val="000000"/>
          <w:szCs w:val="24"/>
          <w:lang w:eastAsia="es-CO"/>
        </w:rPr>
        <w:fldChar w:fldCharType="separate"/>
      </w:r>
      <w:r w:rsidRPr="00C20E0A">
        <w:rPr>
          <w:rFonts w:eastAsia="Times New Roman" w:cs="Times New Roman"/>
          <w:color w:val="0089E1"/>
          <w:szCs w:val="24"/>
          <w:lang w:eastAsia="es-CO"/>
        </w:rPr>
        <w:t>[5]</w:t>
      </w:r>
      <w:r w:rsidRPr="00C20E0A">
        <w:rPr>
          <w:rFonts w:eastAsia="Times New Roman" w:cs="Times New Roman"/>
          <w:color w:val="000000"/>
          <w:szCs w:val="24"/>
          <w:lang w:eastAsia="es-CO"/>
        </w:rPr>
        <w:fldChar w:fldCharType="end"/>
      </w:r>
      <w:bookmarkEnd w:id="27"/>
      <w:r w:rsidRPr="00C20E0A">
        <w:rPr>
          <w:rFonts w:eastAsia="Times New Roman" w:cs="Times New Roman"/>
          <w:color w:val="000000"/>
          <w:szCs w:val="24"/>
          <w:lang w:eastAsia="es-CO"/>
        </w:rPr>
        <w:t> </w:t>
      </w:r>
      <w:proofErr w:type="spellStart"/>
      <w:r w:rsidRPr="00C20E0A">
        <w:rPr>
          <w:rFonts w:eastAsia="Times New Roman" w:cs="Times New Roman"/>
          <w:color w:val="000000"/>
          <w:szCs w:val="24"/>
          <w:lang w:eastAsia="es-CO"/>
        </w:rPr>
        <w:t>Fl</w:t>
      </w:r>
      <w:proofErr w:type="spellEnd"/>
      <w:r w:rsidRPr="00C20E0A">
        <w:rPr>
          <w:rFonts w:eastAsia="Times New Roman" w:cs="Times New Roman"/>
          <w:color w:val="000000"/>
          <w:szCs w:val="24"/>
          <w:lang w:eastAsia="es-CO"/>
        </w:rPr>
        <w:t xml:space="preserve">. 36 a 41 </w:t>
      </w:r>
      <w:proofErr w:type="spellStart"/>
      <w:r w:rsidRPr="00C20E0A">
        <w:rPr>
          <w:rFonts w:eastAsia="Times New Roman" w:cs="Times New Roman"/>
          <w:color w:val="000000"/>
          <w:szCs w:val="24"/>
          <w:lang w:eastAsia="es-CO"/>
        </w:rPr>
        <w:t>c.p.</w:t>
      </w:r>
      <w:proofErr w:type="spellEnd"/>
    </w:p>
    <w:p w14:paraId="7302D330"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bookmarkStart w:id="28" w:name="_ftn6"/>
    <w:p w14:paraId="4E6CC921"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fldChar w:fldCharType="begin"/>
      </w:r>
      <w:r w:rsidRPr="00C20E0A">
        <w:rPr>
          <w:rFonts w:eastAsia="Times New Roman" w:cs="Times New Roman"/>
          <w:color w:val="000000"/>
          <w:szCs w:val="24"/>
          <w:lang w:eastAsia="es-CO"/>
        </w:rPr>
        <w:instrText xml:space="preserve"> HYPERLINK "https://www.ceta.org.co/html/vista_de_un_documento.asp?DocumentoID=42284" \l "_ftnref6" \o "" </w:instrText>
      </w:r>
      <w:r w:rsidRPr="00C20E0A">
        <w:rPr>
          <w:rFonts w:eastAsia="Times New Roman" w:cs="Times New Roman"/>
          <w:color w:val="000000"/>
          <w:szCs w:val="24"/>
          <w:lang w:eastAsia="es-CO"/>
        </w:rPr>
        <w:fldChar w:fldCharType="separate"/>
      </w:r>
      <w:r w:rsidRPr="00C20E0A">
        <w:rPr>
          <w:rFonts w:eastAsia="Times New Roman" w:cs="Times New Roman"/>
          <w:color w:val="0089E1"/>
          <w:szCs w:val="24"/>
          <w:lang w:eastAsia="es-CO"/>
        </w:rPr>
        <w:t>[6]</w:t>
      </w:r>
      <w:r w:rsidRPr="00C20E0A">
        <w:rPr>
          <w:rFonts w:eastAsia="Times New Roman" w:cs="Times New Roman"/>
          <w:color w:val="000000"/>
          <w:szCs w:val="24"/>
          <w:lang w:eastAsia="es-CO"/>
        </w:rPr>
        <w:fldChar w:fldCharType="end"/>
      </w:r>
      <w:bookmarkEnd w:id="28"/>
      <w:r w:rsidRPr="00C20E0A">
        <w:rPr>
          <w:rFonts w:eastAsia="Times New Roman" w:cs="Times New Roman"/>
          <w:color w:val="000000"/>
          <w:szCs w:val="24"/>
          <w:lang w:eastAsia="es-CO"/>
        </w:rPr>
        <w:t> </w:t>
      </w:r>
      <w:proofErr w:type="spellStart"/>
      <w:r w:rsidRPr="00C20E0A">
        <w:rPr>
          <w:rFonts w:eastAsia="Times New Roman" w:cs="Times New Roman"/>
          <w:color w:val="000000"/>
          <w:szCs w:val="24"/>
          <w:lang w:eastAsia="es-CO"/>
        </w:rPr>
        <w:t>Fl</w:t>
      </w:r>
      <w:proofErr w:type="spellEnd"/>
      <w:r w:rsidRPr="00C20E0A">
        <w:rPr>
          <w:rFonts w:eastAsia="Times New Roman" w:cs="Times New Roman"/>
          <w:color w:val="000000"/>
          <w:szCs w:val="24"/>
          <w:lang w:eastAsia="es-CO"/>
        </w:rPr>
        <w:t xml:space="preserve">. 48 a 53 </w:t>
      </w:r>
      <w:proofErr w:type="spellStart"/>
      <w:r w:rsidRPr="00C20E0A">
        <w:rPr>
          <w:rFonts w:eastAsia="Times New Roman" w:cs="Times New Roman"/>
          <w:color w:val="000000"/>
          <w:szCs w:val="24"/>
          <w:lang w:eastAsia="es-CO"/>
        </w:rPr>
        <w:t>c.p.</w:t>
      </w:r>
      <w:proofErr w:type="spellEnd"/>
    </w:p>
    <w:p w14:paraId="3E6CD805"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bookmarkStart w:id="29" w:name="_ftn7"/>
    <w:p w14:paraId="70A81A45"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fldChar w:fldCharType="begin"/>
      </w:r>
      <w:r w:rsidRPr="00C20E0A">
        <w:rPr>
          <w:rFonts w:eastAsia="Times New Roman" w:cs="Times New Roman"/>
          <w:color w:val="000000"/>
          <w:szCs w:val="24"/>
          <w:lang w:eastAsia="es-CO"/>
        </w:rPr>
        <w:instrText xml:space="preserve"> HYPERLINK "https://www.ceta.org.co/html/vista_de_un_documento.asp?DocumentoID=42284" \l "_ftnref7" \o "" </w:instrText>
      </w:r>
      <w:r w:rsidRPr="00C20E0A">
        <w:rPr>
          <w:rFonts w:eastAsia="Times New Roman" w:cs="Times New Roman"/>
          <w:color w:val="000000"/>
          <w:szCs w:val="24"/>
          <w:lang w:eastAsia="es-CO"/>
        </w:rPr>
        <w:fldChar w:fldCharType="separate"/>
      </w:r>
      <w:r w:rsidRPr="00C20E0A">
        <w:rPr>
          <w:rFonts w:eastAsia="Times New Roman" w:cs="Times New Roman"/>
          <w:color w:val="0089E1"/>
          <w:szCs w:val="24"/>
          <w:lang w:eastAsia="es-CO"/>
        </w:rPr>
        <w:t>[7]</w:t>
      </w:r>
      <w:r w:rsidRPr="00C20E0A">
        <w:rPr>
          <w:rFonts w:eastAsia="Times New Roman" w:cs="Times New Roman"/>
          <w:color w:val="000000"/>
          <w:szCs w:val="24"/>
          <w:lang w:eastAsia="es-CO"/>
        </w:rPr>
        <w:fldChar w:fldCharType="end"/>
      </w:r>
      <w:bookmarkEnd w:id="29"/>
      <w:r w:rsidRPr="00C20E0A">
        <w:rPr>
          <w:rFonts w:eastAsia="Times New Roman" w:cs="Times New Roman"/>
          <w:color w:val="000000"/>
          <w:szCs w:val="24"/>
          <w:lang w:eastAsia="es-CO"/>
        </w:rPr>
        <w:t> </w:t>
      </w:r>
      <w:proofErr w:type="spellStart"/>
      <w:r w:rsidRPr="00C20E0A">
        <w:rPr>
          <w:rFonts w:eastAsia="Times New Roman" w:cs="Times New Roman"/>
          <w:color w:val="000000"/>
          <w:szCs w:val="24"/>
          <w:lang w:eastAsia="es-CO"/>
        </w:rPr>
        <w:t>Fl</w:t>
      </w:r>
      <w:proofErr w:type="spellEnd"/>
      <w:r w:rsidRPr="00C20E0A">
        <w:rPr>
          <w:rFonts w:eastAsia="Times New Roman" w:cs="Times New Roman"/>
          <w:color w:val="000000"/>
          <w:szCs w:val="24"/>
          <w:lang w:eastAsia="es-CO"/>
        </w:rPr>
        <w:t xml:space="preserve">. 76 </w:t>
      </w:r>
      <w:proofErr w:type="spellStart"/>
      <w:r w:rsidRPr="00C20E0A">
        <w:rPr>
          <w:rFonts w:eastAsia="Times New Roman" w:cs="Times New Roman"/>
          <w:color w:val="000000"/>
          <w:szCs w:val="24"/>
          <w:lang w:eastAsia="es-CO"/>
        </w:rPr>
        <w:t>c.p.</w:t>
      </w:r>
      <w:proofErr w:type="spellEnd"/>
    </w:p>
    <w:p w14:paraId="7C04BCD4"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bookmarkStart w:id="30" w:name="_ftn8"/>
    <w:p w14:paraId="5CCD0348"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fldChar w:fldCharType="begin"/>
      </w:r>
      <w:r w:rsidRPr="00C20E0A">
        <w:rPr>
          <w:rFonts w:eastAsia="Times New Roman" w:cs="Times New Roman"/>
          <w:color w:val="000000"/>
          <w:szCs w:val="24"/>
          <w:lang w:eastAsia="es-CO"/>
        </w:rPr>
        <w:instrText xml:space="preserve"> HYPERLINK "https://www.ceta.org.co/html/vista_de_un_documento.asp?DocumentoID=42284" \l "_ftnref8" \o "" </w:instrText>
      </w:r>
      <w:r w:rsidRPr="00C20E0A">
        <w:rPr>
          <w:rFonts w:eastAsia="Times New Roman" w:cs="Times New Roman"/>
          <w:color w:val="000000"/>
          <w:szCs w:val="24"/>
          <w:lang w:eastAsia="es-CO"/>
        </w:rPr>
        <w:fldChar w:fldCharType="separate"/>
      </w:r>
      <w:r w:rsidRPr="00C20E0A">
        <w:rPr>
          <w:rFonts w:eastAsia="Times New Roman" w:cs="Times New Roman"/>
          <w:color w:val="0089E1"/>
          <w:szCs w:val="24"/>
          <w:lang w:eastAsia="es-CO"/>
        </w:rPr>
        <w:t>[8]</w:t>
      </w:r>
      <w:r w:rsidRPr="00C20E0A">
        <w:rPr>
          <w:rFonts w:eastAsia="Times New Roman" w:cs="Times New Roman"/>
          <w:color w:val="000000"/>
          <w:szCs w:val="24"/>
          <w:lang w:eastAsia="es-CO"/>
        </w:rPr>
        <w:fldChar w:fldCharType="end"/>
      </w:r>
      <w:bookmarkEnd w:id="30"/>
      <w:r w:rsidRPr="00C20E0A">
        <w:rPr>
          <w:rFonts w:eastAsia="Times New Roman" w:cs="Times New Roman"/>
          <w:color w:val="000000"/>
          <w:szCs w:val="24"/>
          <w:lang w:eastAsia="es-CO"/>
        </w:rPr>
        <w:t> </w:t>
      </w:r>
      <w:proofErr w:type="spellStart"/>
      <w:r w:rsidRPr="00C20E0A">
        <w:rPr>
          <w:rFonts w:eastAsia="Times New Roman" w:cs="Times New Roman"/>
          <w:color w:val="000000"/>
          <w:szCs w:val="24"/>
          <w:lang w:eastAsia="es-CO"/>
        </w:rPr>
        <w:t>Fl</w:t>
      </w:r>
      <w:proofErr w:type="spellEnd"/>
      <w:r w:rsidRPr="00C20E0A">
        <w:rPr>
          <w:rFonts w:eastAsia="Times New Roman" w:cs="Times New Roman"/>
          <w:color w:val="000000"/>
          <w:szCs w:val="24"/>
          <w:lang w:eastAsia="es-CO"/>
        </w:rPr>
        <w:t xml:space="preserve">. 3 del </w:t>
      </w:r>
      <w:proofErr w:type="spellStart"/>
      <w:r w:rsidRPr="00C20E0A">
        <w:rPr>
          <w:rFonts w:eastAsia="Times New Roman" w:cs="Times New Roman"/>
          <w:color w:val="000000"/>
          <w:szCs w:val="24"/>
          <w:lang w:eastAsia="es-CO"/>
        </w:rPr>
        <w:t>c.p.</w:t>
      </w:r>
      <w:proofErr w:type="spellEnd"/>
    </w:p>
    <w:p w14:paraId="4003BB25"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bookmarkStart w:id="31" w:name="_ftn9"/>
    <w:p w14:paraId="6A2F5A0C"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fldChar w:fldCharType="begin"/>
      </w:r>
      <w:r w:rsidRPr="00C20E0A">
        <w:rPr>
          <w:rFonts w:eastAsia="Times New Roman" w:cs="Times New Roman"/>
          <w:color w:val="000000"/>
          <w:szCs w:val="24"/>
          <w:lang w:eastAsia="es-CO"/>
        </w:rPr>
        <w:instrText xml:space="preserve"> HYPERLINK "https://www.ceta.org.co/html/vista_de_un_documento.asp?DocumentoID=42284" \l "_ftnref9" \o "" </w:instrText>
      </w:r>
      <w:r w:rsidRPr="00C20E0A">
        <w:rPr>
          <w:rFonts w:eastAsia="Times New Roman" w:cs="Times New Roman"/>
          <w:color w:val="000000"/>
          <w:szCs w:val="24"/>
          <w:lang w:eastAsia="es-CO"/>
        </w:rPr>
        <w:fldChar w:fldCharType="separate"/>
      </w:r>
      <w:r w:rsidRPr="00C20E0A">
        <w:rPr>
          <w:rFonts w:eastAsia="Times New Roman" w:cs="Times New Roman"/>
          <w:color w:val="0089E1"/>
          <w:szCs w:val="24"/>
          <w:lang w:eastAsia="es-CO"/>
        </w:rPr>
        <w:t>[9]</w:t>
      </w:r>
      <w:r w:rsidRPr="00C20E0A">
        <w:rPr>
          <w:rFonts w:eastAsia="Times New Roman" w:cs="Times New Roman"/>
          <w:color w:val="000000"/>
          <w:szCs w:val="24"/>
          <w:lang w:eastAsia="es-CO"/>
        </w:rPr>
        <w:fldChar w:fldCharType="end"/>
      </w:r>
      <w:bookmarkEnd w:id="31"/>
      <w:r w:rsidRPr="00C20E0A">
        <w:rPr>
          <w:rFonts w:eastAsia="Times New Roman" w:cs="Times New Roman"/>
          <w:color w:val="000000"/>
          <w:szCs w:val="24"/>
          <w:lang w:eastAsia="es-CO"/>
        </w:rPr>
        <w:t xml:space="preserve"> i) Emplazamiento para declarar 322402014000258 del 7 de noviembre de 2014, </w:t>
      </w:r>
      <w:proofErr w:type="spellStart"/>
      <w:r w:rsidRPr="00C20E0A">
        <w:rPr>
          <w:rFonts w:eastAsia="Times New Roman" w:cs="Times New Roman"/>
          <w:color w:val="000000"/>
          <w:szCs w:val="24"/>
          <w:lang w:eastAsia="es-CO"/>
        </w:rPr>
        <w:t>ii</w:t>
      </w:r>
      <w:proofErr w:type="spellEnd"/>
      <w:r w:rsidRPr="00C20E0A">
        <w:rPr>
          <w:rFonts w:eastAsia="Times New Roman" w:cs="Times New Roman"/>
          <w:color w:val="000000"/>
          <w:szCs w:val="24"/>
          <w:lang w:eastAsia="es-CO"/>
        </w:rPr>
        <w:t xml:space="preserve">) Resolución Sanción 322412015000299 del 11 de noviembre de 2015 y, </w:t>
      </w:r>
      <w:proofErr w:type="spellStart"/>
      <w:r w:rsidRPr="00C20E0A">
        <w:rPr>
          <w:rFonts w:eastAsia="Times New Roman" w:cs="Times New Roman"/>
          <w:color w:val="000000"/>
          <w:szCs w:val="24"/>
          <w:lang w:eastAsia="es-CO"/>
        </w:rPr>
        <w:t>iii</w:t>
      </w:r>
      <w:proofErr w:type="spellEnd"/>
      <w:r w:rsidRPr="00C20E0A">
        <w:rPr>
          <w:rFonts w:eastAsia="Times New Roman" w:cs="Times New Roman"/>
          <w:color w:val="000000"/>
          <w:szCs w:val="24"/>
          <w:lang w:eastAsia="es-CO"/>
        </w:rPr>
        <w:t>) Resolución 008.227 del 26 de octubre de 2016.</w:t>
      </w:r>
    </w:p>
    <w:p w14:paraId="359E75DF"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bookmarkStart w:id="32" w:name="_ftn10"/>
    <w:p w14:paraId="1B1CBAFD"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fldChar w:fldCharType="begin"/>
      </w:r>
      <w:r w:rsidRPr="00C20E0A">
        <w:rPr>
          <w:rFonts w:eastAsia="Times New Roman" w:cs="Times New Roman"/>
          <w:color w:val="000000"/>
          <w:szCs w:val="24"/>
          <w:lang w:eastAsia="es-CO"/>
        </w:rPr>
        <w:instrText xml:space="preserve"> HYPERLINK "https://www.ceta.org.co/html/vista_de_un_documento.asp?DocumentoID=42284" \l "_ftnref10" \o "" </w:instrText>
      </w:r>
      <w:r w:rsidRPr="00C20E0A">
        <w:rPr>
          <w:rFonts w:eastAsia="Times New Roman" w:cs="Times New Roman"/>
          <w:color w:val="000000"/>
          <w:szCs w:val="24"/>
          <w:lang w:eastAsia="es-CO"/>
        </w:rPr>
        <w:fldChar w:fldCharType="separate"/>
      </w:r>
      <w:r w:rsidRPr="00C20E0A">
        <w:rPr>
          <w:rFonts w:eastAsia="Times New Roman" w:cs="Times New Roman"/>
          <w:color w:val="0089E1"/>
          <w:szCs w:val="24"/>
          <w:lang w:eastAsia="es-CO"/>
        </w:rPr>
        <w:t>[10]</w:t>
      </w:r>
      <w:r w:rsidRPr="00C20E0A">
        <w:rPr>
          <w:rFonts w:eastAsia="Times New Roman" w:cs="Times New Roman"/>
          <w:color w:val="000000"/>
          <w:szCs w:val="24"/>
          <w:lang w:eastAsia="es-CO"/>
        </w:rPr>
        <w:fldChar w:fldCharType="end"/>
      </w:r>
      <w:bookmarkEnd w:id="32"/>
      <w:r w:rsidRPr="00C20E0A">
        <w:rPr>
          <w:rFonts w:eastAsia="Times New Roman" w:cs="Times New Roman"/>
          <w:color w:val="000000"/>
          <w:szCs w:val="24"/>
          <w:lang w:eastAsia="es-CO"/>
        </w:rPr>
        <w:t> </w:t>
      </w:r>
      <w:proofErr w:type="spellStart"/>
      <w:r w:rsidRPr="00C20E0A">
        <w:rPr>
          <w:rFonts w:eastAsia="Times New Roman" w:cs="Times New Roman"/>
          <w:color w:val="000000"/>
          <w:szCs w:val="24"/>
          <w:lang w:eastAsia="es-CO"/>
        </w:rPr>
        <w:t>Fls</w:t>
      </w:r>
      <w:proofErr w:type="spellEnd"/>
      <w:r w:rsidRPr="00C20E0A">
        <w:rPr>
          <w:rFonts w:eastAsia="Times New Roman" w:cs="Times New Roman"/>
          <w:color w:val="000000"/>
          <w:szCs w:val="24"/>
          <w:lang w:eastAsia="es-CO"/>
        </w:rPr>
        <w:t xml:space="preserve">. 140-144 del </w:t>
      </w:r>
      <w:proofErr w:type="spellStart"/>
      <w:r w:rsidRPr="00C20E0A">
        <w:rPr>
          <w:rFonts w:eastAsia="Times New Roman" w:cs="Times New Roman"/>
          <w:color w:val="000000"/>
          <w:szCs w:val="24"/>
          <w:lang w:eastAsia="es-CO"/>
        </w:rPr>
        <w:t>c.p.</w:t>
      </w:r>
      <w:proofErr w:type="spellEnd"/>
    </w:p>
    <w:p w14:paraId="383E409F"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bookmarkStart w:id="33" w:name="_ftn11"/>
    <w:p w14:paraId="4741DCE4"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fldChar w:fldCharType="begin"/>
      </w:r>
      <w:r w:rsidRPr="00C20E0A">
        <w:rPr>
          <w:rFonts w:eastAsia="Times New Roman" w:cs="Times New Roman"/>
          <w:color w:val="000000"/>
          <w:szCs w:val="24"/>
          <w:lang w:eastAsia="es-CO"/>
        </w:rPr>
        <w:instrText xml:space="preserve"> HYPERLINK "https://www.ceta.org.co/html/vista_de_un_documento.asp?DocumentoID=42284" \l "_ftnref11" \o "" </w:instrText>
      </w:r>
      <w:r w:rsidRPr="00C20E0A">
        <w:rPr>
          <w:rFonts w:eastAsia="Times New Roman" w:cs="Times New Roman"/>
          <w:color w:val="000000"/>
          <w:szCs w:val="24"/>
          <w:lang w:eastAsia="es-CO"/>
        </w:rPr>
        <w:fldChar w:fldCharType="separate"/>
      </w:r>
      <w:r w:rsidRPr="00C20E0A">
        <w:rPr>
          <w:rFonts w:eastAsia="Times New Roman" w:cs="Times New Roman"/>
          <w:color w:val="0089E1"/>
          <w:szCs w:val="24"/>
          <w:lang w:eastAsia="es-CO"/>
        </w:rPr>
        <w:t>[11]</w:t>
      </w:r>
      <w:r w:rsidRPr="00C20E0A">
        <w:rPr>
          <w:rFonts w:eastAsia="Times New Roman" w:cs="Times New Roman"/>
          <w:color w:val="000000"/>
          <w:szCs w:val="24"/>
          <w:lang w:eastAsia="es-CO"/>
        </w:rPr>
        <w:fldChar w:fldCharType="end"/>
      </w:r>
      <w:bookmarkEnd w:id="33"/>
      <w:r w:rsidRPr="00C20E0A">
        <w:rPr>
          <w:rFonts w:eastAsia="Times New Roman" w:cs="Times New Roman"/>
          <w:color w:val="000000"/>
          <w:szCs w:val="24"/>
          <w:lang w:eastAsia="es-CO"/>
        </w:rPr>
        <w:t xml:space="preserve"> Mediante providencia del 21 de febrero de 2020, se negó la prueba solicitada por la apelante. </w:t>
      </w:r>
      <w:proofErr w:type="spellStart"/>
      <w:r w:rsidRPr="00C20E0A">
        <w:rPr>
          <w:rFonts w:eastAsia="Times New Roman" w:cs="Times New Roman"/>
          <w:color w:val="000000"/>
          <w:szCs w:val="24"/>
          <w:lang w:eastAsia="es-CO"/>
        </w:rPr>
        <w:t>Fls</w:t>
      </w:r>
      <w:proofErr w:type="spellEnd"/>
      <w:r w:rsidRPr="00C20E0A">
        <w:rPr>
          <w:rFonts w:eastAsia="Times New Roman" w:cs="Times New Roman"/>
          <w:color w:val="000000"/>
          <w:szCs w:val="24"/>
          <w:lang w:eastAsia="es-CO"/>
        </w:rPr>
        <w:t>. 195 a 196 del c. p.</w:t>
      </w:r>
    </w:p>
    <w:p w14:paraId="44C3FB75"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bookmarkStart w:id="34" w:name="_ftn12"/>
    <w:p w14:paraId="2D928F2C"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fldChar w:fldCharType="begin"/>
      </w:r>
      <w:r w:rsidRPr="00C20E0A">
        <w:rPr>
          <w:rFonts w:eastAsia="Times New Roman" w:cs="Times New Roman"/>
          <w:color w:val="000000"/>
          <w:szCs w:val="24"/>
          <w:lang w:eastAsia="es-CO"/>
        </w:rPr>
        <w:instrText xml:space="preserve"> HYPERLINK "https://www.ceta.org.co/html/vista_de_un_documento.asp?DocumentoID=42284" \l "_ftnref12" \o "" </w:instrText>
      </w:r>
      <w:r w:rsidRPr="00C20E0A">
        <w:rPr>
          <w:rFonts w:eastAsia="Times New Roman" w:cs="Times New Roman"/>
          <w:color w:val="000000"/>
          <w:szCs w:val="24"/>
          <w:lang w:eastAsia="es-CO"/>
        </w:rPr>
        <w:fldChar w:fldCharType="separate"/>
      </w:r>
      <w:r w:rsidRPr="00C20E0A">
        <w:rPr>
          <w:rFonts w:eastAsia="Times New Roman" w:cs="Times New Roman"/>
          <w:color w:val="0089E1"/>
          <w:szCs w:val="24"/>
          <w:lang w:eastAsia="es-CO"/>
        </w:rPr>
        <w:t>[12]</w:t>
      </w:r>
      <w:r w:rsidRPr="00C20E0A">
        <w:rPr>
          <w:rFonts w:eastAsia="Times New Roman" w:cs="Times New Roman"/>
          <w:color w:val="000000"/>
          <w:szCs w:val="24"/>
          <w:lang w:eastAsia="es-CO"/>
        </w:rPr>
        <w:fldChar w:fldCharType="end"/>
      </w:r>
      <w:bookmarkEnd w:id="34"/>
      <w:r w:rsidRPr="00C20E0A">
        <w:rPr>
          <w:rFonts w:eastAsia="Times New Roman" w:cs="Times New Roman"/>
          <w:color w:val="000000"/>
          <w:szCs w:val="24"/>
          <w:lang w:eastAsia="es-CO"/>
        </w:rPr>
        <w:t xml:space="preserve"> Sentencias del 31 de julio de 2020, </w:t>
      </w:r>
      <w:proofErr w:type="spellStart"/>
      <w:r w:rsidRPr="00C20E0A">
        <w:rPr>
          <w:rFonts w:eastAsia="Times New Roman" w:cs="Times New Roman"/>
          <w:color w:val="000000"/>
          <w:szCs w:val="24"/>
          <w:lang w:eastAsia="es-CO"/>
        </w:rPr>
        <w:t>Exp</w:t>
      </w:r>
      <w:proofErr w:type="spellEnd"/>
      <w:r w:rsidRPr="00C20E0A">
        <w:rPr>
          <w:rFonts w:eastAsia="Times New Roman" w:cs="Times New Roman"/>
          <w:color w:val="000000"/>
          <w:szCs w:val="24"/>
          <w:lang w:eastAsia="es-CO"/>
        </w:rPr>
        <w:t xml:space="preserve">. 21606, C.P. Julio Roberto Piza Rodríguez y del 11 de marzo de 2021, </w:t>
      </w:r>
      <w:proofErr w:type="spellStart"/>
      <w:r w:rsidRPr="00C20E0A">
        <w:rPr>
          <w:rFonts w:eastAsia="Times New Roman" w:cs="Times New Roman"/>
          <w:color w:val="000000"/>
          <w:szCs w:val="24"/>
          <w:lang w:eastAsia="es-CO"/>
        </w:rPr>
        <w:t>Exp</w:t>
      </w:r>
      <w:proofErr w:type="spellEnd"/>
      <w:r w:rsidRPr="00C20E0A">
        <w:rPr>
          <w:rFonts w:eastAsia="Times New Roman" w:cs="Times New Roman"/>
          <w:color w:val="000000"/>
          <w:szCs w:val="24"/>
          <w:lang w:eastAsia="es-CO"/>
        </w:rPr>
        <w:t>. 22533 C.P. Milton Chaves García.</w:t>
      </w:r>
    </w:p>
    <w:p w14:paraId="6A8B5264"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bookmarkStart w:id="35" w:name="_ftn13"/>
    <w:p w14:paraId="7DE4A423"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fldChar w:fldCharType="begin"/>
      </w:r>
      <w:r w:rsidRPr="00C20E0A">
        <w:rPr>
          <w:rFonts w:eastAsia="Times New Roman" w:cs="Times New Roman"/>
          <w:color w:val="000000"/>
          <w:szCs w:val="24"/>
          <w:lang w:eastAsia="es-CO"/>
        </w:rPr>
        <w:instrText xml:space="preserve"> HYPERLINK "https://www.ceta.org.co/html/vista_de_un_documento.asp?DocumentoID=42284" \l "_ftnref13" \o "" </w:instrText>
      </w:r>
      <w:r w:rsidRPr="00C20E0A">
        <w:rPr>
          <w:rFonts w:eastAsia="Times New Roman" w:cs="Times New Roman"/>
          <w:color w:val="000000"/>
          <w:szCs w:val="24"/>
          <w:lang w:eastAsia="es-CO"/>
        </w:rPr>
        <w:fldChar w:fldCharType="separate"/>
      </w:r>
      <w:r w:rsidRPr="00C20E0A">
        <w:rPr>
          <w:rFonts w:eastAsia="Times New Roman" w:cs="Times New Roman"/>
          <w:color w:val="0089E1"/>
          <w:szCs w:val="24"/>
          <w:lang w:eastAsia="es-CO"/>
        </w:rPr>
        <w:t>[13]</w:t>
      </w:r>
      <w:r w:rsidRPr="00C20E0A">
        <w:rPr>
          <w:rFonts w:eastAsia="Times New Roman" w:cs="Times New Roman"/>
          <w:color w:val="000000"/>
          <w:szCs w:val="24"/>
          <w:lang w:eastAsia="es-CO"/>
        </w:rPr>
        <w:fldChar w:fldCharType="end"/>
      </w:r>
      <w:bookmarkEnd w:id="35"/>
      <w:r w:rsidRPr="00C20E0A">
        <w:rPr>
          <w:rFonts w:eastAsia="Times New Roman" w:cs="Times New Roman"/>
          <w:color w:val="000000"/>
          <w:szCs w:val="24"/>
          <w:lang w:eastAsia="es-CO"/>
        </w:rPr>
        <w:t> Previo a la modificación efectuada por la Ley 1607 de 2012.</w:t>
      </w:r>
    </w:p>
    <w:p w14:paraId="4779BC70"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lastRenderedPageBreak/>
        <w:t> </w:t>
      </w:r>
    </w:p>
    <w:bookmarkStart w:id="36" w:name="_ftn14"/>
    <w:p w14:paraId="243EF9EB"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fldChar w:fldCharType="begin"/>
      </w:r>
      <w:r w:rsidRPr="00C20E0A">
        <w:rPr>
          <w:rFonts w:eastAsia="Times New Roman" w:cs="Times New Roman"/>
          <w:color w:val="000000"/>
          <w:szCs w:val="24"/>
          <w:lang w:eastAsia="es-CO"/>
        </w:rPr>
        <w:instrText xml:space="preserve"> HYPERLINK "https://www.ceta.org.co/html/vista_de_un_documento.asp?DocumentoID=42284" \l "_ftnref14" \o "" </w:instrText>
      </w:r>
      <w:r w:rsidRPr="00C20E0A">
        <w:rPr>
          <w:rFonts w:eastAsia="Times New Roman" w:cs="Times New Roman"/>
          <w:color w:val="000000"/>
          <w:szCs w:val="24"/>
          <w:lang w:eastAsia="es-CO"/>
        </w:rPr>
        <w:fldChar w:fldCharType="separate"/>
      </w:r>
      <w:r w:rsidRPr="00C20E0A">
        <w:rPr>
          <w:rFonts w:eastAsia="Times New Roman" w:cs="Times New Roman"/>
          <w:color w:val="0089E1"/>
          <w:szCs w:val="24"/>
          <w:lang w:eastAsia="es-CO"/>
        </w:rPr>
        <w:t>[14]</w:t>
      </w:r>
      <w:r w:rsidRPr="00C20E0A">
        <w:rPr>
          <w:rFonts w:eastAsia="Times New Roman" w:cs="Times New Roman"/>
          <w:color w:val="000000"/>
          <w:szCs w:val="24"/>
          <w:lang w:eastAsia="es-CO"/>
        </w:rPr>
        <w:fldChar w:fldCharType="end"/>
      </w:r>
      <w:bookmarkEnd w:id="36"/>
      <w:r w:rsidRPr="00C20E0A">
        <w:rPr>
          <w:rFonts w:eastAsia="Times New Roman" w:cs="Times New Roman"/>
          <w:color w:val="000000"/>
          <w:szCs w:val="24"/>
          <w:lang w:eastAsia="es-CO"/>
        </w:rPr>
        <w:t xml:space="preserve"> Cfr. Sentencia de Unificación del 29 de octubre de 2020, </w:t>
      </w:r>
      <w:proofErr w:type="spellStart"/>
      <w:r w:rsidRPr="00C20E0A">
        <w:rPr>
          <w:rFonts w:eastAsia="Times New Roman" w:cs="Times New Roman"/>
          <w:color w:val="000000"/>
          <w:szCs w:val="24"/>
          <w:lang w:eastAsia="es-CO"/>
        </w:rPr>
        <w:t>Exp</w:t>
      </w:r>
      <w:proofErr w:type="spellEnd"/>
      <w:r w:rsidRPr="00C20E0A">
        <w:rPr>
          <w:rFonts w:eastAsia="Times New Roman" w:cs="Times New Roman"/>
          <w:color w:val="000000"/>
          <w:szCs w:val="24"/>
          <w:lang w:eastAsia="es-CO"/>
        </w:rPr>
        <w:t>. 23419, C.P. Stella Jeannette Carvajal Basto.</w:t>
      </w:r>
    </w:p>
    <w:p w14:paraId="1F066F0F"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bookmarkStart w:id="37" w:name="_ftn15"/>
    <w:p w14:paraId="54DF5F40"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fldChar w:fldCharType="begin"/>
      </w:r>
      <w:r w:rsidRPr="00C20E0A">
        <w:rPr>
          <w:rFonts w:eastAsia="Times New Roman" w:cs="Times New Roman"/>
          <w:color w:val="000000"/>
          <w:szCs w:val="24"/>
          <w:lang w:eastAsia="es-CO"/>
        </w:rPr>
        <w:instrText xml:space="preserve"> HYPERLINK "https://www.ceta.org.co/html/vista_de_un_documento.asp?DocumentoID=42284" \l "_ftnref15" \o "" </w:instrText>
      </w:r>
      <w:r w:rsidRPr="00C20E0A">
        <w:rPr>
          <w:rFonts w:eastAsia="Times New Roman" w:cs="Times New Roman"/>
          <w:color w:val="000000"/>
          <w:szCs w:val="24"/>
          <w:lang w:eastAsia="es-CO"/>
        </w:rPr>
        <w:fldChar w:fldCharType="separate"/>
      </w:r>
      <w:r w:rsidRPr="00C20E0A">
        <w:rPr>
          <w:rFonts w:eastAsia="Times New Roman" w:cs="Times New Roman"/>
          <w:color w:val="0089E1"/>
          <w:szCs w:val="24"/>
          <w:lang w:eastAsia="es-CO"/>
        </w:rPr>
        <w:t>[15]</w:t>
      </w:r>
      <w:r w:rsidRPr="00C20E0A">
        <w:rPr>
          <w:rFonts w:eastAsia="Times New Roman" w:cs="Times New Roman"/>
          <w:color w:val="000000"/>
          <w:szCs w:val="24"/>
          <w:lang w:eastAsia="es-CO"/>
        </w:rPr>
        <w:fldChar w:fldCharType="end"/>
      </w:r>
      <w:bookmarkEnd w:id="37"/>
      <w:r w:rsidRPr="00C20E0A">
        <w:rPr>
          <w:rFonts w:eastAsia="Times New Roman" w:cs="Times New Roman"/>
          <w:color w:val="000000"/>
          <w:szCs w:val="24"/>
          <w:lang w:eastAsia="es-CO"/>
        </w:rPr>
        <w:t> </w:t>
      </w:r>
      <w:proofErr w:type="spellStart"/>
      <w:r w:rsidRPr="00C20E0A">
        <w:rPr>
          <w:rFonts w:eastAsia="Times New Roman" w:cs="Times New Roman"/>
          <w:color w:val="000000"/>
          <w:szCs w:val="24"/>
          <w:lang w:eastAsia="es-CO"/>
        </w:rPr>
        <w:t>Hinestrosa</w:t>
      </w:r>
      <w:proofErr w:type="spellEnd"/>
      <w:r w:rsidRPr="00C20E0A">
        <w:rPr>
          <w:rFonts w:eastAsia="Times New Roman" w:cs="Times New Roman"/>
          <w:color w:val="000000"/>
          <w:szCs w:val="24"/>
          <w:lang w:eastAsia="es-CO"/>
        </w:rPr>
        <w:t>, Fernando. Tratado de las obligaciones II. De las fuentes de las obligaciones: el negocio jurídico. Volumen II. Bogotá: Universidad Externado de Colombia, 2015. P. 837. «</w:t>
      </w:r>
      <w:r w:rsidRPr="00C20E0A">
        <w:rPr>
          <w:rFonts w:eastAsia="Times New Roman" w:cs="Times New Roman"/>
          <w:i/>
          <w:iCs/>
          <w:color w:val="000000"/>
          <w:szCs w:val="24"/>
          <w:lang w:eastAsia="es-CO"/>
        </w:rPr>
        <w:t>Inoponible es el negocio que no puede producir efectos respecto de alguien o, dicho de otra manera, que no es eficaz en su contra, por el motivo que sea, y los hay muy variados … A este propósito conviene tener en cuenta que la publicidad no es una solemnidad, sino un trámite para que el público pueda conocer la disposición particular o, mejor, un requisito para que las partes puedan oponer el negocio a terceros como situación cierta creada por ellas. Solo excepcionalmente la inscripción del título en el registro público es a un mismo tiempo solemnidad constitutiva</w:t>
      </w:r>
      <w:r w:rsidRPr="00C20E0A">
        <w:rPr>
          <w:rFonts w:eastAsia="Times New Roman" w:cs="Times New Roman"/>
          <w:color w:val="000000"/>
          <w:szCs w:val="24"/>
          <w:lang w:eastAsia="es-CO"/>
        </w:rPr>
        <w:t>».</w:t>
      </w:r>
    </w:p>
    <w:p w14:paraId="1855FB0F"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bookmarkStart w:id="38" w:name="_ftn16"/>
    <w:p w14:paraId="358D3C00"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fldChar w:fldCharType="begin"/>
      </w:r>
      <w:r w:rsidRPr="00C20E0A">
        <w:rPr>
          <w:rFonts w:eastAsia="Times New Roman" w:cs="Times New Roman"/>
          <w:color w:val="000000"/>
          <w:szCs w:val="24"/>
          <w:lang w:eastAsia="es-CO"/>
        </w:rPr>
        <w:instrText xml:space="preserve"> HYPERLINK "https://www.ceta.org.co/html/vista_de_un_documento.asp?DocumentoID=42284" \l "_ftnref16" \o "" </w:instrText>
      </w:r>
      <w:r w:rsidRPr="00C20E0A">
        <w:rPr>
          <w:rFonts w:eastAsia="Times New Roman" w:cs="Times New Roman"/>
          <w:color w:val="000000"/>
          <w:szCs w:val="24"/>
          <w:lang w:eastAsia="es-CO"/>
        </w:rPr>
        <w:fldChar w:fldCharType="separate"/>
      </w:r>
      <w:r w:rsidRPr="00C20E0A">
        <w:rPr>
          <w:rFonts w:eastAsia="Times New Roman" w:cs="Times New Roman"/>
          <w:color w:val="0089E1"/>
          <w:szCs w:val="24"/>
          <w:lang w:eastAsia="es-CO"/>
        </w:rPr>
        <w:t>[16]</w:t>
      </w:r>
      <w:r w:rsidRPr="00C20E0A">
        <w:rPr>
          <w:rFonts w:eastAsia="Times New Roman" w:cs="Times New Roman"/>
          <w:color w:val="000000"/>
          <w:szCs w:val="24"/>
          <w:lang w:eastAsia="es-CO"/>
        </w:rPr>
        <w:fldChar w:fldCharType="end"/>
      </w:r>
      <w:bookmarkEnd w:id="38"/>
      <w:r w:rsidRPr="00C20E0A">
        <w:rPr>
          <w:rFonts w:eastAsia="Times New Roman" w:cs="Times New Roman"/>
          <w:color w:val="000000"/>
          <w:szCs w:val="24"/>
          <w:lang w:eastAsia="es-CO"/>
        </w:rPr>
        <w:t> </w:t>
      </w:r>
      <w:proofErr w:type="spellStart"/>
      <w:r w:rsidRPr="00C20E0A">
        <w:rPr>
          <w:rFonts w:eastAsia="Times New Roman" w:cs="Times New Roman"/>
          <w:color w:val="000000"/>
          <w:szCs w:val="24"/>
          <w:lang w:eastAsia="es-CO"/>
        </w:rPr>
        <w:t>Exp</w:t>
      </w:r>
      <w:proofErr w:type="spellEnd"/>
      <w:r w:rsidRPr="00C20E0A">
        <w:rPr>
          <w:rFonts w:eastAsia="Times New Roman" w:cs="Times New Roman"/>
          <w:color w:val="000000"/>
          <w:szCs w:val="24"/>
          <w:lang w:eastAsia="es-CO"/>
        </w:rPr>
        <w:t xml:space="preserve">. 19221, CP: Jorge Octavio Ramírez </w:t>
      </w:r>
      <w:proofErr w:type="spellStart"/>
      <w:r w:rsidRPr="00C20E0A">
        <w:rPr>
          <w:rFonts w:eastAsia="Times New Roman" w:cs="Times New Roman"/>
          <w:color w:val="000000"/>
          <w:szCs w:val="24"/>
          <w:lang w:eastAsia="es-CO"/>
        </w:rPr>
        <w:t>Ramírez</w:t>
      </w:r>
      <w:proofErr w:type="spellEnd"/>
      <w:r w:rsidRPr="00C20E0A">
        <w:rPr>
          <w:rFonts w:eastAsia="Times New Roman" w:cs="Times New Roman"/>
          <w:color w:val="000000"/>
          <w:szCs w:val="24"/>
          <w:lang w:eastAsia="es-CO"/>
        </w:rPr>
        <w:t>.</w:t>
      </w:r>
    </w:p>
    <w:p w14:paraId="0643A5C5"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bookmarkStart w:id="39" w:name="_ftn17"/>
    <w:p w14:paraId="6C3B1AE7"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fldChar w:fldCharType="begin"/>
      </w:r>
      <w:r w:rsidRPr="00C20E0A">
        <w:rPr>
          <w:rFonts w:eastAsia="Times New Roman" w:cs="Times New Roman"/>
          <w:color w:val="000000"/>
          <w:szCs w:val="24"/>
          <w:lang w:eastAsia="es-CO"/>
        </w:rPr>
        <w:instrText xml:space="preserve"> HYPERLINK "https://www.ceta.org.co/html/vista_de_un_documento.asp?DocumentoID=42284" \l "_ftnref17" \o "" </w:instrText>
      </w:r>
      <w:r w:rsidRPr="00C20E0A">
        <w:rPr>
          <w:rFonts w:eastAsia="Times New Roman" w:cs="Times New Roman"/>
          <w:color w:val="000000"/>
          <w:szCs w:val="24"/>
          <w:lang w:eastAsia="es-CO"/>
        </w:rPr>
        <w:fldChar w:fldCharType="separate"/>
      </w:r>
      <w:r w:rsidRPr="00C20E0A">
        <w:rPr>
          <w:rFonts w:eastAsia="Times New Roman" w:cs="Times New Roman"/>
          <w:color w:val="0089E1"/>
          <w:szCs w:val="24"/>
          <w:lang w:eastAsia="es-CO"/>
        </w:rPr>
        <w:t>[17]</w:t>
      </w:r>
      <w:r w:rsidRPr="00C20E0A">
        <w:rPr>
          <w:rFonts w:eastAsia="Times New Roman" w:cs="Times New Roman"/>
          <w:color w:val="000000"/>
          <w:szCs w:val="24"/>
          <w:lang w:eastAsia="es-CO"/>
        </w:rPr>
        <w:fldChar w:fldCharType="end"/>
      </w:r>
      <w:bookmarkEnd w:id="39"/>
      <w:r w:rsidRPr="00C20E0A">
        <w:rPr>
          <w:rFonts w:eastAsia="Times New Roman" w:cs="Times New Roman"/>
          <w:color w:val="000000"/>
          <w:szCs w:val="24"/>
          <w:lang w:eastAsia="es-CO"/>
        </w:rPr>
        <w:t xml:space="preserve"> Sentencia del 30 de julio de 2020, </w:t>
      </w:r>
      <w:proofErr w:type="spellStart"/>
      <w:r w:rsidRPr="00C20E0A">
        <w:rPr>
          <w:rFonts w:eastAsia="Times New Roman" w:cs="Times New Roman"/>
          <w:color w:val="000000"/>
          <w:szCs w:val="24"/>
          <w:lang w:eastAsia="es-CO"/>
        </w:rPr>
        <w:t>Exp</w:t>
      </w:r>
      <w:proofErr w:type="spellEnd"/>
      <w:r w:rsidRPr="00C20E0A">
        <w:rPr>
          <w:rFonts w:eastAsia="Times New Roman" w:cs="Times New Roman"/>
          <w:color w:val="000000"/>
          <w:szCs w:val="24"/>
          <w:lang w:eastAsia="es-CO"/>
        </w:rPr>
        <w:t>. 21606, C.P. Julio Roberto Piza Rodríguez.</w:t>
      </w:r>
    </w:p>
    <w:p w14:paraId="328413CB"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bookmarkStart w:id="40" w:name="_ftn18"/>
    <w:p w14:paraId="0FF8209A"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fldChar w:fldCharType="begin"/>
      </w:r>
      <w:r w:rsidRPr="00C20E0A">
        <w:rPr>
          <w:rFonts w:eastAsia="Times New Roman" w:cs="Times New Roman"/>
          <w:color w:val="000000"/>
          <w:szCs w:val="24"/>
          <w:lang w:eastAsia="es-CO"/>
        </w:rPr>
        <w:instrText xml:space="preserve"> HYPERLINK "https://www.ceta.org.co/html/vista_de_un_documento.asp?DocumentoID=42284" \l "_ftnref18" \o "" </w:instrText>
      </w:r>
      <w:r w:rsidRPr="00C20E0A">
        <w:rPr>
          <w:rFonts w:eastAsia="Times New Roman" w:cs="Times New Roman"/>
          <w:color w:val="000000"/>
          <w:szCs w:val="24"/>
          <w:lang w:eastAsia="es-CO"/>
        </w:rPr>
        <w:fldChar w:fldCharType="separate"/>
      </w:r>
      <w:r w:rsidRPr="00C20E0A">
        <w:rPr>
          <w:rFonts w:eastAsia="Times New Roman" w:cs="Times New Roman"/>
          <w:color w:val="0089E1"/>
          <w:szCs w:val="24"/>
          <w:lang w:eastAsia="es-CO"/>
        </w:rPr>
        <w:t>[18]</w:t>
      </w:r>
      <w:r w:rsidRPr="00C20E0A">
        <w:rPr>
          <w:rFonts w:eastAsia="Times New Roman" w:cs="Times New Roman"/>
          <w:color w:val="000000"/>
          <w:szCs w:val="24"/>
          <w:lang w:eastAsia="es-CO"/>
        </w:rPr>
        <w:fldChar w:fldCharType="end"/>
      </w:r>
      <w:bookmarkEnd w:id="40"/>
      <w:r w:rsidRPr="00C20E0A">
        <w:rPr>
          <w:rFonts w:eastAsia="Times New Roman" w:cs="Times New Roman"/>
          <w:color w:val="000000"/>
          <w:szCs w:val="24"/>
          <w:lang w:eastAsia="es-CO"/>
        </w:rPr>
        <w:t> De fecha 8 de junio de 2005, publicado en el Diario Oficial 45.952 de 27 de junio de 2005.</w:t>
      </w:r>
    </w:p>
    <w:p w14:paraId="3D075CDB"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t> </w:t>
      </w:r>
    </w:p>
    <w:bookmarkStart w:id="41" w:name="_ftn19"/>
    <w:p w14:paraId="5E821E24"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fldChar w:fldCharType="begin"/>
      </w:r>
      <w:r w:rsidRPr="00C20E0A">
        <w:rPr>
          <w:rFonts w:eastAsia="Times New Roman" w:cs="Times New Roman"/>
          <w:color w:val="000000"/>
          <w:szCs w:val="24"/>
          <w:lang w:eastAsia="es-CO"/>
        </w:rPr>
        <w:instrText xml:space="preserve"> HYPERLINK "https://www.ceta.org.co/html/vista_de_un_documento.asp?DocumentoID=42284" \l "_ftnref19" \o "" </w:instrText>
      </w:r>
      <w:r w:rsidRPr="00C20E0A">
        <w:rPr>
          <w:rFonts w:eastAsia="Times New Roman" w:cs="Times New Roman"/>
          <w:color w:val="000000"/>
          <w:szCs w:val="24"/>
          <w:lang w:eastAsia="es-CO"/>
        </w:rPr>
        <w:fldChar w:fldCharType="separate"/>
      </w:r>
      <w:r w:rsidRPr="00C20E0A">
        <w:rPr>
          <w:rFonts w:eastAsia="Times New Roman" w:cs="Times New Roman"/>
          <w:b/>
          <w:bCs/>
          <w:i/>
          <w:iCs/>
          <w:color w:val="0089E1"/>
          <w:szCs w:val="24"/>
          <w:lang w:eastAsia="es-CO"/>
        </w:rPr>
        <w:t>[19]</w:t>
      </w:r>
      <w:r w:rsidRPr="00C20E0A">
        <w:rPr>
          <w:rFonts w:eastAsia="Times New Roman" w:cs="Times New Roman"/>
          <w:color w:val="000000"/>
          <w:szCs w:val="24"/>
          <w:lang w:eastAsia="es-CO"/>
        </w:rPr>
        <w:fldChar w:fldCharType="end"/>
      </w:r>
      <w:bookmarkEnd w:id="41"/>
      <w:r w:rsidRPr="00C20E0A">
        <w:rPr>
          <w:rFonts w:eastAsia="Times New Roman" w:cs="Times New Roman"/>
          <w:i/>
          <w:iCs/>
          <w:color w:val="000000"/>
          <w:szCs w:val="24"/>
          <w:lang w:eastAsia="es-CO"/>
        </w:rPr>
        <w:t> «</w:t>
      </w:r>
      <w:r w:rsidRPr="00C20E0A">
        <w:rPr>
          <w:rFonts w:eastAsia="Times New Roman" w:cs="Times New Roman"/>
          <w:b/>
          <w:bCs/>
          <w:i/>
          <w:iCs/>
          <w:color w:val="000000"/>
          <w:szCs w:val="24"/>
          <w:lang w:eastAsia="es-CO"/>
        </w:rPr>
        <w:t>La competencia de la Dirección Seccional de Impuestos de Bogotá comprende el territorio del Distrito Capital, respecto de las personas jurídicas y sus asimiladas y personas naturales y sus asimiladas allí domiciliadas</w:t>
      </w:r>
      <w:r w:rsidRPr="00C20E0A">
        <w:rPr>
          <w:rFonts w:eastAsia="Times New Roman" w:cs="Times New Roman"/>
          <w:i/>
          <w:iCs/>
          <w:color w:val="000000"/>
          <w:szCs w:val="24"/>
          <w:lang w:eastAsia="es-CO"/>
        </w:rPr>
        <w:t> y en el territorio del departamento de Cundinamarca, excepto los municipios correspondientes a la competencia territorial de las Direcciones de Impuestos y Aduanas de Girardot y Villavicencio, respecto de las personas naturales y jurídicas domiciliadas en los mismos».</w:t>
      </w:r>
    </w:p>
    <w:p w14:paraId="40CB2A16"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i/>
          <w:iCs/>
          <w:color w:val="000000"/>
          <w:szCs w:val="24"/>
          <w:lang w:eastAsia="es-CO"/>
        </w:rPr>
        <w:t> </w:t>
      </w:r>
    </w:p>
    <w:bookmarkStart w:id="42" w:name="_ftn20"/>
    <w:p w14:paraId="4D1A741E" w14:textId="77777777" w:rsidR="00C20E0A" w:rsidRPr="00C20E0A" w:rsidRDefault="00C20E0A" w:rsidP="00C20E0A">
      <w:pPr>
        <w:spacing w:after="0" w:line="360" w:lineRule="auto"/>
        <w:jc w:val="both"/>
        <w:rPr>
          <w:rFonts w:eastAsia="Times New Roman" w:cs="Times New Roman"/>
          <w:color w:val="000000"/>
          <w:szCs w:val="24"/>
          <w:lang w:eastAsia="es-CO"/>
        </w:rPr>
      </w:pPr>
      <w:r w:rsidRPr="00C20E0A">
        <w:rPr>
          <w:rFonts w:eastAsia="Times New Roman" w:cs="Times New Roman"/>
          <w:color w:val="000000"/>
          <w:szCs w:val="24"/>
          <w:lang w:eastAsia="es-CO"/>
        </w:rPr>
        <w:fldChar w:fldCharType="begin"/>
      </w:r>
      <w:r w:rsidRPr="00C20E0A">
        <w:rPr>
          <w:rFonts w:eastAsia="Times New Roman" w:cs="Times New Roman"/>
          <w:color w:val="000000"/>
          <w:szCs w:val="24"/>
          <w:lang w:eastAsia="es-CO"/>
        </w:rPr>
        <w:instrText xml:space="preserve"> HYPERLINK "https://www.ceta.org.co/html/vista_de_un_documento.asp?DocumentoID=42284" \l "_ftnref20" \o "" </w:instrText>
      </w:r>
      <w:r w:rsidRPr="00C20E0A">
        <w:rPr>
          <w:rFonts w:eastAsia="Times New Roman" w:cs="Times New Roman"/>
          <w:color w:val="000000"/>
          <w:szCs w:val="24"/>
          <w:lang w:eastAsia="es-CO"/>
        </w:rPr>
        <w:fldChar w:fldCharType="separate"/>
      </w:r>
      <w:r w:rsidRPr="00C20E0A">
        <w:rPr>
          <w:rFonts w:eastAsia="Times New Roman" w:cs="Times New Roman"/>
          <w:color w:val="0089E1"/>
          <w:szCs w:val="24"/>
          <w:lang w:eastAsia="es-CO"/>
        </w:rPr>
        <w:t>[20]</w:t>
      </w:r>
      <w:r w:rsidRPr="00C20E0A">
        <w:rPr>
          <w:rFonts w:eastAsia="Times New Roman" w:cs="Times New Roman"/>
          <w:color w:val="000000"/>
          <w:szCs w:val="24"/>
          <w:lang w:eastAsia="es-CO"/>
        </w:rPr>
        <w:fldChar w:fldCharType="end"/>
      </w:r>
      <w:bookmarkEnd w:id="42"/>
      <w:r w:rsidRPr="00C20E0A">
        <w:rPr>
          <w:rFonts w:eastAsia="Times New Roman" w:cs="Times New Roman"/>
          <w:color w:val="000000"/>
          <w:szCs w:val="24"/>
          <w:lang w:eastAsia="es-CO"/>
        </w:rPr>
        <w:t> C.G.P. </w:t>
      </w:r>
      <w:r w:rsidRPr="00C20E0A">
        <w:rPr>
          <w:rFonts w:eastAsia="Times New Roman" w:cs="Times New Roman"/>
          <w:i/>
          <w:iCs/>
          <w:color w:val="000000"/>
          <w:szCs w:val="24"/>
          <w:lang w:eastAsia="es-CO"/>
        </w:rPr>
        <w:t>«Art. 365. Condena en costas. En los procesos y en las actuaciones posteriores a aquellos en que haya controversia en la condena en costas se sujetará a las siguientes reglas: 1. Se condenará en costas a la parte vencida en el proceso, o a quien se le resuelva desfavorablemente el recurso de apelación, casación, queja, súplica, anulación o revisión que haya propuesto. Además, en los casos especiales previstos en este código. 5). En caso de que prospere parcialmente la demanda, el juez podrá abstenerse de condenar en costas (…) 8. Solo habrá lugar a costas cuando en el expediente aparezca que se causaron y en la medida de su comprobación».</w:t>
      </w:r>
    </w:p>
    <w:p w14:paraId="423681B2" w14:textId="77777777" w:rsidR="007F5CC8" w:rsidRPr="00C20E0A" w:rsidRDefault="007F5CC8" w:rsidP="00C20E0A">
      <w:pPr>
        <w:spacing w:line="360" w:lineRule="auto"/>
        <w:rPr>
          <w:rFonts w:cs="Times New Roman"/>
          <w:szCs w:val="24"/>
        </w:rPr>
      </w:pPr>
    </w:p>
    <w:sectPr w:rsidR="007F5CC8" w:rsidRPr="00C20E0A"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E0A"/>
    <w:rsid w:val="000F3837"/>
    <w:rsid w:val="001E311E"/>
    <w:rsid w:val="00434AE6"/>
    <w:rsid w:val="007F5CC8"/>
    <w:rsid w:val="008779BE"/>
    <w:rsid w:val="00C20E0A"/>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9E38A"/>
  <w15:chartTrackingRefBased/>
  <w15:docId w15:val="{DEA765C6-DF1E-409A-BE28-B4C0E5B51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545188">
      <w:bodyDiv w:val="1"/>
      <w:marLeft w:val="0"/>
      <w:marRight w:val="0"/>
      <w:marTop w:val="0"/>
      <w:marBottom w:val="0"/>
      <w:divBdr>
        <w:top w:val="none" w:sz="0" w:space="0" w:color="auto"/>
        <w:left w:val="none" w:sz="0" w:space="0" w:color="auto"/>
        <w:bottom w:val="none" w:sz="0" w:space="0" w:color="auto"/>
        <w:right w:val="none" w:sz="0" w:space="0" w:color="auto"/>
      </w:divBdr>
      <w:divsChild>
        <w:div w:id="469521468">
          <w:marLeft w:val="0"/>
          <w:marRight w:val="0"/>
          <w:marTop w:val="0"/>
          <w:marBottom w:val="0"/>
          <w:divBdr>
            <w:top w:val="none" w:sz="0" w:space="0" w:color="auto"/>
            <w:left w:val="none" w:sz="0" w:space="0" w:color="auto"/>
            <w:bottom w:val="none" w:sz="0" w:space="0" w:color="auto"/>
            <w:right w:val="none" w:sz="0" w:space="0" w:color="auto"/>
          </w:divBdr>
        </w:div>
        <w:div w:id="460727951">
          <w:marLeft w:val="0"/>
          <w:marRight w:val="0"/>
          <w:marTop w:val="0"/>
          <w:marBottom w:val="0"/>
          <w:divBdr>
            <w:top w:val="none" w:sz="0" w:space="0" w:color="auto"/>
            <w:left w:val="none" w:sz="0" w:space="0" w:color="auto"/>
            <w:bottom w:val="none" w:sz="0" w:space="0" w:color="auto"/>
            <w:right w:val="none" w:sz="0" w:space="0" w:color="auto"/>
          </w:divBdr>
        </w:div>
        <w:div w:id="1364669897">
          <w:marLeft w:val="0"/>
          <w:marRight w:val="0"/>
          <w:marTop w:val="0"/>
          <w:marBottom w:val="0"/>
          <w:divBdr>
            <w:top w:val="none" w:sz="0" w:space="0" w:color="auto"/>
            <w:left w:val="none" w:sz="0" w:space="0" w:color="auto"/>
            <w:bottom w:val="none" w:sz="0" w:space="0" w:color="auto"/>
            <w:right w:val="none" w:sz="0" w:space="0" w:color="auto"/>
          </w:divBdr>
        </w:div>
        <w:div w:id="1955089812">
          <w:marLeft w:val="0"/>
          <w:marRight w:val="0"/>
          <w:marTop w:val="0"/>
          <w:marBottom w:val="0"/>
          <w:divBdr>
            <w:top w:val="none" w:sz="0" w:space="0" w:color="auto"/>
            <w:left w:val="none" w:sz="0" w:space="0" w:color="auto"/>
            <w:bottom w:val="none" w:sz="0" w:space="0" w:color="auto"/>
            <w:right w:val="none" w:sz="0" w:space="0" w:color="auto"/>
          </w:divBdr>
        </w:div>
        <w:div w:id="1441341374">
          <w:marLeft w:val="0"/>
          <w:marRight w:val="0"/>
          <w:marTop w:val="0"/>
          <w:marBottom w:val="0"/>
          <w:divBdr>
            <w:top w:val="none" w:sz="0" w:space="0" w:color="auto"/>
            <w:left w:val="none" w:sz="0" w:space="0" w:color="auto"/>
            <w:bottom w:val="none" w:sz="0" w:space="0" w:color="auto"/>
            <w:right w:val="none" w:sz="0" w:space="0" w:color="auto"/>
          </w:divBdr>
        </w:div>
        <w:div w:id="1316882944">
          <w:marLeft w:val="0"/>
          <w:marRight w:val="0"/>
          <w:marTop w:val="0"/>
          <w:marBottom w:val="0"/>
          <w:divBdr>
            <w:top w:val="none" w:sz="0" w:space="0" w:color="auto"/>
            <w:left w:val="none" w:sz="0" w:space="0" w:color="auto"/>
            <w:bottom w:val="none" w:sz="0" w:space="0" w:color="auto"/>
            <w:right w:val="none" w:sz="0" w:space="0" w:color="auto"/>
          </w:divBdr>
        </w:div>
        <w:div w:id="472218156">
          <w:marLeft w:val="0"/>
          <w:marRight w:val="0"/>
          <w:marTop w:val="0"/>
          <w:marBottom w:val="0"/>
          <w:divBdr>
            <w:top w:val="none" w:sz="0" w:space="0" w:color="auto"/>
            <w:left w:val="none" w:sz="0" w:space="0" w:color="auto"/>
            <w:bottom w:val="none" w:sz="0" w:space="0" w:color="auto"/>
            <w:right w:val="none" w:sz="0" w:space="0" w:color="auto"/>
          </w:divBdr>
        </w:div>
        <w:div w:id="317539352">
          <w:marLeft w:val="0"/>
          <w:marRight w:val="0"/>
          <w:marTop w:val="0"/>
          <w:marBottom w:val="0"/>
          <w:divBdr>
            <w:top w:val="none" w:sz="0" w:space="0" w:color="auto"/>
            <w:left w:val="none" w:sz="0" w:space="0" w:color="auto"/>
            <w:bottom w:val="none" w:sz="0" w:space="0" w:color="auto"/>
            <w:right w:val="none" w:sz="0" w:space="0" w:color="auto"/>
          </w:divBdr>
        </w:div>
        <w:div w:id="1909221876">
          <w:marLeft w:val="0"/>
          <w:marRight w:val="0"/>
          <w:marTop w:val="0"/>
          <w:marBottom w:val="0"/>
          <w:divBdr>
            <w:top w:val="none" w:sz="0" w:space="0" w:color="auto"/>
            <w:left w:val="none" w:sz="0" w:space="0" w:color="auto"/>
            <w:bottom w:val="none" w:sz="0" w:space="0" w:color="auto"/>
            <w:right w:val="none" w:sz="0" w:space="0" w:color="auto"/>
          </w:divBdr>
        </w:div>
        <w:div w:id="1648240315">
          <w:marLeft w:val="0"/>
          <w:marRight w:val="0"/>
          <w:marTop w:val="0"/>
          <w:marBottom w:val="0"/>
          <w:divBdr>
            <w:top w:val="none" w:sz="0" w:space="0" w:color="auto"/>
            <w:left w:val="none" w:sz="0" w:space="0" w:color="auto"/>
            <w:bottom w:val="none" w:sz="0" w:space="0" w:color="auto"/>
            <w:right w:val="none" w:sz="0" w:space="0" w:color="auto"/>
          </w:divBdr>
        </w:div>
        <w:div w:id="1993369617">
          <w:marLeft w:val="0"/>
          <w:marRight w:val="0"/>
          <w:marTop w:val="0"/>
          <w:marBottom w:val="0"/>
          <w:divBdr>
            <w:top w:val="none" w:sz="0" w:space="0" w:color="auto"/>
            <w:left w:val="none" w:sz="0" w:space="0" w:color="auto"/>
            <w:bottom w:val="none" w:sz="0" w:space="0" w:color="auto"/>
            <w:right w:val="none" w:sz="0" w:space="0" w:color="auto"/>
          </w:divBdr>
        </w:div>
        <w:div w:id="158426378">
          <w:marLeft w:val="0"/>
          <w:marRight w:val="0"/>
          <w:marTop w:val="0"/>
          <w:marBottom w:val="0"/>
          <w:divBdr>
            <w:top w:val="none" w:sz="0" w:space="0" w:color="auto"/>
            <w:left w:val="none" w:sz="0" w:space="0" w:color="auto"/>
            <w:bottom w:val="none" w:sz="0" w:space="0" w:color="auto"/>
            <w:right w:val="none" w:sz="0" w:space="0" w:color="auto"/>
          </w:divBdr>
        </w:div>
        <w:div w:id="1251305499">
          <w:marLeft w:val="0"/>
          <w:marRight w:val="0"/>
          <w:marTop w:val="0"/>
          <w:marBottom w:val="0"/>
          <w:divBdr>
            <w:top w:val="none" w:sz="0" w:space="0" w:color="auto"/>
            <w:left w:val="none" w:sz="0" w:space="0" w:color="auto"/>
            <w:bottom w:val="none" w:sz="0" w:space="0" w:color="auto"/>
            <w:right w:val="none" w:sz="0" w:space="0" w:color="auto"/>
          </w:divBdr>
        </w:div>
        <w:div w:id="74133737">
          <w:marLeft w:val="0"/>
          <w:marRight w:val="0"/>
          <w:marTop w:val="0"/>
          <w:marBottom w:val="0"/>
          <w:divBdr>
            <w:top w:val="none" w:sz="0" w:space="0" w:color="auto"/>
            <w:left w:val="none" w:sz="0" w:space="0" w:color="auto"/>
            <w:bottom w:val="none" w:sz="0" w:space="0" w:color="auto"/>
            <w:right w:val="none" w:sz="0" w:space="0" w:color="auto"/>
          </w:divBdr>
        </w:div>
        <w:div w:id="1794638278">
          <w:marLeft w:val="0"/>
          <w:marRight w:val="0"/>
          <w:marTop w:val="0"/>
          <w:marBottom w:val="0"/>
          <w:divBdr>
            <w:top w:val="none" w:sz="0" w:space="0" w:color="auto"/>
            <w:left w:val="none" w:sz="0" w:space="0" w:color="auto"/>
            <w:bottom w:val="none" w:sz="0" w:space="0" w:color="auto"/>
            <w:right w:val="none" w:sz="0" w:space="0" w:color="auto"/>
          </w:divBdr>
        </w:div>
        <w:div w:id="158470402">
          <w:marLeft w:val="0"/>
          <w:marRight w:val="0"/>
          <w:marTop w:val="0"/>
          <w:marBottom w:val="0"/>
          <w:divBdr>
            <w:top w:val="none" w:sz="0" w:space="0" w:color="auto"/>
            <w:left w:val="none" w:sz="0" w:space="0" w:color="auto"/>
            <w:bottom w:val="none" w:sz="0" w:space="0" w:color="auto"/>
            <w:right w:val="none" w:sz="0" w:space="0" w:color="auto"/>
          </w:divBdr>
        </w:div>
        <w:div w:id="65346058">
          <w:marLeft w:val="0"/>
          <w:marRight w:val="0"/>
          <w:marTop w:val="0"/>
          <w:marBottom w:val="0"/>
          <w:divBdr>
            <w:top w:val="none" w:sz="0" w:space="0" w:color="auto"/>
            <w:left w:val="none" w:sz="0" w:space="0" w:color="auto"/>
            <w:bottom w:val="none" w:sz="0" w:space="0" w:color="auto"/>
            <w:right w:val="none" w:sz="0" w:space="0" w:color="auto"/>
          </w:divBdr>
        </w:div>
        <w:div w:id="119231513">
          <w:marLeft w:val="0"/>
          <w:marRight w:val="0"/>
          <w:marTop w:val="0"/>
          <w:marBottom w:val="0"/>
          <w:divBdr>
            <w:top w:val="none" w:sz="0" w:space="0" w:color="auto"/>
            <w:left w:val="none" w:sz="0" w:space="0" w:color="auto"/>
            <w:bottom w:val="none" w:sz="0" w:space="0" w:color="auto"/>
            <w:right w:val="none" w:sz="0" w:space="0" w:color="auto"/>
          </w:divBdr>
        </w:div>
        <w:div w:id="1969357200">
          <w:marLeft w:val="0"/>
          <w:marRight w:val="0"/>
          <w:marTop w:val="0"/>
          <w:marBottom w:val="0"/>
          <w:divBdr>
            <w:top w:val="none" w:sz="0" w:space="0" w:color="auto"/>
            <w:left w:val="none" w:sz="0" w:space="0" w:color="auto"/>
            <w:bottom w:val="none" w:sz="0" w:space="0" w:color="auto"/>
            <w:right w:val="none" w:sz="0" w:space="0" w:color="auto"/>
          </w:divBdr>
        </w:div>
        <w:div w:id="1792361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articulo.asp?Norma=98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37" TargetMode="External"/><Relationship Id="rId5" Type="http://schemas.openxmlformats.org/officeDocument/2006/relationships/hyperlink" Target="https://www.ceta.org.co/html/vista_de_un_articulo.asp?Norma=906" TargetMode="External"/><Relationship Id="rId4" Type="http://schemas.openxmlformats.org/officeDocument/2006/relationships/hyperlink" Target="https://www.ceta.org.co/html/vista_de_un_articulo.asp?Norma=850"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4192</Words>
  <Characters>23061</Characters>
  <Application>Microsoft Office Word</Application>
  <DocSecurity>0</DocSecurity>
  <Lines>192</Lines>
  <Paragraphs>54</Paragraphs>
  <ScaleCrop>false</ScaleCrop>
  <Company/>
  <LinksUpToDate>false</LinksUpToDate>
  <CharactersWithSpaces>27199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2021-09-14T11:49:00Z</dcterms:created>
  <dcterms:modified xsi:type="dcterms:W3CDTF">2021-09-14T11:52:00Z</dcterms:modified>
</cp:coreProperties>
</file>