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B2FC" w14:textId="25428C86" w:rsidR="00F00582" w:rsidRDefault="00F00582" w:rsidP="00F00582">
      <w:pPr>
        <w:spacing w:after="0" w:line="240" w:lineRule="auto"/>
        <w:jc w:val="both"/>
        <w:rPr>
          <w:rFonts w:ascii="Segoe UI" w:eastAsia="Times New Roman" w:hAnsi="Segoe UI" w:cs="Segoe UI"/>
          <w:b/>
          <w:bCs/>
          <w:color w:val="000000"/>
          <w:sz w:val="22"/>
          <w:lang w:eastAsia="es-CO"/>
        </w:rPr>
      </w:pPr>
      <w:bookmarkStart w:id="0" w:name="_ftn24"/>
      <w:r>
        <w:rPr>
          <w:rFonts w:ascii="Segoe UI" w:hAnsi="Segoe UI" w:cs="Segoe UI"/>
          <w:b/>
          <w:bCs/>
          <w:color w:val="000000"/>
          <w:sz w:val="22"/>
          <w:shd w:val="clear" w:color="auto" w:fill="FFFFFF"/>
        </w:rPr>
        <w:t>SOLICITUD DE DEVOLUCIÓN DE SALDOS A FAVOR – Término / CAUSALES DE RECHAZO DE SOLICITUD DE DEVOLUCIÓN DE SALDOS A FAVOR – Taxatividad. Reiteración de jurisprudencia / RECHAZO DE LA SOLICITUD DE DEVOLUCIÓN DE SALDOS A FAVOR – Causales. Reiteración de jurisprudencia / SOLICITUD DE DEVOLUCIÓN DE SALDOS A FAVOR – Suspensión</w:t>
      </w:r>
    </w:p>
    <w:p w14:paraId="68A440B4" w14:textId="77777777" w:rsidR="00F00582" w:rsidRDefault="00F00582" w:rsidP="00F00582">
      <w:pPr>
        <w:spacing w:after="0" w:line="240" w:lineRule="auto"/>
        <w:jc w:val="both"/>
        <w:rPr>
          <w:rFonts w:ascii="Segoe UI" w:hAnsi="Segoe UI" w:cs="Segoe UI"/>
          <w:color w:val="000000"/>
          <w:sz w:val="22"/>
          <w:shd w:val="clear" w:color="auto" w:fill="FFFFFF"/>
        </w:rPr>
      </w:pPr>
    </w:p>
    <w:p w14:paraId="0EB688DE" w14:textId="536AB6A2" w:rsidR="00F00582" w:rsidRDefault="00F00582" w:rsidP="00F00582">
      <w:pPr>
        <w:spacing w:after="0" w:line="240" w:lineRule="auto"/>
        <w:jc w:val="both"/>
        <w:rPr>
          <w:rFonts w:ascii="Segoe UI" w:hAnsi="Segoe UI" w:cs="Segoe UI"/>
          <w:color w:val="000000"/>
          <w:sz w:val="22"/>
          <w:shd w:val="clear" w:color="auto" w:fill="FFFFFF"/>
        </w:rPr>
      </w:pPr>
      <w:r>
        <w:rPr>
          <w:rFonts w:ascii="Segoe UI" w:hAnsi="Segoe UI" w:cs="Segoe UI"/>
          <w:color w:val="000000"/>
          <w:sz w:val="22"/>
          <w:shd w:val="clear" w:color="auto" w:fill="FFFFFF"/>
        </w:rPr>
        <w:t>De conformidad con los artículos </w:t>
      </w:r>
      <w:hyperlink r:id="rId4" w:tooltip="Estatuto Tributario CETA" w:history="1">
        <w:r>
          <w:rPr>
            <w:rStyle w:val="Hipervnculo"/>
            <w:rFonts w:ascii="Segoe UI" w:hAnsi="Segoe UI" w:cs="Segoe UI"/>
            <w:color w:val="0089E1"/>
            <w:sz w:val="22"/>
            <w:shd w:val="clear" w:color="auto" w:fill="FFFFFF"/>
          </w:rPr>
          <w:t>850</w:t>
        </w:r>
      </w:hyperlink>
      <w:r>
        <w:rPr>
          <w:rFonts w:ascii="Segoe UI" w:hAnsi="Segoe UI" w:cs="Segoe UI"/>
          <w:color w:val="000000"/>
          <w:sz w:val="22"/>
          <w:shd w:val="clear" w:color="auto" w:fill="FFFFFF"/>
        </w:rPr>
        <w:t> y </w:t>
      </w:r>
      <w:hyperlink r:id="rId5" w:tooltip="Estatuto Tributario CETA" w:history="1">
        <w:r>
          <w:rPr>
            <w:rStyle w:val="Hipervnculo"/>
            <w:rFonts w:ascii="Segoe UI" w:hAnsi="Segoe UI" w:cs="Segoe UI"/>
            <w:color w:val="0089E1"/>
            <w:sz w:val="22"/>
            <w:shd w:val="clear" w:color="auto" w:fill="FFFFFF"/>
          </w:rPr>
          <w:t>854</w:t>
        </w:r>
      </w:hyperlink>
      <w:r>
        <w:rPr>
          <w:rFonts w:ascii="Segoe UI" w:hAnsi="Segoe UI" w:cs="Segoe UI"/>
          <w:color w:val="000000"/>
          <w:sz w:val="22"/>
          <w:shd w:val="clear" w:color="auto" w:fill="FFFFFF"/>
        </w:rPr>
        <w:t> del Estatuto Tributario, los contribuyentes o responsables que generen saldos a favor en sus declaraciones tributarias pueden solicitar su devolución dentro de los 2 años siguientes al vencimiento del término para declarar. El </w:t>
      </w:r>
      <w:hyperlink r:id="rId6" w:tooltip="Estatuto Tributario CETA" w:history="1">
        <w:r>
          <w:rPr>
            <w:rStyle w:val="Hipervnculo"/>
            <w:rFonts w:ascii="Segoe UI" w:hAnsi="Segoe UI" w:cs="Segoe UI"/>
            <w:color w:val="0089E1"/>
            <w:sz w:val="22"/>
            <w:shd w:val="clear" w:color="auto" w:fill="FFFFFF"/>
          </w:rPr>
          <w:t>artículo 857</w:t>
        </w:r>
      </w:hyperlink>
      <w:r>
        <w:rPr>
          <w:rFonts w:ascii="Segoe UI" w:hAnsi="Segoe UI" w:cs="Segoe UI"/>
          <w:color w:val="000000"/>
          <w:sz w:val="22"/>
          <w:shd w:val="clear" w:color="auto" w:fill="FFFFFF"/>
        </w:rPr>
        <w:t> del Estatuto Tributario establece las causales de rechazo de las solicitudes de devolución de saldos a favor. Según esta norma, el rechazo procede, entre otros, cuando: </w:t>
      </w:r>
      <w:r>
        <w:rPr>
          <w:rFonts w:ascii="Segoe UI" w:hAnsi="Segoe UI" w:cs="Segoe UI"/>
          <w:i/>
          <w:iCs/>
          <w:color w:val="000000"/>
          <w:sz w:val="22"/>
          <w:shd w:val="clear" w:color="auto" w:fill="FFFFFF"/>
        </w:rPr>
        <w:t>(i)</w:t>
      </w:r>
      <w:r>
        <w:rPr>
          <w:rFonts w:ascii="Segoe UI" w:hAnsi="Segoe UI" w:cs="Segoe UI"/>
          <w:color w:val="000000"/>
          <w:sz w:val="22"/>
          <w:shd w:val="clear" w:color="auto" w:fill="FFFFFF"/>
        </w:rPr>
        <w:t> se presentan extemporáneamente, es decir, por fuera de los dos años siguientes al vencimiento para declarar, </w:t>
      </w:r>
      <w:r>
        <w:rPr>
          <w:rFonts w:ascii="Segoe UI" w:hAnsi="Segoe UI" w:cs="Segoe UI"/>
          <w:i/>
          <w:iCs/>
          <w:color w:val="000000"/>
          <w:sz w:val="22"/>
          <w:shd w:val="clear" w:color="auto" w:fill="FFFFFF"/>
        </w:rPr>
        <w:t>(</w:t>
      </w:r>
      <w:proofErr w:type="spellStart"/>
      <w:r>
        <w:rPr>
          <w:rFonts w:ascii="Segoe UI" w:hAnsi="Segoe UI" w:cs="Segoe UI"/>
          <w:i/>
          <w:iCs/>
          <w:color w:val="000000"/>
          <w:sz w:val="22"/>
          <w:shd w:val="clear" w:color="auto" w:fill="FFFFFF"/>
        </w:rPr>
        <w:t>ii</w:t>
      </w:r>
      <w:proofErr w:type="spellEnd"/>
      <w:r>
        <w:rPr>
          <w:rFonts w:ascii="Segoe UI" w:hAnsi="Segoe UI" w:cs="Segoe UI"/>
          <w:i/>
          <w:iCs/>
          <w:color w:val="000000"/>
          <w:sz w:val="22"/>
          <w:shd w:val="clear" w:color="auto" w:fill="FFFFFF"/>
        </w:rPr>
        <w:t>)</w:t>
      </w:r>
      <w:r>
        <w:rPr>
          <w:rFonts w:ascii="Segoe UI" w:hAnsi="Segoe UI" w:cs="Segoe UI"/>
          <w:color w:val="000000"/>
          <w:sz w:val="22"/>
          <w:shd w:val="clear" w:color="auto" w:fill="FFFFFF"/>
        </w:rPr>
        <w:t> cuando el saldo a favor ya fue devuelto o compensado y </w:t>
      </w:r>
      <w:r>
        <w:rPr>
          <w:rFonts w:ascii="Segoe UI" w:hAnsi="Segoe UI" w:cs="Segoe UI"/>
          <w:i/>
          <w:iCs/>
          <w:color w:val="000000"/>
          <w:sz w:val="22"/>
          <w:shd w:val="clear" w:color="auto" w:fill="FFFFFF"/>
        </w:rPr>
        <w:t>(</w:t>
      </w:r>
      <w:proofErr w:type="spellStart"/>
      <w:r>
        <w:rPr>
          <w:rFonts w:ascii="Segoe UI" w:hAnsi="Segoe UI" w:cs="Segoe UI"/>
          <w:i/>
          <w:iCs/>
          <w:color w:val="000000"/>
          <w:sz w:val="22"/>
          <w:shd w:val="clear" w:color="auto" w:fill="FFFFFF"/>
        </w:rPr>
        <w:t>iii</w:t>
      </w:r>
      <w:proofErr w:type="spellEnd"/>
      <w:r>
        <w:rPr>
          <w:rFonts w:ascii="Segoe UI" w:hAnsi="Segoe UI" w:cs="Segoe UI"/>
          <w:i/>
          <w:iCs/>
          <w:color w:val="000000"/>
          <w:sz w:val="22"/>
          <w:shd w:val="clear" w:color="auto" w:fill="FFFFFF"/>
        </w:rPr>
        <w:t>)</w:t>
      </w:r>
      <w:r>
        <w:rPr>
          <w:rFonts w:ascii="Segoe UI" w:hAnsi="Segoe UI" w:cs="Segoe UI"/>
          <w:color w:val="000000"/>
          <w:sz w:val="22"/>
          <w:shd w:val="clear" w:color="auto" w:fill="FFFFFF"/>
        </w:rPr>
        <w:t> cuando dentro del término de investigación previa de la solicitud, como resultado de la corrección de la declaración tributaria efectuada por el contribuyente, se genere un saldo a pagar. Esta Sala ha considerado que las taxativas causales de rechazo de solicitudes de devolución de saldos a favor </w:t>
      </w:r>
      <w:r>
        <w:rPr>
          <w:rFonts w:ascii="Segoe UI" w:hAnsi="Segoe UI" w:cs="Segoe UI"/>
          <w:i/>
          <w:iCs/>
          <w:color w:val="000000"/>
          <w:sz w:val="22"/>
          <w:shd w:val="clear" w:color="auto" w:fill="FFFFFF"/>
        </w:rPr>
        <w:t>«obedecen a aspectos formales, que no desvirtúan la existencia o el importe del saldo a favor» </w:t>
      </w:r>
      <w:r>
        <w:rPr>
          <w:rFonts w:ascii="Segoe UI" w:hAnsi="Segoe UI" w:cs="Segoe UI"/>
          <w:color w:val="000000"/>
          <w:sz w:val="22"/>
          <w:shd w:val="clear" w:color="auto" w:fill="FFFFFF"/>
        </w:rPr>
        <w:t xml:space="preserve">(Sentencias del 25 de febrero de 2021, </w:t>
      </w:r>
      <w:proofErr w:type="spellStart"/>
      <w:r>
        <w:rPr>
          <w:rFonts w:ascii="Segoe UI" w:hAnsi="Segoe UI" w:cs="Segoe UI"/>
          <w:color w:val="000000"/>
          <w:sz w:val="22"/>
          <w:shd w:val="clear" w:color="auto" w:fill="FFFFFF"/>
        </w:rPr>
        <w:t>exp</w:t>
      </w:r>
      <w:proofErr w:type="spellEnd"/>
      <w:r>
        <w:rPr>
          <w:rFonts w:ascii="Segoe UI" w:hAnsi="Segoe UI" w:cs="Segoe UI"/>
          <w:color w:val="000000"/>
          <w:sz w:val="22"/>
          <w:shd w:val="clear" w:color="auto" w:fill="FFFFFF"/>
        </w:rPr>
        <w:t>. </w:t>
      </w:r>
      <w:r>
        <w:rPr>
          <w:rStyle w:val="normaltextrun"/>
          <w:rFonts w:ascii="Segoe UI" w:hAnsi="Segoe UI" w:cs="Segoe UI"/>
          <w:color w:val="000000"/>
          <w:sz w:val="22"/>
          <w:shd w:val="clear" w:color="auto" w:fill="FFFFFF"/>
        </w:rPr>
        <w:t xml:space="preserve">23464, CP Stella Jeannette Carvajal Basto y del 7 de mayo de 2020, </w:t>
      </w:r>
      <w:proofErr w:type="spellStart"/>
      <w:r>
        <w:rPr>
          <w:rStyle w:val="normaltextrun"/>
          <w:rFonts w:ascii="Segoe UI" w:hAnsi="Segoe UI" w:cs="Segoe UI"/>
          <w:color w:val="000000"/>
          <w:sz w:val="22"/>
          <w:shd w:val="clear" w:color="auto" w:fill="FFFFFF"/>
        </w:rPr>
        <w:t>exp</w:t>
      </w:r>
      <w:proofErr w:type="spellEnd"/>
      <w:r>
        <w:rPr>
          <w:rStyle w:val="normaltextrun"/>
          <w:rFonts w:ascii="Segoe UI" w:hAnsi="Segoe UI" w:cs="Segoe UI"/>
          <w:color w:val="000000"/>
          <w:sz w:val="22"/>
          <w:shd w:val="clear" w:color="auto" w:fill="FFFFFF"/>
        </w:rPr>
        <w:t>. 22842, CP Julio Roberto Piza Rodríguez).</w:t>
      </w:r>
      <w:r>
        <w:rPr>
          <w:rFonts w:ascii="Segoe UI" w:hAnsi="Segoe UI" w:cs="Segoe UI"/>
          <w:color w:val="000000"/>
          <w:sz w:val="22"/>
          <w:shd w:val="clear" w:color="auto" w:fill="FFFFFF"/>
        </w:rPr>
        <w:t xml:space="preserve"> Por esta razón, también ha señalado que, la DIAN carece de competencia para rechazar una solicitud de devolución con fundamento en aspectos sustanciales que impliquen la modificación de la declaración tributaria en la cual se sustenta o que exijan del contribuyente explicaciones que son propias de un proceso de determinación oficial y no del trámite de devoluciones, que es eminentemente formal (Sentencia del 13 de marzo de 2008, </w:t>
      </w:r>
      <w:proofErr w:type="spellStart"/>
      <w:r>
        <w:rPr>
          <w:rFonts w:ascii="Segoe UI" w:hAnsi="Segoe UI" w:cs="Segoe UI"/>
          <w:color w:val="000000"/>
          <w:sz w:val="22"/>
          <w:shd w:val="clear" w:color="auto" w:fill="FFFFFF"/>
        </w:rPr>
        <w:t>exp</w:t>
      </w:r>
      <w:proofErr w:type="spellEnd"/>
      <w:r>
        <w:rPr>
          <w:rFonts w:ascii="Segoe UI" w:hAnsi="Segoe UI" w:cs="Segoe UI"/>
          <w:color w:val="000000"/>
          <w:sz w:val="22"/>
          <w:shd w:val="clear" w:color="auto" w:fill="FFFFFF"/>
        </w:rPr>
        <w:t>. 16058 C.P. Ligia López Díaz). Así las cosas, en opinión de la Sala, la DIAN no puede convertir el trámite de devolución de saldos a favor en un proceso de determinación oficial, porque mientras el saldo a favor registrado en una declaración privada no sea desconocido o modificado mediante una liquidación oficial de revisión, este representa una obligación dineraria a cargo de la Administración de la que es acreedor el contribuyente o responsable. De manera coherente con lo expuesto, en los casos en que la Administración Tributaria advierta posibles inexactitudes en la declaración que sustenta la solicitud de devolución del saldo a favor, el </w:t>
      </w:r>
      <w:hyperlink r:id="rId7" w:tooltip="Estatuto Tributario CETA" w:history="1">
        <w:r>
          <w:rPr>
            <w:rStyle w:val="Hipervnculo"/>
            <w:rFonts w:ascii="Segoe UI" w:hAnsi="Segoe UI" w:cs="Segoe UI"/>
            <w:color w:val="0089E1"/>
            <w:sz w:val="22"/>
            <w:shd w:val="clear" w:color="auto" w:fill="FFFFFF"/>
          </w:rPr>
          <w:t>artículo 857-1</w:t>
        </w:r>
      </w:hyperlink>
      <w:r>
        <w:rPr>
          <w:rFonts w:ascii="Segoe UI" w:hAnsi="Segoe UI" w:cs="Segoe UI"/>
          <w:color w:val="000000"/>
          <w:sz w:val="22"/>
          <w:shd w:val="clear" w:color="auto" w:fill="FFFFFF"/>
        </w:rPr>
        <w:t> del Estatuto Tributario le otorga la posibilidad de suspender el término de devolución, hasta por 90 días, con el fin de que la División de Fiscalización inicie una investigación para verificar la procedencia, exactitud o veracidad del saldo a favor y, en caso de encontrarlo improcedente, expida un requerimiento especial para modificar el saldo a favor liquidado por el contribuyente o responsable en su denuncio privado. (…) Esta conclusión se refuerza al analizar los artículos </w:t>
      </w:r>
      <w:hyperlink r:id="rId8" w:tooltip="Estatuto Tributario CETA" w:history="1">
        <w:r>
          <w:rPr>
            <w:rStyle w:val="Hipervnculo"/>
            <w:rFonts w:ascii="Segoe UI" w:hAnsi="Segoe UI" w:cs="Segoe UI"/>
            <w:color w:val="0089E1"/>
            <w:sz w:val="22"/>
            <w:shd w:val="clear" w:color="auto" w:fill="FFFFFF"/>
          </w:rPr>
          <w:t>670</w:t>
        </w:r>
      </w:hyperlink>
      <w:r>
        <w:rPr>
          <w:rFonts w:ascii="Segoe UI" w:hAnsi="Segoe UI" w:cs="Segoe UI"/>
          <w:color w:val="000000"/>
          <w:sz w:val="22"/>
          <w:shd w:val="clear" w:color="auto" w:fill="FFFFFF"/>
        </w:rPr>
        <w:t> y </w:t>
      </w:r>
      <w:hyperlink r:id="rId9" w:tooltip="Estatuto Tributario CETA" w:history="1">
        <w:r>
          <w:rPr>
            <w:rStyle w:val="Hipervnculo"/>
            <w:rFonts w:ascii="Segoe UI" w:hAnsi="Segoe UI" w:cs="Segoe UI"/>
            <w:color w:val="0089E1"/>
            <w:sz w:val="22"/>
            <w:shd w:val="clear" w:color="auto" w:fill="FFFFFF"/>
          </w:rPr>
          <w:t>714</w:t>
        </w:r>
      </w:hyperlink>
      <w:r>
        <w:rPr>
          <w:rFonts w:ascii="Segoe UI" w:hAnsi="Segoe UI" w:cs="Segoe UI"/>
          <w:color w:val="000000"/>
          <w:sz w:val="22"/>
          <w:shd w:val="clear" w:color="auto" w:fill="FFFFFF"/>
        </w:rPr>
        <w:t> del Estatuto Tributario, vigentes para la época. En efecto, cuando se solicita la devolución de un saldo a favor liquidado en una declaración privada, el inciso segundo del </w:t>
      </w:r>
      <w:hyperlink r:id="rId10" w:tooltip="Estatuto Tributario CETA" w:history="1">
        <w:r>
          <w:rPr>
            <w:rStyle w:val="Hipervnculo"/>
            <w:rFonts w:ascii="Segoe UI" w:hAnsi="Segoe UI" w:cs="Segoe UI"/>
            <w:color w:val="0089E1"/>
            <w:sz w:val="22"/>
            <w:shd w:val="clear" w:color="auto" w:fill="FFFFFF"/>
          </w:rPr>
          <w:t>artículo 714</w:t>
        </w:r>
      </w:hyperlink>
      <w:r>
        <w:rPr>
          <w:rFonts w:ascii="Segoe UI" w:hAnsi="Segoe UI" w:cs="Segoe UI"/>
          <w:color w:val="000000"/>
          <w:sz w:val="22"/>
          <w:shd w:val="clear" w:color="auto" w:fill="FFFFFF"/>
        </w:rPr>
        <w:t> amplía el plazo para que la Administración ejerza su facultad de revisión, pues el término de firmeza de dicha declaración será de dos años (actualmente de tres años, en virtud de la modificación de la Ley 2010 de 2019) contados a partir de la fecha de presentación de la solicitud de devolución. Todo lo cual evidencia que la ley tributaria, está estructurada en forma que la modificación de un saldo a favor sea efectuada a través de un procedimiento de determinación, lo que justamente puede desarrollar en el término de firmeza de la declaración. (…) En el caso concreto, la Sala observa que, en los actos demandados, la DIAN rechazó la devolución del saldo a favor por valor de $952.679.000, que hacía parte del saldo reflejado en la declaración de IVA del 3 bimestre de 2014, aduciendo que dicha suma correspondía a una imputación indebida del saldo a favor del 2 bimestre de 2013 al 3 bimestre del 2013. Conforme con lo anterior, observa la sala que el motivo de rechazo parcial de la solicitud de devolución del saldo a favor aducido por la DIAN en los actos administrativos demandados, no se encuentra comprendido en ninguna de las causales taxativas previstas en el </w:t>
      </w:r>
      <w:hyperlink r:id="rId11" w:tooltip="Estatuto Tributario CETA" w:history="1">
        <w:r>
          <w:rPr>
            <w:rStyle w:val="Hipervnculo"/>
            <w:rFonts w:ascii="Segoe UI" w:hAnsi="Segoe UI" w:cs="Segoe UI"/>
            <w:color w:val="0089E1"/>
            <w:sz w:val="22"/>
            <w:shd w:val="clear" w:color="auto" w:fill="FFFFFF"/>
          </w:rPr>
          <w:t>artículo 857</w:t>
        </w:r>
      </w:hyperlink>
      <w:r>
        <w:rPr>
          <w:rFonts w:ascii="Segoe UI" w:hAnsi="Segoe UI" w:cs="Segoe UI"/>
          <w:color w:val="000000"/>
          <w:sz w:val="22"/>
          <w:shd w:val="clear" w:color="auto" w:fill="FFFFFF"/>
        </w:rPr>
        <w:t> del Estatuto Tributario. El motivo de rechazo corresponde a un aspecto sustancial de la declaración del IVA del 3 bimestre del año 2014, que consistía en la improcedencia de parte del saldo a favor allí reflejado y que fue atribuido a la extemporaneidad de la corrección de la declaración de IVA del 3 bimestre de 2013. En otras palabras, el motivo de rechazo correspondió a un aspecto de fondo de la declaración que implicaba adelantar un proceso de determinación y concluirlo con un acto previo de determinación. Como se expuso anteriormente, al amparo del </w:t>
      </w:r>
      <w:hyperlink r:id="rId12" w:tooltip="Estatuto Tributario CETA" w:history="1">
        <w:r>
          <w:rPr>
            <w:rStyle w:val="Hipervnculo"/>
            <w:rFonts w:ascii="Segoe UI" w:hAnsi="Segoe UI" w:cs="Segoe UI"/>
            <w:color w:val="0089E1"/>
            <w:sz w:val="22"/>
            <w:shd w:val="clear" w:color="auto" w:fill="FFFFFF"/>
          </w:rPr>
          <w:t>artículo 857-1</w:t>
        </w:r>
      </w:hyperlink>
      <w:r>
        <w:rPr>
          <w:rFonts w:ascii="Segoe UI" w:hAnsi="Segoe UI" w:cs="Segoe UI"/>
          <w:color w:val="000000"/>
          <w:sz w:val="22"/>
          <w:shd w:val="clear" w:color="auto" w:fill="FFFFFF"/>
        </w:rPr>
        <w:t xml:space="preserve"> del Estatuto </w:t>
      </w:r>
      <w:r>
        <w:rPr>
          <w:rFonts w:ascii="Segoe UI" w:hAnsi="Segoe UI" w:cs="Segoe UI"/>
          <w:color w:val="000000"/>
          <w:sz w:val="22"/>
          <w:shd w:val="clear" w:color="auto" w:fill="FFFFFF"/>
        </w:rPr>
        <w:lastRenderedPageBreak/>
        <w:t>Tributario, la DIAN tenía la facultad para proferir requerimiento especial, si como resultado de la investigación determinaba la necesidad de modificar la declaración para disminuir el saldo a favor allí liquidado y luego proceder a la devolución del remanente del saldo a favor. En opinión de la Sala, con esta actuación, la Administración convirtió el trámite de devolución en un proceso de determinación oficial, lo cual no le está permitido, tal y como lo señaló esta Sección en la</w:t>
      </w:r>
    </w:p>
    <w:p w14:paraId="67B5B2DA" w14:textId="7031B8EE" w:rsidR="00F00582" w:rsidRPr="00F00582" w:rsidRDefault="00F00582" w:rsidP="00F00582">
      <w:pPr>
        <w:spacing w:after="0" w:line="240" w:lineRule="auto"/>
        <w:jc w:val="both"/>
        <w:rPr>
          <w:rFonts w:ascii="Segoe UI" w:hAnsi="Segoe UI" w:cs="Segoe UI"/>
          <w:color w:val="000000"/>
          <w:sz w:val="22"/>
          <w:shd w:val="clear" w:color="auto" w:fill="FFFFFF"/>
        </w:rPr>
      </w:pPr>
      <w:r>
        <w:rPr>
          <w:rFonts w:ascii="Segoe UI" w:hAnsi="Segoe UI" w:cs="Segoe UI"/>
          <w:color w:val="000000"/>
          <w:sz w:val="22"/>
          <w:shd w:val="clear" w:color="auto" w:fill="FFFFFF"/>
        </w:rPr>
        <w:t>Sentencia del 13 de marzo de 2008 (</w:t>
      </w:r>
      <w:proofErr w:type="spellStart"/>
      <w:r>
        <w:rPr>
          <w:rFonts w:ascii="Segoe UI" w:hAnsi="Segoe UI" w:cs="Segoe UI"/>
          <w:color w:val="000000"/>
          <w:sz w:val="22"/>
          <w:shd w:val="clear" w:color="auto" w:fill="FFFFFF"/>
        </w:rPr>
        <w:t>exp</w:t>
      </w:r>
      <w:proofErr w:type="spellEnd"/>
      <w:r>
        <w:rPr>
          <w:rFonts w:ascii="Segoe UI" w:hAnsi="Segoe UI" w:cs="Segoe UI"/>
          <w:color w:val="000000"/>
          <w:sz w:val="22"/>
          <w:shd w:val="clear" w:color="auto" w:fill="FFFFFF"/>
        </w:rPr>
        <w:t>. 16058 C.P. Ligia López Díaz). Se reitera que, si la demandada consideraba que el saldo a favor registrado por la apelante en la declaración del IVA del 3 bimestre del año 2014 era inexacto o irreal, al reflejar una imputación extemporánea de un saldo a favor originado en períodos anteriores, debió iniciar un proceso de determinación oficial. Lo anterior, comoquiera que mientras el saldo a favor registrado en un denuncio privado no sea desconocido o modificado por una liquidación oficial de revisión, este representa una obligación a cargo de la Administración Tributaria. En este punto, vale la pena aclarar que, contrario a lo mencionado por el </w:t>
      </w:r>
      <w:r>
        <w:rPr>
          <w:rFonts w:ascii="Segoe UI" w:hAnsi="Segoe UI" w:cs="Segoe UI"/>
          <w:i/>
          <w:iCs/>
          <w:color w:val="000000"/>
          <w:sz w:val="22"/>
          <w:shd w:val="clear" w:color="auto" w:fill="FFFFFF"/>
        </w:rPr>
        <w:t>a-quo</w:t>
      </w:r>
      <w:r>
        <w:rPr>
          <w:rFonts w:ascii="Segoe UI" w:hAnsi="Segoe UI" w:cs="Segoe UI"/>
          <w:color w:val="000000"/>
          <w:sz w:val="22"/>
          <w:shd w:val="clear" w:color="auto" w:fill="FFFFFF"/>
        </w:rPr>
        <w:t xml:space="preserve">, no es posible afirmar que la DIAN rechazó la solicitud de devolución en ejercicio de su facultad de revisión, al haber expedido un Emplazamiento para Corregir frente a la </w:t>
      </w:r>
      <w:proofErr w:type="spellStart"/>
      <w:r>
        <w:rPr>
          <w:rFonts w:ascii="Segoe UI" w:hAnsi="Segoe UI" w:cs="Segoe UI"/>
          <w:color w:val="000000"/>
          <w:sz w:val="22"/>
          <w:shd w:val="clear" w:color="auto" w:fill="FFFFFF"/>
        </w:rPr>
        <w:t>declaraciónque</w:t>
      </w:r>
      <w:proofErr w:type="spellEnd"/>
      <w:r>
        <w:rPr>
          <w:rFonts w:ascii="Segoe UI" w:hAnsi="Segoe UI" w:cs="Segoe UI"/>
          <w:color w:val="000000"/>
          <w:sz w:val="22"/>
          <w:shd w:val="clear" w:color="auto" w:fill="FFFFFF"/>
        </w:rPr>
        <w:t xml:space="preserve"> sustentó la solicitud de devolución. Ello, si se tiene en cuenta que el procedimiento de determinación oficial, a través del cual la Administración ejerce su facultad de revisión, únicamente inicia con la expedición de un requerimiento especial</w:t>
      </w:r>
      <w:r w:rsidRPr="00F00582">
        <w:rPr>
          <w:rFonts w:ascii="Segoe UI" w:eastAsia="Times New Roman" w:hAnsi="Segoe UI" w:cs="Segoe UI"/>
          <w:b/>
          <w:bCs/>
          <w:color w:val="0000FF"/>
          <w:sz w:val="28"/>
          <w:szCs w:val="28"/>
          <w:lang w:eastAsia="es-CO"/>
        </w:rPr>
        <w:br/>
      </w:r>
    </w:p>
    <w:p w14:paraId="417DAFA0" w14:textId="77777777" w:rsidR="00F00582" w:rsidRPr="00F00582" w:rsidRDefault="00F00582" w:rsidP="00F00582">
      <w:pPr>
        <w:spacing w:after="0" w:line="240" w:lineRule="auto"/>
        <w:jc w:val="both"/>
        <w:textAlignment w:val="baseline"/>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FUENTE FORMAL:</w:t>
      </w:r>
      <w:r w:rsidRPr="00F00582">
        <w:rPr>
          <w:rFonts w:ascii="Segoe UI" w:eastAsia="Times New Roman" w:hAnsi="Segoe UI" w:cs="Segoe UI"/>
          <w:color w:val="000000"/>
          <w:sz w:val="22"/>
          <w:lang w:eastAsia="es-CO"/>
        </w:rPr>
        <w:t> ESTATUTO TRIBUTARIO – </w:t>
      </w:r>
      <w:hyperlink r:id="rId13" w:tooltip="Estatuto Tributario CETA" w:history="1">
        <w:r w:rsidRPr="00F00582">
          <w:rPr>
            <w:rFonts w:ascii="Segoe UI" w:eastAsia="Times New Roman" w:hAnsi="Segoe UI" w:cs="Segoe UI"/>
            <w:color w:val="0089E1"/>
            <w:sz w:val="22"/>
            <w:u w:val="single"/>
            <w:lang w:eastAsia="es-CO"/>
          </w:rPr>
          <w:t>ARTÍCULO 850</w:t>
        </w:r>
      </w:hyperlink>
      <w:r w:rsidRPr="00F00582">
        <w:rPr>
          <w:rFonts w:ascii="Segoe UI" w:eastAsia="Times New Roman" w:hAnsi="Segoe UI" w:cs="Segoe UI"/>
          <w:color w:val="000000"/>
          <w:sz w:val="22"/>
          <w:lang w:eastAsia="es-CO"/>
        </w:rPr>
        <w:t> / ESTATUTO TRIBUTARIO – </w:t>
      </w:r>
      <w:hyperlink r:id="rId14" w:tooltip="Estatuto Tributario CETA" w:history="1">
        <w:r w:rsidRPr="00F00582">
          <w:rPr>
            <w:rFonts w:ascii="Segoe UI" w:eastAsia="Times New Roman" w:hAnsi="Segoe UI" w:cs="Segoe UI"/>
            <w:color w:val="0089E1"/>
            <w:sz w:val="22"/>
            <w:u w:val="single"/>
            <w:lang w:eastAsia="es-CO"/>
          </w:rPr>
          <w:t>ARTÍCULO 854</w:t>
        </w:r>
      </w:hyperlink>
      <w:r w:rsidRPr="00F00582">
        <w:rPr>
          <w:rFonts w:ascii="Segoe UI" w:eastAsia="Times New Roman" w:hAnsi="Segoe UI" w:cs="Segoe UI"/>
          <w:color w:val="000000"/>
          <w:sz w:val="22"/>
          <w:lang w:eastAsia="es-CO"/>
        </w:rPr>
        <w:t> / ESTATUTO TRIBUTARIO – </w:t>
      </w:r>
      <w:hyperlink r:id="rId15" w:tooltip="Estatuto Tributario CETA" w:history="1">
        <w:r w:rsidRPr="00F00582">
          <w:rPr>
            <w:rFonts w:ascii="Segoe UI" w:eastAsia="Times New Roman" w:hAnsi="Segoe UI" w:cs="Segoe UI"/>
            <w:color w:val="0089E1"/>
            <w:sz w:val="22"/>
            <w:u w:val="single"/>
            <w:lang w:eastAsia="es-CO"/>
          </w:rPr>
          <w:t>ARTÍCULO 857</w:t>
        </w:r>
      </w:hyperlink>
    </w:p>
    <w:p w14:paraId="0DC764D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575670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shd w:val="clear" w:color="auto" w:fill="FFFFFF"/>
          <w:lang w:eastAsia="es-CO"/>
        </w:rPr>
        <w:t>CONDENA EN COSTAS EN SEGUNDA INSTANCIA – Improcedencia por falta de prueba de su causación</w:t>
      </w:r>
    </w:p>
    <w:p w14:paraId="73FE2AD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78BF70BE" w14:textId="77777777" w:rsidR="00F00582" w:rsidRPr="00F00582" w:rsidRDefault="00F00582" w:rsidP="00F00582">
      <w:pPr>
        <w:spacing w:after="0" w:line="240" w:lineRule="auto"/>
        <w:jc w:val="both"/>
        <w:textAlignment w:val="baseline"/>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Finalmente, no se condenará en costas porque no obra elemento de prueba que demuestre las erogaciones por ese concepto, como lo exige para su procedencia el artículo 365 del Código General del Proceso, aplicable por disposición del artículo 188 del Código de Procedimiento Administrativo y Contencioso Administrativo.</w:t>
      </w:r>
    </w:p>
    <w:p w14:paraId="6355310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56465A5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FUENTE FORMAL: </w:t>
      </w:r>
      <w:r w:rsidRPr="00F00582">
        <w:rPr>
          <w:rFonts w:ascii="Segoe UI" w:eastAsia="Times New Roman" w:hAnsi="Segoe UI" w:cs="Segoe UI"/>
          <w:color w:val="000000"/>
          <w:sz w:val="22"/>
          <w:lang w:eastAsia="es-CO"/>
        </w:rPr>
        <w:t>LEY 1564 DE 2012 (CGP) – ARTÍCULO 365 NUMERAL 8 / LEY 1437 DE 2011 (CPACA) – ARTÍCULO 188</w:t>
      </w:r>
    </w:p>
    <w:p w14:paraId="6405A1E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44E2BBDB" w14:textId="77777777" w:rsidR="00F00582" w:rsidRDefault="00F00582" w:rsidP="00F00582">
      <w:pPr>
        <w:spacing w:after="0" w:line="240" w:lineRule="auto"/>
        <w:jc w:val="center"/>
        <w:rPr>
          <w:rFonts w:ascii="Segoe UI" w:eastAsia="Times New Roman" w:hAnsi="Segoe UI" w:cs="Segoe UI"/>
          <w:b/>
          <w:bCs/>
          <w:color w:val="0000FF"/>
          <w:sz w:val="28"/>
          <w:szCs w:val="28"/>
          <w:lang w:eastAsia="es-CO"/>
        </w:rPr>
      </w:pPr>
    </w:p>
    <w:p w14:paraId="685C58E6" w14:textId="549074EE"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CONSEJO DE ESTADO</w:t>
      </w:r>
    </w:p>
    <w:p w14:paraId="39CB5289"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SALA DE LO CONTENCIOSO ADMINISTRATIVO</w:t>
      </w:r>
    </w:p>
    <w:p w14:paraId="482A2996"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SECCIÓN CUARTA</w:t>
      </w:r>
    </w:p>
    <w:p w14:paraId="148A34D7"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 </w:t>
      </w:r>
    </w:p>
    <w:p w14:paraId="1519CB50"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Consejera ponente: MYRIAM STELLA GUTIÉRREZ ARGÜELLO</w:t>
      </w:r>
    </w:p>
    <w:p w14:paraId="1999802D"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Bogotá D.C., seis (6) de mayo de dos mil veintiuno (2021)</w:t>
      </w:r>
    </w:p>
    <w:p w14:paraId="30D6F618"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Radicación número: 47001-23-33-000-2018-00094-01(25239)</w:t>
      </w:r>
    </w:p>
    <w:p w14:paraId="41ABD5F4"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Actor: PALMACEITE S.A.</w:t>
      </w:r>
    </w:p>
    <w:p w14:paraId="783BC64E"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Demandado: DIRECCIÓN DE IMPUESTOS Y ADUANAS NACIONALES - DIAN</w:t>
      </w:r>
    </w:p>
    <w:p w14:paraId="2833A848"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 </w:t>
      </w:r>
    </w:p>
    <w:p w14:paraId="60CB9511"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FF"/>
          <w:sz w:val="28"/>
          <w:szCs w:val="28"/>
          <w:lang w:eastAsia="es-CO"/>
        </w:rPr>
        <w:t>FALLO</w:t>
      </w:r>
    </w:p>
    <w:p w14:paraId="7D228EE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31D0488C"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E7BF19D"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La Sala decide el recurso de apelación presentado por la parte demandante contra la sentencia del 12 de junio de 2019, proferida por el Tribunal Administrativo del Magdalena, que resolvió (fls.113-121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w:t>
      </w:r>
    </w:p>
    <w:p w14:paraId="13F0C3D8"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1695E49A" w14:textId="77777777" w:rsidR="00F00582" w:rsidRPr="00F00582" w:rsidRDefault="00F00582" w:rsidP="00F00582">
      <w:pPr>
        <w:shd w:val="clear" w:color="auto" w:fill="FFFFFF"/>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lastRenderedPageBreak/>
        <w:t>“</w:t>
      </w:r>
      <w:r w:rsidRPr="00F00582">
        <w:rPr>
          <w:rFonts w:ascii="Segoe UI" w:eastAsia="Times New Roman" w:hAnsi="Segoe UI" w:cs="Segoe UI"/>
          <w:b/>
          <w:bCs/>
          <w:i/>
          <w:iCs/>
          <w:color w:val="000000"/>
          <w:sz w:val="22"/>
          <w:lang w:eastAsia="es-CO"/>
        </w:rPr>
        <w:t>PRIMERO: DENEGAR</w:t>
      </w:r>
      <w:r w:rsidRPr="00F00582">
        <w:rPr>
          <w:rFonts w:ascii="Segoe UI" w:eastAsia="Times New Roman" w:hAnsi="Segoe UI" w:cs="Segoe UI"/>
          <w:i/>
          <w:iCs/>
          <w:color w:val="000000"/>
          <w:sz w:val="22"/>
          <w:lang w:eastAsia="es-CO"/>
        </w:rPr>
        <w:t> las súplicas de la demanda, de conformidad a las consideraciones expuestas en la parte motiva de la presente providencia.</w:t>
      </w:r>
    </w:p>
    <w:p w14:paraId="0F6FA517" w14:textId="77777777" w:rsidR="00F00582" w:rsidRPr="00F00582" w:rsidRDefault="00F00582" w:rsidP="00F00582">
      <w:pPr>
        <w:shd w:val="clear" w:color="auto" w:fill="FFFFFF"/>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491D1F39" w14:textId="77777777" w:rsidR="00F00582" w:rsidRPr="00F00582" w:rsidRDefault="00F00582" w:rsidP="00F00582">
      <w:pPr>
        <w:shd w:val="clear" w:color="auto" w:fill="FFFFFF"/>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SEGUNDO:</w:t>
      </w:r>
      <w:r w:rsidRPr="00F00582">
        <w:rPr>
          <w:rFonts w:ascii="Segoe UI" w:eastAsia="Times New Roman" w:hAnsi="Segoe UI" w:cs="Segoe UI"/>
          <w:i/>
          <w:iCs/>
          <w:color w:val="000000"/>
          <w:sz w:val="22"/>
          <w:lang w:eastAsia="es-CO"/>
        </w:rPr>
        <w:t> Sin condena en costas”.</w:t>
      </w:r>
    </w:p>
    <w:p w14:paraId="7D43AC9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28400EDE"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ANTECEDENTES DE LA ACTUACIÓN ADMINISTRATIVA</w:t>
      </w:r>
    </w:p>
    <w:p w14:paraId="3C872C8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8C4BEC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El 17 de julio de 2014, a través del formulario Nro. 3001603803673 y adhesivo Nro. 91000244487846, </w:t>
      </w:r>
      <w:proofErr w:type="spellStart"/>
      <w:r w:rsidRPr="00F00582">
        <w:rPr>
          <w:rFonts w:ascii="Segoe UI" w:eastAsia="Times New Roman" w:hAnsi="Segoe UI" w:cs="Segoe UI"/>
          <w:color w:val="000000"/>
          <w:sz w:val="22"/>
          <w:lang w:eastAsia="es-CO"/>
        </w:rPr>
        <w:t>Palmaceite</w:t>
      </w:r>
      <w:proofErr w:type="spellEnd"/>
      <w:r w:rsidRPr="00F00582">
        <w:rPr>
          <w:rFonts w:ascii="Segoe UI" w:eastAsia="Times New Roman" w:hAnsi="Segoe UI" w:cs="Segoe UI"/>
          <w:color w:val="000000"/>
          <w:sz w:val="22"/>
          <w:lang w:eastAsia="es-CO"/>
        </w:rPr>
        <w:t xml:space="preserve"> S.A. presentó la declaración del impuesto sobre las ventas correspondiente al 3 bimestre del año gravable 2014, en la que liquidó un saldo a favor de $1.961.924.000</w:t>
      </w:r>
      <w:bookmarkStart w:id="1" w:name="_ftnref1"/>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w:t>
      </w:r>
      <w:r w:rsidRPr="00F00582">
        <w:rPr>
          <w:rFonts w:ascii="Segoe UI" w:eastAsia="Times New Roman" w:hAnsi="Segoe UI" w:cs="Segoe UI"/>
          <w:color w:val="000000"/>
          <w:sz w:val="22"/>
          <w:lang w:eastAsia="es-CO"/>
        </w:rPr>
        <w:fldChar w:fldCharType="end"/>
      </w:r>
      <w:bookmarkEnd w:id="1"/>
      <w:r w:rsidRPr="00F00582">
        <w:rPr>
          <w:rFonts w:ascii="Segoe UI" w:eastAsia="Times New Roman" w:hAnsi="Segoe UI" w:cs="Segoe UI"/>
          <w:color w:val="000000"/>
          <w:sz w:val="22"/>
          <w:lang w:eastAsia="es-CO"/>
        </w:rPr>
        <w:t>. Esto corresponde al soporte documental que obra en el expediente, sin embargo, en la demanda se señala que el saldo a favor inicial era de $1.009.245.000 y que posteriormente fue objeto de corrección.</w:t>
      </w:r>
    </w:p>
    <w:p w14:paraId="1ED8339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740B48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El 21 de agosto de 2015</w:t>
      </w:r>
      <w:bookmarkStart w:id="2" w:name="_ftnref2"/>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"_ftn2"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[2]</w:t>
      </w:r>
      <w:r w:rsidRPr="00F00582">
        <w:rPr>
          <w:rFonts w:ascii="Segoe UI" w:eastAsia="Times New Roman" w:hAnsi="Segoe UI" w:cs="Segoe UI"/>
          <w:color w:val="000000"/>
          <w:sz w:val="22"/>
          <w:lang w:eastAsia="es-CO"/>
        </w:rPr>
        <w:fldChar w:fldCharType="end"/>
      </w:r>
      <w:bookmarkEnd w:id="2"/>
      <w:r w:rsidRPr="00F00582">
        <w:rPr>
          <w:rFonts w:ascii="Segoe UI" w:eastAsia="Times New Roman" w:hAnsi="Segoe UI" w:cs="Segoe UI"/>
          <w:color w:val="000000"/>
          <w:sz w:val="22"/>
          <w:lang w:eastAsia="es-CO"/>
        </w:rPr>
        <w:t>, la demandante corrigió la declaración del 3 bimestre del año 2014, sin modificar el saldo a favor inicialmente declarado</w:t>
      </w:r>
      <w:bookmarkStart w:id="3" w:name="_ftnref3"/>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"_ftn3"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[3]</w:t>
      </w:r>
      <w:r w:rsidRPr="00F00582">
        <w:rPr>
          <w:rFonts w:ascii="Segoe UI" w:eastAsia="Times New Roman" w:hAnsi="Segoe UI" w:cs="Segoe UI"/>
          <w:color w:val="000000"/>
          <w:sz w:val="22"/>
          <w:lang w:eastAsia="es-CO"/>
        </w:rPr>
        <w:fldChar w:fldCharType="end"/>
      </w:r>
      <w:bookmarkEnd w:id="3"/>
      <w:r w:rsidRPr="00F00582">
        <w:rPr>
          <w:rFonts w:ascii="Segoe UI" w:eastAsia="Times New Roman" w:hAnsi="Segoe UI" w:cs="Segoe UI"/>
          <w:color w:val="000000"/>
          <w:sz w:val="22"/>
          <w:lang w:eastAsia="es-CO"/>
        </w:rPr>
        <w:t>.</w:t>
      </w:r>
    </w:p>
    <w:p w14:paraId="385B46A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0B1A4A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la misma fecha, se corrigió la declaración del impuesto sobre las ventas del 3 bimestre del año 2013, formulario Nro. 3009610708687 y adhesivo Nro. 91000309495709</w:t>
      </w:r>
      <w:bookmarkStart w:id="4" w:name="_ftnref4"/>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"_ftn4"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[4]</w:t>
      </w:r>
      <w:r w:rsidRPr="00F00582">
        <w:rPr>
          <w:rFonts w:ascii="Segoe UI" w:eastAsia="Times New Roman" w:hAnsi="Segoe UI" w:cs="Segoe UI"/>
          <w:color w:val="000000"/>
          <w:sz w:val="22"/>
          <w:lang w:eastAsia="es-CO"/>
        </w:rPr>
        <w:fldChar w:fldCharType="end"/>
      </w:r>
      <w:bookmarkEnd w:id="4"/>
      <w:r w:rsidRPr="00F00582">
        <w:rPr>
          <w:rFonts w:ascii="Segoe UI" w:eastAsia="Times New Roman" w:hAnsi="Segoe UI" w:cs="Segoe UI"/>
          <w:color w:val="000000"/>
          <w:sz w:val="22"/>
          <w:lang w:eastAsia="es-CO"/>
        </w:rPr>
        <w:t>. En dicho formulario aparece la anotación Correcciones Ley 962 de 2005. A través de esta corrección se imputó el saldo a favor por valor de $952.679.000, que se había originado en la declaración del bimestre inmediatamente anterior, es decir, en el 2 bimestre del año 2013</w:t>
      </w:r>
      <w:bookmarkStart w:id="5" w:name="_ftnref5"/>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"_ftn5"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[5]</w:t>
      </w:r>
      <w:r w:rsidRPr="00F00582">
        <w:rPr>
          <w:rFonts w:ascii="Segoe UI" w:eastAsia="Times New Roman" w:hAnsi="Segoe UI" w:cs="Segoe UI"/>
          <w:color w:val="000000"/>
          <w:sz w:val="22"/>
          <w:lang w:eastAsia="es-CO"/>
        </w:rPr>
        <w:fldChar w:fldCharType="end"/>
      </w:r>
      <w:bookmarkEnd w:id="5"/>
      <w:r w:rsidRPr="00F00582">
        <w:rPr>
          <w:rFonts w:ascii="Segoe UI" w:eastAsia="Times New Roman" w:hAnsi="Segoe UI" w:cs="Segoe UI"/>
          <w:color w:val="000000"/>
          <w:sz w:val="22"/>
          <w:lang w:eastAsia="es-CO"/>
        </w:rPr>
        <w:t>. Sostiene la demandante que esta corrección fue realizada por la DIAN </w:t>
      </w:r>
      <w:r w:rsidRPr="00F00582">
        <w:rPr>
          <w:rFonts w:ascii="Segoe UI" w:eastAsia="Times New Roman" w:hAnsi="Segoe UI" w:cs="Segoe UI"/>
          <w:i/>
          <w:iCs/>
          <w:color w:val="000000"/>
          <w:sz w:val="22"/>
          <w:lang w:eastAsia="es-CO"/>
        </w:rPr>
        <w:t>«de oficio».</w:t>
      </w:r>
    </w:p>
    <w:p w14:paraId="5A06281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93C74D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Con fundamento en la declaración de IVA, 3 bimestre de 2014, la actora presentó solicitud de devolución por valor de $1.961.924.000, ante la Dirección Seccional de Impuestos y Aduanas de Santa Marta, el 9 de junio de 2016</w:t>
      </w:r>
      <w:bookmarkStart w:id="6" w:name="_ftnref6"/>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"_ftn6"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[6]</w:t>
      </w:r>
      <w:r w:rsidRPr="00F00582">
        <w:rPr>
          <w:rFonts w:ascii="Segoe UI" w:eastAsia="Times New Roman" w:hAnsi="Segoe UI" w:cs="Segoe UI"/>
          <w:color w:val="000000"/>
          <w:sz w:val="22"/>
          <w:lang w:eastAsia="es-CO"/>
        </w:rPr>
        <w:fldChar w:fldCharType="end"/>
      </w:r>
      <w:bookmarkEnd w:id="6"/>
      <w:r w:rsidRPr="00F00582">
        <w:rPr>
          <w:rFonts w:ascii="Segoe UI" w:eastAsia="Times New Roman" w:hAnsi="Segoe UI" w:cs="Segoe UI"/>
          <w:color w:val="000000"/>
          <w:sz w:val="22"/>
          <w:lang w:eastAsia="es-CO"/>
        </w:rPr>
        <w:t>, el cual incorporaba el saldo a favor por valor de $952.679.000, que hacía parte del saldo a favor de las declaraciones de bimestres anteriores, obrantes en el proceso, los cuales venían siendo objeto de imputación.</w:t>
      </w:r>
    </w:p>
    <w:p w14:paraId="5F5A187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E69835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Por medio del auto de apertura Nro. 192382016000312 del 27 de junio de 2016</w:t>
      </w:r>
      <w:bookmarkStart w:id="7" w:name="_ftnref7"/>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"_ftn7"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[7]</w:t>
      </w:r>
      <w:r w:rsidRPr="00F00582">
        <w:rPr>
          <w:rFonts w:ascii="Segoe UI" w:eastAsia="Times New Roman" w:hAnsi="Segoe UI" w:cs="Segoe UI"/>
          <w:color w:val="000000"/>
          <w:sz w:val="22"/>
          <w:lang w:eastAsia="es-CO"/>
        </w:rPr>
        <w:fldChar w:fldCharType="end"/>
      </w:r>
      <w:bookmarkEnd w:id="7"/>
      <w:r w:rsidRPr="00F00582">
        <w:rPr>
          <w:rFonts w:ascii="Segoe UI" w:eastAsia="Times New Roman" w:hAnsi="Segoe UI" w:cs="Segoe UI"/>
          <w:color w:val="000000"/>
          <w:sz w:val="22"/>
          <w:lang w:eastAsia="es-CO"/>
        </w:rPr>
        <w:t>, la Dirección Seccional de Impuestos y Aduanas de Santa Marta abrió investigación a la demandante, con el fin de verificar la existencia del saldo a favor solicitado en devolución.</w:t>
      </w:r>
    </w:p>
    <w:p w14:paraId="50DF9E7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DCEB4C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El 5 de agosto de 2016, mediante auto de suspensión de términos Nro. 12218000013648</w:t>
      </w:r>
      <w:bookmarkStart w:id="8" w:name="_ftnref8"/>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"_ftn8"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[8]</w:t>
      </w:r>
      <w:r w:rsidRPr="00F00582">
        <w:rPr>
          <w:rFonts w:ascii="Segoe UI" w:eastAsia="Times New Roman" w:hAnsi="Segoe UI" w:cs="Segoe UI"/>
          <w:color w:val="000000"/>
          <w:sz w:val="22"/>
          <w:lang w:eastAsia="es-CO"/>
        </w:rPr>
        <w:fldChar w:fldCharType="end"/>
      </w:r>
      <w:bookmarkEnd w:id="8"/>
      <w:r w:rsidRPr="00F00582">
        <w:rPr>
          <w:rFonts w:ascii="Segoe UI" w:eastAsia="Times New Roman" w:hAnsi="Segoe UI" w:cs="Segoe UI"/>
          <w:color w:val="000000"/>
          <w:sz w:val="22"/>
          <w:lang w:eastAsia="es-CO"/>
        </w:rPr>
        <w:t>, la DIAN suspendió hasta por 90 días el trámite de devolución por la causal prevista en el numeral 3 del </w:t>
      </w:r>
      <w:hyperlink r:id="rId16"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del Estatuto Tributario y ordenó a la división de fiscalización adelantar una investigación. Acto seguido, mediante auto del 11 de agosto de 2016</w:t>
      </w:r>
      <w:bookmarkStart w:id="9" w:name="_ftnref9"/>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"_ftn9"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[9]</w:t>
      </w:r>
      <w:r w:rsidRPr="00F00582">
        <w:rPr>
          <w:rFonts w:ascii="Segoe UI" w:eastAsia="Times New Roman" w:hAnsi="Segoe UI" w:cs="Segoe UI"/>
          <w:color w:val="000000"/>
          <w:sz w:val="22"/>
          <w:lang w:eastAsia="es-CO"/>
        </w:rPr>
        <w:fldChar w:fldCharType="end"/>
      </w:r>
      <w:bookmarkEnd w:id="9"/>
      <w:r w:rsidRPr="00F00582">
        <w:rPr>
          <w:rFonts w:ascii="Segoe UI" w:eastAsia="Times New Roman" w:hAnsi="Segoe UI" w:cs="Segoe UI"/>
          <w:color w:val="000000"/>
          <w:sz w:val="22"/>
          <w:lang w:eastAsia="es-CO"/>
        </w:rPr>
        <w:t>, se archivó el expediente y se ordenó su traslado a otro programa.</w:t>
      </w:r>
    </w:p>
    <w:p w14:paraId="6DFA6B6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AF6DC8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En ejecución de lo anterior, la división de fiscalización </w:t>
      </w:r>
      <w:proofErr w:type="spellStart"/>
      <w:r w:rsidRPr="00F00582">
        <w:rPr>
          <w:rFonts w:ascii="Segoe UI" w:eastAsia="Times New Roman" w:hAnsi="Segoe UI" w:cs="Segoe UI"/>
          <w:color w:val="000000"/>
          <w:sz w:val="22"/>
          <w:lang w:eastAsia="es-CO"/>
        </w:rPr>
        <w:t>aperturó</w:t>
      </w:r>
      <w:proofErr w:type="spellEnd"/>
      <w:r w:rsidRPr="00F00582">
        <w:rPr>
          <w:rFonts w:ascii="Segoe UI" w:eastAsia="Times New Roman" w:hAnsi="Segoe UI" w:cs="Segoe UI"/>
          <w:color w:val="000000"/>
          <w:sz w:val="22"/>
          <w:lang w:eastAsia="es-CO"/>
        </w:rPr>
        <w:t xml:space="preserve"> la investigación, mediante auto del 11 de agosto de 2016</w:t>
      </w:r>
      <w:bookmarkStart w:id="10" w:name="_ftnref10"/>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"_ftn10"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[10]</w:t>
      </w:r>
      <w:r w:rsidRPr="00F00582">
        <w:rPr>
          <w:rFonts w:ascii="Segoe UI" w:eastAsia="Times New Roman" w:hAnsi="Segoe UI" w:cs="Segoe UI"/>
          <w:color w:val="000000"/>
          <w:sz w:val="22"/>
          <w:lang w:eastAsia="es-CO"/>
        </w:rPr>
        <w:fldChar w:fldCharType="end"/>
      </w:r>
      <w:bookmarkEnd w:id="10"/>
      <w:r w:rsidRPr="00F00582">
        <w:rPr>
          <w:rFonts w:ascii="Segoe UI" w:eastAsia="Times New Roman" w:hAnsi="Segoe UI" w:cs="Segoe UI"/>
          <w:color w:val="000000"/>
          <w:sz w:val="22"/>
          <w:lang w:eastAsia="es-CO"/>
        </w:rPr>
        <w:t> y expediente Nro. 2014-2016-000366. En desarrollo de esa investigación, la Administración decretó inspecciones, contable y tributaria</w:t>
      </w:r>
      <w:bookmarkStart w:id="11" w:name="_ftnref11"/>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"_ftn11"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[11]</w:t>
      </w:r>
      <w:r w:rsidRPr="00F00582">
        <w:rPr>
          <w:rFonts w:ascii="Segoe UI" w:eastAsia="Times New Roman" w:hAnsi="Segoe UI" w:cs="Segoe UI"/>
          <w:color w:val="000000"/>
          <w:sz w:val="22"/>
          <w:lang w:eastAsia="es-CO"/>
        </w:rPr>
        <w:fldChar w:fldCharType="end"/>
      </w:r>
      <w:bookmarkEnd w:id="11"/>
      <w:r w:rsidRPr="00F00582">
        <w:rPr>
          <w:rFonts w:ascii="Segoe UI" w:eastAsia="Times New Roman" w:hAnsi="Segoe UI" w:cs="Segoe UI"/>
          <w:color w:val="000000"/>
          <w:sz w:val="22"/>
          <w:lang w:eastAsia="es-CO"/>
        </w:rPr>
        <w:t>, y expidió el Emplazamiento para Corregir Nro. 192382016000030 del 16 de septiembre de 2016 respecto de la declaración del IVA del 3 bimestre del año 2014</w:t>
      </w:r>
      <w:bookmarkStart w:id="12" w:name="_ftnref12"/>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"_ftn12"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[12]</w:t>
      </w:r>
      <w:r w:rsidRPr="00F00582">
        <w:rPr>
          <w:rFonts w:ascii="Segoe UI" w:eastAsia="Times New Roman" w:hAnsi="Segoe UI" w:cs="Segoe UI"/>
          <w:color w:val="000000"/>
          <w:sz w:val="22"/>
          <w:lang w:eastAsia="es-CO"/>
        </w:rPr>
        <w:fldChar w:fldCharType="end"/>
      </w:r>
      <w:bookmarkEnd w:id="12"/>
      <w:r w:rsidRPr="00F00582">
        <w:rPr>
          <w:rFonts w:ascii="Segoe UI" w:eastAsia="Times New Roman" w:hAnsi="Segoe UI" w:cs="Segoe UI"/>
          <w:color w:val="000000"/>
          <w:sz w:val="22"/>
          <w:lang w:eastAsia="es-CO"/>
        </w:rPr>
        <w:t>, aduciendo que el saldo a favor reflejado en la citada declaración, se derivaba de la imputación extemporánea del saldo a favor originado en la declaración del 2 bimestre del año gravable 2013, a la declaración del tercer bimestre de 2013.</w:t>
      </w:r>
    </w:p>
    <w:p w14:paraId="2B76206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DC5B33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El 20 de octubre de 2016, la actora respondió el emplazamiento para corregir y se opuso a la corrección propuesta</w:t>
      </w:r>
      <w:bookmarkStart w:id="13" w:name="_ftnref13"/>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"_ftn13"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[13]</w:t>
      </w:r>
      <w:r w:rsidRPr="00F00582">
        <w:rPr>
          <w:rFonts w:ascii="Segoe UI" w:eastAsia="Times New Roman" w:hAnsi="Segoe UI" w:cs="Segoe UI"/>
          <w:color w:val="000000"/>
          <w:sz w:val="22"/>
          <w:lang w:eastAsia="es-CO"/>
        </w:rPr>
        <w:fldChar w:fldCharType="end"/>
      </w:r>
      <w:bookmarkEnd w:id="13"/>
      <w:r w:rsidRPr="00F00582">
        <w:rPr>
          <w:rFonts w:ascii="Segoe UI" w:eastAsia="Times New Roman" w:hAnsi="Segoe UI" w:cs="Segoe UI"/>
          <w:color w:val="000000"/>
          <w:sz w:val="22"/>
          <w:lang w:eastAsia="es-CO"/>
        </w:rPr>
        <w:t>.</w:t>
      </w:r>
    </w:p>
    <w:p w14:paraId="5479D7E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15C309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 través del formulario 1103 (control y soporte de modificaciones) Nro. 11036437087714, con fecha de acuse de recibo del 30 de noviembre de 2016, la DIAN efectuó </w:t>
      </w:r>
      <w:r w:rsidRPr="00F00582">
        <w:rPr>
          <w:rFonts w:ascii="Segoe UI" w:eastAsia="Times New Roman" w:hAnsi="Segoe UI" w:cs="Segoe UI"/>
          <w:color w:val="000000"/>
          <w:sz w:val="22"/>
          <w:shd w:val="clear" w:color="auto" w:fill="FFFFFF"/>
          <w:lang w:eastAsia="es-CO"/>
        </w:rPr>
        <w:t>“</w:t>
      </w:r>
      <w:r w:rsidRPr="00F00582">
        <w:rPr>
          <w:rFonts w:ascii="Segoe UI" w:eastAsia="Times New Roman" w:hAnsi="Segoe UI" w:cs="Segoe UI"/>
          <w:i/>
          <w:iCs/>
          <w:color w:val="000000"/>
          <w:sz w:val="22"/>
          <w:lang w:eastAsia="es-CO"/>
        </w:rPr>
        <w:t>reversión ajuste de la declaración” </w:t>
      </w:r>
      <w:r w:rsidRPr="00F00582">
        <w:rPr>
          <w:rFonts w:ascii="Segoe UI" w:eastAsia="Times New Roman" w:hAnsi="Segoe UI" w:cs="Segoe UI"/>
          <w:color w:val="000000"/>
          <w:sz w:val="22"/>
          <w:lang w:eastAsia="es-CO"/>
        </w:rPr>
        <w:t>de corrección del 3 bimestre de 2013 a la cual se había imputado el saldo a favor por $952.679.000 generado en la declaración del 2 bimestre del año 2013</w:t>
      </w:r>
      <w:bookmarkStart w:id="14" w:name="_ftnref14"/>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"_ftn14"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[14]</w:t>
      </w:r>
      <w:r w:rsidRPr="00F00582">
        <w:rPr>
          <w:rFonts w:ascii="Segoe UI" w:eastAsia="Times New Roman" w:hAnsi="Segoe UI" w:cs="Segoe UI"/>
          <w:color w:val="000000"/>
          <w:sz w:val="22"/>
          <w:lang w:eastAsia="es-CO"/>
        </w:rPr>
        <w:fldChar w:fldCharType="end"/>
      </w:r>
      <w:bookmarkEnd w:id="14"/>
      <w:r w:rsidRPr="00F00582">
        <w:rPr>
          <w:rFonts w:ascii="Segoe UI" w:eastAsia="Times New Roman" w:hAnsi="Segoe UI" w:cs="Segoe UI"/>
          <w:color w:val="000000"/>
          <w:sz w:val="22"/>
          <w:lang w:eastAsia="es-CO"/>
        </w:rPr>
        <w:t>.</w:t>
      </w:r>
    </w:p>
    <w:p w14:paraId="28C1579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lastRenderedPageBreak/>
        <w:t> </w:t>
      </w:r>
    </w:p>
    <w:p w14:paraId="1C49246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El 5 de diciembre de 2016, por medio de la Resolución de Devolución y Compensación COD 6282 Nro. 00292, la Administración rechazó parcialmente la solicitud de devolución de saldo a favor por concepto de IVA correspondiente al tercer bimestre del año 2014 por valor de $952.679.000 y ordenó devolver la suma de $1.009.245.000 a favor de la contribuyente, por considerar que </w:t>
      </w:r>
      <w:r w:rsidRPr="00F00582">
        <w:rPr>
          <w:rFonts w:ascii="Segoe UI" w:eastAsia="Times New Roman" w:hAnsi="Segoe UI" w:cs="Segoe UI"/>
          <w:i/>
          <w:iCs/>
          <w:color w:val="000000"/>
          <w:sz w:val="22"/>
          <w:lang w:eastAsia="es-CO"/>
        </w:rPr>
        <w:t>el arrastre del saldo a favor de la declaración de IVA, del 2 bimestre de 2013 al 3 bimestre de 2013, fue efectuada de forma extemporánea</w:t>
      </w:r>
      <w:bookmarkStart w:id="15" w:name="_ftnref15"/>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"_ftn15"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[15]</w:t>
      </w:r>
      <w:r w:rsidRPr="00F00582">
        <w:rPr>
          <w:rFonts w:ascii="Segoe UI" w:eastAsia="Times New Roman" w:hAnsi="Segoe UI" w:cs="Segoe UI"/>
          <w:color w:val="000000"/>
          <w:sz w:val="22"/>
          <w:lang w:eastAsia="es-CO"/>
        </w:rPr>
        <w:fldChar w:fldCharType="end"/>
      </w:r>
      <w:bookmarkEnd w:id="15"/>
      <w:r w:rsidRPr="00F00582">
        <w:rPr>
          <w:rFonts w:ascii="Segoe UI" w:eastAsia="Times New Roman" w:hAnsi="Segoe UI" w:cs="Segoe UI"/>
          <w:color w:val="000000"/>
          <w:sz w:val="22"/>
          <w:lang w:eastAsia="es-CO"/>
        </w:rPr>
        <w:t>.</w:t>
      </w:r>
    </w:p>
    <w:p w14:paraId="3D073FC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5A2617B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El 1 de febrero de 2017, </w:t>
      </w:r>
      <w:proofErr w:type="spellStart"/>
      <w:r w:rsidRPr="00F00582">
        <w:rPr>
          <w:rFonts w:ascii="Segoe UI" w:eastAsia="Times New Roman" w:hAnsi="Segoe UI" w:cs="Segoe UI"/>
          <w:color w:val="000000"/>
          <w:sz w:val="22"/>
          <w:lang w:eastAsia="es-CO"/>
        </w:rPr>
        <w:t>Palmaceite</w:t>
      </w:r>
      <w:proofErr w:type="spellEnd"/>
      <w:r w:rsidRPr="00F00582">
        <w:rPr>
          <w:rFonts w:ascii="Segoe UI" w:eastAsia="Times New Roman" w:hAnsi="Segoe UI" w:cs="Segoe UI"/>
          <w:color w:val="000000"/>
          <w:sz w:val="22"/>
          <w:lang w:eastAsia="es-CO"/>
        </w:rPr>
        <w:t xml:space="preserve"> S.A. presentó recurso de reconsideración en contra de ese acto administrativo</w:t>
      </w:r>
      <w:bookmarkStart w:id="16" w:name="_ftnref16"/>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"_ftn16"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[16]</w:t>
      </w:r>
      <w:r w:rsidRPr="00F00582">
        <w:rPr>
          <w:rFonts w:ascii="Segoe UI" w:eastAsia="Times New Roman" w:hAnsi="Segoe UI" w:cs="Segoe UI"/>
          <w:color w:val="000000"/>
          <w:sz w:val="22"/>
          <w:lang w:eastAsia="es-CO"/>
        </w:rPr>
        <w:fldChar w:fldCharType="end"/>
      </w:r>
      <w:bookmarkEnd w:id="16"/>
      <w:r w:rsidRPr="00F00582">
        <w:rPr>
          <w:rFonts w:ascii="Segoe UI" w:eastAsia="Times New Roman" w:hAnsi="Segoe UI" w:cs="Segoe UI"/>
          <w:color w:val="000000"/>
          <w:sz w:val="22"/>
          <w:lang w:eastAsia="es-CO"/>
        </w:rPr>
        <w:t>. Mediante la Resolución Nro. 009028 del 17 de noviembre de 2017, la Subdirección de Gestión de Recursos Jurídicos confirmó la Resolución Nro. 00292 del 5 de diciembre de 2016 que rechazó parcialmente el saldo a favor</w:t>
      </w:r>
    </w:p>
    <w:p w14:paraId="2EC71EAA" w14:textId="77777777" w:rsidR="00F00582" w:rsidRDefault="00F00582" w:rsidP="00F00582">
      <w:pPr>
        <w:spacing w:after="0" w:line="240" w:lineRule="auto"/>
        <w:jc w:val="both"/>
        <w:rPr>
          <w:rFonts w:ascii="Segoe UI" w:eastAsia="Times New Roman" w:hAnsi="Segoe UI" w:cs="Segoe UI"/>
          <w:b/>
          <w:bCs/>
          <w:color w:val="000000"/>
          <w:sz w:val="22"/>
          <w:lang w:eastAsia="es-CO"/>
        </w:rPr>
      </w:pPr>
    </w:p>
    <w:p w14:paraId="45BED5AD" w14:textId="77777777" w:rsidR="00F00582" w:rsidRDefault="00F00582" w:rsidP="00F00582">
      <w:pPr>
        <w:spacing w:after="0" w:line="240" w:lineRule="auto"/>
        <w:jc w:val="center"/>
        <w:rPr>
          <w:rFonts w:ascii="Segoe UI" w:eastAsia="Times New Roman" w:hAnsi="Segoe UI" w:cs="Segoe UI"/>
          <w:b/>
          <w:bCs/>
          <w:color w:val="000000"/>
          <w:sz w:val="22"/>
          <w:lang w:eastAsia="es-CO"/>
        </w:rPr>
      </w:pPr>
    </w:p>
    <w:p w14:paraId="4BB1715C" w14:textId="77777777" w:rsidR="00F00582" w:rsidRDefault="00F00582" w:rsidP="00F00582">
      <w:pPr>
        <w:spacing w:after="0" w:line="240" w:lineRule="auto"/>
        <w:jc w:val="center"/>
        <w:rPr>
          <w:rFonts w:ascii="Segoe UI" w:eastAsia="Times New Roman" w:hAnsi="Segoe UI" w:cs="Segoe UI"/>
          <w:b/>
          <w:bCs/>
          <w:color w:val="000000"/>
          <w:sz w:val="22"/>
          <w:lang w:eastAsia="es-CO"/>
        </w:rPr>
      </w:pPr>
    </w:p>
    <w:p w14:paraId="5767C062" w14:textId="45182E35"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ANTECEDENTES PROCESALES</w:t>
      </w:r>
    </w:p>
    <w:p w14:paraId="424C5B5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065946D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Demanda</w:t>
      </w:r>
    </w:p>
    <w:p w14:paraId="29FE7F7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36CD34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ejercicio del medio de control de nulidad y restablecimiento del derecho previsto en el artículo 138 del Código de Procedimiento Administrativo y de lo Contencioso Administrativo (CPACA, Ley 1437 de 2011), la demandante formuló las siguientes pretensiones (</w:t>
      </w:r>
      <w:proofErr w:type="spellStart"/>
      <w:r w:rsidRPr="00F00582">
        <w:rPr>
          <w:rFonts w:ascii="Segoe UI" w:eastAsia="Times New Roman" w:hAnsi="Segoe UI" w:cs="Segoe UI"/>
          <w:color w:val="000000"/>
          <w:sz w:val="22"/>
          <w:lang w:eastAsia="es-CO"/>
        </w:rPr>
        <w:t>fl</w:t>
      </w:r>
      <w:proofErr w:type="spellEnd"/>
      <w:r w:rsidRPr="00F00582">
        <w:rPr>
          <w:rFonts w:ascii="Segoe UI" w:eastAsia="Times New Roman" w:hAnsi="Segoe UI" w:cs="Segoe UI"/>
          <w:color w:val="000000"/>
          <w:sz w:val="22"/>
          <w:lang w:eastAsia="es-CO"/>
        </w:rPr>
        <w:t xml:space="preserve">. 2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w:t>
      </w:r>
    </w:p>
    <w:p w14:paraId="20F1CC2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77316541"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“El acto administrativo cuya nulidad se demanda, es:</w:t>
      </w:r>
    </w:p>
    <w:p w14:paraId="3D066932"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39FE834C"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(1) Resolución No. 628200292</w:t>
      </w:r>
      <w:r w:rsidRPr="00F00582">
        <w:rPr>
          <w:rFonts w:ascii="Segoe UI" w:eastAsia="Times New Roman" w:hAnsi="Segoe UI" w:cs="Segoe UI"/>
          <w:i/>
          <w:iCs/>
          <w:color w:val="000000"/>
          <w:sz w:val="22"/>
          <w:lang w:eastAsia="es-CO"/>
        </w:rPr>
        <w:t> del 5 de diciembre de 2016, emitida por la División de Gestión de Recaudo y Cobranzas de la Dirección Seccional de Impuestos y Aduanas de Santa Marta, por medio de la cual se rechaza la suma de $ 952.679.000, del total del saldo a favor solicitado en devolución generado en la declaración de IVA, bimestre 3 año gravable 2014.</w:t>
      </w:r>
    </w:p>
    <w:p w14:paraId="73FFD62B"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38C82E7A"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(2) Resolución No. 09028</w:t>
      </w:r>
      <w:r w:rsidRPr="00F00582">
        <w:rPr>
          <w:rFonts w:ascii="Segoe UI" w:eastAsia="Times New Roman" w:hAnsi="Segoe UI" w:cs="Segoe UI"/>
          <w:i/>
          <w:iCs/>
          <w:color w:val="000000"/>
          <w:sz w:val="22"/>
          <w:lang w:eastAsia="es-CO"/>
        </w:rPr>
        <w:t> (sic) del 17 de noviembre de 2017, proferida por la Subdirección de Gestión de Recursos Jurídicos de la Dirección de Impuestos y Aduanas Nacionales, por medio de la cual se resuelve el recurso de reconsideración interpuesto en contra de la Resolución No. 628200292 de 2016, proferida por la División de Gestión de Recaudo y Cobranzas de la Dirección Seccional de Impuestos y Aduanas de Santa Marta.</w:t>
      </w:r>
    </w:p>
    <w:p w14:paraId="72ABC5B9"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42CD4E61"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A título de restablecimiento del derecho solicito se decrete lo siguiente:</w:t>
      </w:r>
    </w:p>
    <w:p w14:paraId="5944C8F6"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3EDE6A85"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Primero:</w:t>
      </w:r>
      <w:r w:rsidRPr="00F00582">
        <w:rPr>
          <w:rFonts w:ascii="Segoe UI" w:eastAsia="Times New Roman" w:hAnsi="Segoe UI" w:cs="Segoe UI"/>
          <w:i/>
          <w:iCs/>
          <w:color w:val="000000"/>
          <w:sz w:val="22"/>
          <w:lang w:eastAsia="es-CO"/>
        </w:rPr>
        <w:t> la devolución del saldo a favor generado en la declaración del impuesto sobre las ventas del año gravable 2014, período 3, por valor de $ 952.679.000</w:t>
      </w:r>
    </w:p>
    <w:p w14:paraId="75A95265"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7BCAE3F9"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Segundo:</w:t>
      </w:r>
      <w:r w:rsidRPr="00F00582">
        <w:rPr>
          <w:rFonts w:ascii="Segoe UI" w:eastAsia="Times New Roman" w:hAnsi="Segoe UI" w:cs="Segoe UI"/>
          <w:i/>
          <w:iCs/>
          <w:color w:val="000000"/>
          <w:sz w:val="22"/>
          <w:lang w:eastAsia="es-CO"/>
        </w:rPr>
        <w:t> el reconocimiento de intereses en los términos del </w:t>
      </w:r>
      <w:hyperlink r:id="rId17" w:tooltip="Estatuto Tributario CETA" w:history="1">
        <w:r w:rsidRPr="00F00582">
          <w:rPr>
            <w:rFonts w:ascii="Segoe UI" w:eastAsia="Times New Roman" w:hAnsi="Segoe UI" w:cs="Segoe UI"/>
            <w:i/>
            <w:iCs/>
            <w:color w:val="0089E1"/>
            <w:sz w:val="22"/>
            <w:u w:val="single"/>
            <w:lang w:eastAsia="es-CO"/>
          </w:rPr>
          <w:t>artículo 863</w:t>
        </w:r>
      </w:hyperlink>
      <w:r w:rsidRPr="00F00582">
        <w:rPr>
          <w:rFonts w:ascii="Segoe UI" w:eastAsia="Times New Roman" w:hAnsi="Segoe UI" w:cs="Segoe UI"/>
          <w:i/>
          <w:iCs/>
          <w:color w:val="000000"/>
          <w:sz w:val="22"/>
          <w:lang w:eastAsia="es-CO"/>
        </w:rPr>
        <w:t> del ET;</w:t>
      </w:r>
    </w:p>
    <w:p w14:paraId="3198CE41"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4E2D64C3"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Tercero:</w:t>
      </w:r>
      <w:r w:rsidRPr="00F00582">
        <w:rPr>
          <w:rFonts w:ascii="Segoe UI" w:eastAsia="Times New Roman" w:hAnsi="Segoe UI" w:cs="Segoe UI"/>
          <w:i/>
          <w:iCs/>
          <w:color w:val="000000"/>
          <w:sz w:val="22"/>
          <w:lang w:eastAsia="es-CO"/>
        </w:rPr>
        <w:t> que en los términos del artículo 188 de la Ley 1437 de 2011 se condene en costas a la demandada y se ordene su liquidación”.</w:t>
      </w:r>
    </w:p>
    <w:p w14:paraId="3E7F5BD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6F225A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 los anteriores efectos, invocó como normas violadas los artículos 29, 123 y 209 de la Constitución Política, 43 de la Ley 962 de 2005, y </w:t>
      </w:r>
      <w:hyperlink r:id="rId18" w:tooltip="Estatuto Tributario CETA" w:history="1">
        <w:r w:rsidRPr="00F00582">
          <w:rPr>
            <w:rFonts w:ascii="Segoe UI" w:eastAsia="Times New Roman" w:hAnsi="Segoe UI" w:cs="Segoe UI"/>
            <w:color w:val="0089E1"/>
            <w:sz w:val="22"/>
            <w:u w:val="single"/>
            <w:lang w:eastAsia="es-CO"/>
          </w:rPr>
          <w:t>857</w:t>
        </w:r>
      </w:hyperlink>
      <w:r w:rsidRPr="00F00582">
        <w:rPr>
          <w:rFonts w:ascii="Segoe UI" w:eastAsia="Times New Roman" w:hAnsi="Segoe UI" w:cs="Segoe UI"/>
          <w:color w:val="000000"/>
          <w:sz w:val="22"/>
          <w:lang w:eastAsia="es-CO"/>
        </w:rPr>
        <w:t> y </w:t>
      </w:r>
      <w:hyperlink r:id="rId19" w:tooltip="Estatuto Tributario CETA" w:history="1">
        <w:r w:rsidRPr="00F00582">
          <w:rPr>
            <w:rFonts w:ascii="Segoe UI" w:eastAsia="Times New Roman" w:hAnsi="Segoe UI" w:cs="Segoe UI"/>
            <w:color w:val="0089E1"/>
            <w:sz w:val="22"/>
            <w:u w:val="single"/>
            <w:lang w:eastAsia="es-CO"/>
          </w:rPr>
          <w:t>857-1</w:t>
        </w:r>
      </w:hyperlink>
      <w:r w:rsidRPr="00F00582">
        <w:rPr>
          <w:rFonts w:ascii="Segoe UI" w:eastAsia="Times New Roman" w:hAnsi="Segoe UI" w:cs="Segoe UI"/>
          <w:color w:val="000000"/>
          <w:sz w:val="22"/>
          <w:lang w:eastAsia="es-CO"/>
        </w:rPr>
        <w:t xml:space="preserve"> del Estatuto Tributario. El concepto de la violación se resume así (fls.4 a13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w:t>
      </w:r>
    </w:p>
    <w:p w14:paraId="029AA75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212BF9A"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1. Nulidad por violación del </w:t>
      </w:r>
      <w:hyperlink r:id="rId20" w:tooltip="Estatuto Tributario CETA" w:history="1">
        <w:r w:rsidRPr="00F00582">
          <w:rPr>
            <w:rFonts w:ascii="Segoe UI" w:eastAsia="Times New Roman" w:hAnsi="Segoe UI" w:cs="Segoe UI"/>
            <w:b/>
            <w:bCs/>
            <w:color w:val="0089E1"/>
            <w:sz w:val="22"/>
            <w:u w:val="single"/>
            <w:lang w:eastAsia="es-CO"/>
          </w:rPr>
          <w:t>artículo 857</w:t>
        </w:r>
      </w:hyperlink>
      <w:r w:rsidRPr="00F00582">
        <w:rPr>
          <w:rFonts w:ascii="Segoe UI" w:eastAsia="Times New Roman" w:hAnsi="Segoe UI" w:cs="Segoe UI"/>
          <w:b/>
          <w:bCs/>
          <w:color w:val="000000"/>
          <w:sz w:val="22"/>
          <w:lang w:eastAsia="es-CO"/>
        </w:rPr>
        <w:t> del Estatuto Tributario</w:t>
      </w:r>
    </w:p>
    <w:p w14:paraId="244D284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3F0DFDA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Expuso que la DIAN vulneró el </w:t>
      </w:r>
      <w:hyperlink r:id="rId21"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xml:space="preserve"> del Estatuto Tributario porque rechazó la devolución del saldo a favor con fundamento en una causal que no está expresamente consagrada en la norma, esto es, la imputación extemporánea del saldo a favor. Así las cosas, señaló que con esta actuación la demandada vulneró el artículo 123 de la Constitución, así como el derecho al debido </w:t>
      </w:r>
      <w:r w:rsidRPr="00F00582">
        <w:rPr>
          <w:rFonts w:ascii="Segoe UI" w:eastAsia="Times New Roman" w:hAnsi="Segoe UI" w:cs="Segoe UI"/>
          <w:color w:val="000000"/>
          <w:sz w:val="22"/>
          <w:lang w:eastAsia="es-CO"/>
        </w:rPr>
        <w:lastRenderedPageBreak/>
        <w:t>proceso, pues lo que debió haber hecho fue suspender la solicitud de devolución y emitir un requerimiento especial.</w:t>
      </w:r>
    </w:p>
    <w:p w14:paraId="16C8E32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3BE65A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Para soportar esta afirmación, citó la sentencia del 13 de marzo de 2008,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xml:space="preserve">. 16058 de esta Sección, en la cual se señaló que las objeciones de la Administración Tributaria relacionadas con aspectos de fondo que impliquen la modificación de las declaraciones no configuran ninguna de las causales para proferir un auto </w:t>
      </w:r>
      <w:proofErr w:type="spellStart"/>
      <w:r w:rsidRPr="00F00582">
        <w:rPr>
          <w:rFonts w:ascii="Segoe UI" w:eastAsia="Times New Roman" w:hAnsi="Segoe UI" w:cs="Segoe UI"/>
          <w:color w:val="000000"/>
          <w:sz w:val="22"/>
          <w:lang w:eastAsia="es-CO"/>
        </w:rPr>
        <w:t>inadmisorio</w:t>
      </w:r>
      <w:proofErr w:type="spellEnd"/>
      <w:r w:rsidRPr="00F00582">
        <w:rPr>
          <w:rFonts w:ascii="Segoe UI" w:eastAsia="Times New Roman" w:hAnsi="Segoe UI" w:cs="Segoe UI"/>
          <w:color w:val="000000"/>
          <w:sz w:val="22"/>
          <w:lang w:eastAsia="es-CO"/>
        </w:rPr>
        <w:t>, en los términos del </w:t>
      </w:r>
      <w:hyperlink r:id="rId22"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y que dichos aspectos deben ser verificados en un proceso de determinación oficial y no en el trámite de devoluciones de saldos a favor, pues este último es eminentemente formal.</w:t>
      </w:r>
    </w:p>
    <w:p w14:paraId="2A4F348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B9FE07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esa medida, insistió en que el rechazo del saldo a favor debió soportarse en la decisión proferida en un proceso de fiscalización en el que se haya dado la oportunidad al contribuyente de defenderse, tal y como lo exige el numeral 4 del </w:t>
      </w:r>
      <w:hyperlink r:id="rId23"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En este caso no se realizó ese proceso, por lo que el rechazo no puede fundamentarse en las conclusiones a las que llegó la DIAN en su investigación previa.</w:t>
      </w:r>
    </w:p>
    <w:p w14:paraId="7F73D80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A335C5D"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2. Nulidad por falsa motivación</w:t>
      </w:r>
    </w:p>
    <w:p w14:paraId="3F6B0AC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888D6C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Alegó que, si la DIAN hubiese tenido en cuenta que en este caso no existe un pronunciamiento definitivo en torno a la extemporaneidad de la imputación del saldo a favor de la declaración del segundo bimestre de 2013, al tercer bimestre del año 2013 (la parte demandante hizo referencia errónea al año 2014), no habría rechazado la solicitud de devolución. Lo anterior, añadió, si se tiene en cuenta que el </w:t>
      </w:r>
      <w:hyperlink r:id="rId24"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del Estatuto Tributario dispone que, si finalizada la investigación respecto de la declaración que fundamenta la solicitud de devolución de un saldo a favor, no se produce requerimiento especial, procederá la devolución.</w:t>
      </w:r>
    </w:p>
    <w:p w14:paraId="04A42E0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98713B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Agregó que este entendimiento fue avalado por la DIAN en el Concepto Nro. 105196 de 2008, en el que se adujo que una vez suspendido el término para devolver o compensar, la división de fiscalización asume la competencia para verificar la exactitud de los datos consignados en la declaración tributaria objeto de la solicitud y, en consecuencia, puede proponer la modificación del saldo a favor, si hubiere lugar a ello. Por esa razón, la división de devoluciones debe esperar al resultado de la investigación, para pronunciarse sobre la solicitud del contribuyente.</w:t>
      </w:r>
    </w:p>
    <w:p w14:paraId="3E0D3F4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D409BA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Resaltó que, en este caso, el único acto tendiente a modificar la declaración del Impuesto sobre las Ventas del 3 bimestre del año 2014 que le fue notificado fue el Emplazamiento para Corregir del 16 de septiembre de 2016, pero no existe un requerimiento especial o una liquidación oficial en los que se confirmara que la imputación del saldo a favor se realizó fuera del término legal. Sobre este punto, añadió que la declaración del 3 bimestre del año 2014 se encuentra en firme, por haber pasado más de dos años contados a partir de la solicitud de devolución del saldo a favor y, en todo caso, porque la declaración del Impuesto sobre la Renta del año 2014 también quedó en firme.</w:t>
      </w:r>
    </w:p>
    <w:p w14:paraId="529FEC8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5C419384"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3. Nulidad por falta de motivación</w:t>
      </w:r>
    </w:p>
    <w:p w14:paraId="5AC509B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5411A3D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Adujo que, la DIAN en la resolución de devolución y compensación se limitó a señalar que el rechazo parcial de la devolución del saldo a favor ocurrió porque la imputación del saldo a favor realizada en la declaración del 3 bimestre del año 2013, proveniente del período anterior, esto es del 2º. Bimestre de 2013, fue extemporánea, sin precisar fechas o plazos para soportar tal afirmación.</w:t>
      </w:r>
    </w:p>
    <w:p w14:paraId="43C849F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5C9C1F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consecuencia, alega que las razones expuestas en los actos demandados para negar la devolución del saldo a favor no fueron suficientes. Por el contrario, a su parecer, la decisión del rechazo debió fundarse en las razones de hecho y de derecho que evidenciaran la terminación de la investigación previa y la corrección de la declaración en la que se generara saldo a pagar, según lo dispone el numeral 4 del </w:t>
      </w:r>
      <w:hyperlink r:id="rId25"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w:t>
      </w:r>
    </w:p>
    <w:p w14:paraId="582441D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1FF4FE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lastRenderedPageBreak/>
        <w:t xml:space="preserve">Para reforzar este cargo, transcribió la sentencia del 14 de octubre de 2010,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xml:space="preserve">. 17421 del esta Corporación, respecto del deber de motivar adecuadamente los actos administrativos, y la sentencia del 22 de enero de 2015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2013-00810 del Tribunal Administrativo de Cundinamarca.</w:t>
      </w:r>
    </w:p>
    <w:p w14:paraId="3AA8B5C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75531007"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4. Nulidad por inaplicación del acto propio</w:t>
      </w:r>
    </w:p>
    <w:p w14:paraId="0E9AC0E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1E60D3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La demandante advirtió que, en agosto de 2015, a través de la Ley 962 de 2005 o “Ley </w:t>
      </w:r>
      <w:proofErr w:type="spellStart"/>
      <w:r w:rsidRPr="00F00582">
        <w:rPr>
          <w:rFonts w:ascii="Segoe UI" w:eastAsia="Times New Roman" w:hAnsi="Segoe UI" w:cs="Segoe UI"/>
          <w:color w:val="000000"/>
          <w:sz w:val="22"/>
          <w:lang w:eastAsia="es-CO"/>
        </w:rPr>
        <w:t>Antitrámites</w:t>
      </w:r>
      <w:proofErr w:type="spellEnd"/>
      <w:r w:rsidRPr="00F00582">
        <w:rPr>
          <w:rFonts w:ascii="Segoe UI" w:eastAsia="Times New Roman" w:hAnsi="Segoe UI" w:cs="Segoe UI"/>
          <w:color w:val="000000"/>
          <w:sz w:val="22"/>
          <w:lang w:eastAsia="es-CO"/>
        </w:rPr>
        <w:t>”, la DIAN corrigió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de oficio» </w:t>
      </w:r>
      <w:r w:rsidRPr="00F00582">
        <w:rPr>
          <w:rFonts w:ascii="Segoe UI" w:eastAsia="Times New Roman" w:hAnsi="Segoe UI" w:cs="Segoe UI"/>
          <w:color w:val="000000"/>
          <w:sz w:val="22"/>
          <w:lang w:eastAsia="es-CO"/>
        </w:rPr>
        <w:t>la declaración del impuesto sobre las ventas correspondiente al bimestre 3 del año 2013, con el fin de imputar el saldo a favor generado en la declaración de IVA del 2 bimestre del mismo año.</w:t>
      </w:r>
    </w:p>
    <w:p w14:paraId="5196E26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477A1C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En concepto de la actora, esto significa que el acto administrativo mediante el cual se llevó a cabo tal corrección goza de presunción de legalidad, hasta que no sea anulado por una autoridad judicial competente, tal y como lo dispone el artículo 88 del CPACA, en armonía con la sentencia del 17 de febrero de 1994,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6264 de esta Corporación. Así las cosas, advirtió que la administración no puede desconocer su propio acto y, en consecuencia, rechazar la devolución del saldo a favor por ella imputado.</w:t>
      </w:r>
    </w:p>
    <w:p w14:paraId="1C86BA9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7B0340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Agregó que, si la DIAN consideraba que el acto por medio del cual corrigió de oficio la declaración estaba viciado de nulidad, debió acudir a su revocatoria directa.</w:t>
      </w:r>
    </w:p>
    <w:p w14:paraId="1D86E49C" w14:textId="77777777" w:rsidR="00F00582" w:rsidRDefault="00F00582" w:rsidP="00F00582">
      <w:pPr>
        <w:spacing w:after="0" w:line="240" w:lineRule="auto"/>
        <w:jc w:val="both"/>
        <w:textAlignment w:val="baseline"/>
        <w:rPr>
          <w:rFonts w:ascii="Segoe UI" w:eastAsia="Times New Roman" w:hAnsi="Segoe UI" w:cs="Segoe UI"/>
          <w:b/>
          <w:bCs/>
          <w:color w:val="000000"/>
          <w:sz w:val="22"/>
          <w:lang w:eastAsia="es-CO"/>
        </w:rPr>
      </w:pPr>
    </w:p>
    <w:p w14:paraId="316B9AAA" w14:textId="77777777" w:rsidR="00F00582" w:rsidRDefault="00F00582" w:rsidP="00F00582">
      <w:pPr>
        <w:spacing w:after="0" w:line="240" w:lineRule="auto"/>
        <w:ind w:left="284"/>
        <w:jc w:val="both"/>
        <w:rPr>
          <w:rFonts w:ascii="Segoe UI" w:eastAsia="Times New Roman" w:hAnsi="Segoe UI" w:cs="Segoe UI"/>
          <w:b/>
          <w:bCs/>
          <w:color w:val="000000"/>
          <w:sz w:val="22"/>
          <w:lang w:eastAsia="es-CO"/>
        </w:rPr>
      </w:pPr>
    </w:p>
    <w:p w14:paraId="49F20E63" w14:textId="77777777" w:rsidR="00F00582" w:rsidRDefault="00F00582" w:rsidP="00F00582">
      <w:pPr>
        <w:spacing w:after="0" w:line="240" w:lineRule="auto"/>
        <w:ind w:left="284"/>
        <w:jc w:val="both"/>
        <w:rPr>
          <w:rFonts w:ascii="Segoe UI" w:eastAsia="Times New Roman" w:hAnsi="Segoe UI" w:cs="Segoe UI"/>
          <w:b/>
          <w:bCs/>
          <w:color w:val="000000"/>
          <w:sz w:val="22"/>
          <w:lang w:eastAsia="es-CO"/>
        </w:rPr>
      </w:pPr>
    </w:p>
    <w:p w14:paraId="224F98A1" w14:textId="08193424"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5. Nulidad por violación de los artículos 29 y 209 de la Constitución, por violación al debido proceso al aplicar un procedimiento y norma diferentes a los establecidos en el artículo 43 de la Ley 962 de 2005</w:t>
      </w:r>
    </w:p>
    <w:p w14:paraId="629F26C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0E9FE61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Frente a este cargo, manifestó que la demandada transgredió el derecho al debido proceso toda vez que para rechazar parte del saldo a favor generado en la declaración del IVA del 3 bimestre del año 2014, inaplicó el régimen establecido en el artículo 43 de la Ley 962 de 2005 y, en su lugar, acudió al </w:t>
      </w:r>
      <w:hyperlink r:id="rId26" w:tooltip="Estatuto Tributario CETA" w:history="1">
        <w:r w:rsidRPr="00F00582">
          <w:rPr>
            <w:rFonts w:ascii="Segoe UI" w:eastAsia="Times New Roman" w:hAnsi="Segoe UI" w:cs="Segoe UI"/>
            <w:color w:val="0089E1"/>
            <w:sz w:val="22"/>
            <w:u w:val="single"/>
            <w:lang w:eastAsia="es-CO"/>
          </w:rPr>
          <w:t>artículo 589</w:t>
        </w:r>
      </w:hyperlink>
      <w:r w:rsidRPr="00F00582">
        <w:rPr>
          <w:rFonts w:ascii="Segoe UI" w:eastAsia="Times New Roman" w:hAnsi="Segoe UI" w:cs="Segoe UI"/>
          <w:color w:val="000000"/>
          <w:sz w:val="22"/>
          <w:lang w:eastAsia="es-CO"/>
        </w:rPr>
        <w:t> del Estatuto Tributario, norma con base en la cual concluyó que la solicitud de corrección de la imputación o arrastre del saldo a favor fue extemporánea. Estas dos normas tienen objetivos diferentes y regulan hechos distintos.</w:t>
      </w:r>
    </w:p>
    <w:p w14:paraId="274B61A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1EE980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Añadió que la DIAN también vulneró el artículo 209 de la Constitución porque el rechazo tuvo como fundamento una circunstancia no prevista en la Ley 962 de 2005.</w:t>
      </w:r>
    </w:p>
    <w:p w14:paraId="094AA274" w14:textId="77777777" w:rsidR="00F00582" w:rsidRPr="00F00582" w:rsidRDefault="00F00582" w:rsidP="00F00582">
      <w:pPr>
        <w:spacing w:after="0" w:line="240" w:lineRule="auto"/>
        <w:jc w:val="both"/>
        <w:textAlignment w:val="baseline"/>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5465BF08" w14:textId="73AE14FC" w:rsidR="00F00582" w:rsidRPr="00F00582" w:rsidRDefault="00F00582" w:rsidP="00F00582">
      <w:pPr>
        <w:spacing w:after="0" w:line="240" w:lineRule="auto"/>
        <w:jc w:val="both"/>
        <w:textAlignment w:val="baseline"/>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Contestación de la demanda</w:t>
      </w:r>
    </w:p>
    <w:p w14:paraId="5E5E786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93F350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La demandada presentó extemporáneamente la respuesta a la demanda, razón por la cual no fue tenida en cuenta por el Tribunal (</w:t>
      </w:r>
      <w:proofErr w:type="spellStart"/>
      <w:r w:rsidRPr="00F00582">
        <w:rPr>
          <w:rFonts w:ascii="Segoe UI" w:eastAsia="Times New Roman" w:hAnsi="Segoe UI" w:cs="Segoe UI"/>
          <w:color w:val="000000"/>
          <w:sz w:val="22"/>
          <w:lang w:eastAsia="es-CO"/>
        </w:rPr>
        <w:t>ff</w:t>
      </w:r>
      <w:proofErr w:type="spellEnd"/>
      <w:r w:rsidRPr="00F00582">
        <w:rPr>
          <w:rFonts w:ascii="Segoe UI" w:eastAsia="Times New Roman" w:hAnsi="Segoe UI" w:cs="Segoe UI"/>
          <w:color w:val="000000"/>
          <w:sz w:val="22"/>
          <w:lang w:eastAsia="es-CO"/>
        </w:rPr>
        <w:t xml:space="preserve"> 77 </w:t>
      </w:r>
      <w:proofErr w:type="spellStart"/>
      <w:r w:rsidRPr="00F00582">
        <w:rPr>
          <w:rFonts w:ascii="Segoe UI" w:eastAsia="Times New Roman" w:hAnsi="Segoe UI" w:cs="Segoe UI"/>
          <w:color w:val="000000"/>
          <w:sz w:val="22"/>
          <w:lang w:eastAsia="es-CO"/>
        </w:rPr>
        <w:t>vto</w:t>
      </w:r>
      <w:proofErr w:type="spellEnd"/>
      <w:r w:rsidRPr="00F00582">
        <w:rPr>
          <w:rFonts w:ascii="Segoe UI" w:eastAsia="Times New Roman" w:hAnsi="Segoe UI" w:cs="Segoe UI"/>
          <w:color w:val="000000"/>
          <w:sz w:val="22"/>
          <w:lang w:eastAsia="es-CO"/>
        </w:rPr>
        <w:t xml:space="preserve"> y 116)</w:t>
      </w:r>
    </w:p>
    <w:p w14:paraId="38E3482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0253F9D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Sentencia apelada</w:t>
      </w:r>
    </w:p>
    <w:p w14:paraId="6AA4F96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5601FDF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sentencia del 12 de junio de 2019, el Tribunal Administrativo del Magdalena denegó las súplicas de la demanda (</w:t>
      </w:r>
      <w:proofErr w:type="spellStart"/>
      <w:r w:rsidRPr="00F00582">
        <w:rPr>
          <w:rFonts w:ascii="Segoe UI" w:eastAsia="Times New Roman" w:hAnsi="Segoe UI" w:cs="Segoe UI"/>
          <w:color w:val="000000"/>
          <w:sz w:val="22"/>
          <w:lang w:eastAsia="es-CO"/>
        </w:rPr>
        <w:t>fls</w:t>
      </w:r>
      <w:proofErr w:type="spellEnd"/>
      <w:r w:rsidRPr="00F00582">
        <w:rPr>
          <w:rFonts w:ascii="Segoe UI" w:eastAsia="Times New Roman" w:hAnsi="Segoe UI" w:cs="Segoe UI"/>
          <w:color w:val="000000"/>
          <w:sz w:val="22"/>
          <w:lang w:eastAsia="es-CO"/>
        </w:rPr>
        <w:t xml:space="preserve">. 113-121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 decisión que tuvo salvamento de voto (</w:t>
      </w:r>
      <w:proofErr w:type="spellStart"/>
      <w:r w:rsidRPr="00F00582">
        <w:rPr>
          <w:rFonts w:ascii="Segoe UI" w:eastAsia="Times New Roman" w:hAnsi="Segoe UI" w:cs="Segoe UI"/>
          <w:color w:val="000000"/>
          <w:sz w:val="22"/>
          <w:lang w:eastAsia="es-CO"/>
        </w:rPr>
        <w:t>fls</w:t>
      </w:r>
      <w:proofErr w:type="spellEnd"/>
      <w:r w:rsidRPr="00F00582">
        <w:rPr>
          <w:rFonts w:ascii="Segoe UI" w:eastAsia="Times New Roman" w:hAnsi="Segoe UI" w:cs="Segoe UI"/>
          <w:color w:val="000000"/>
          <w:sz w:val="22"/>
          <w:lang w:eastAsia="es-CO"/>
        </w:rPr>
        <w:t xml:space="preserve">. 122-128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w:t>
      </w:r>
    </w:p>
    <w:p w14:paraId="25794AD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9381C7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la decisión impugnada se expuso que el trámite de que trata el artículo 43 de la Ley 962 no es aplicable para disminuir o aumentar saldos a favor, pues, en esos casos, lo procedente es aplicar los procedimientos establecidos en los artículos </w:t>
      </w:r>
      <w:hyperlink r:id="rId27" w:tooltip="Estatuto Tributario CETA" w:history="1">
        <w:r w:rsidRPr="00F00582">
          <w:rPr>
            <w:rFonts w:ascii="Segoe UI" w:eastAsia="Times New Roman" w:hAnsi="Segoe UI" w:cs="Segoe UI"/>
            <w:color w:val="0089E1"/>
            <w:sz w:val="22"/>
            <w:u w:val="single"/>
            <w:lang w:eastAsia="es-CO"/>
          </w:rPr>
          <w:t>588</w:t>
        </w:r>
      </w:hyperlink>
      <w:r w:rsidRPr="00F00582">
        <w:rPr>
          <w:rFonts w:ascii="Segoe UI" w:eastAsia="Times New Roman" w:hAnsi="Segoe UI" w:cs="Segoe UI"/>
          <w:color w:val="000000"/>
          <w:sz w:val="22"/>
          <w:lang w:eastAsia="es-CO"/>
        </w:rPr>
        <w:t> y </w:t>
      </w:r>
      <w:hyperlink r:id="rId28" w:tooltip="Estatuto Tributario CETA" w:history="1">
        <w:r w:rsidRPr="00F00582">
          <w:rPr>
            <w:rFonts w:ascii="Segoe UI" w:eastAsia="Times New Roman" w:hAnsi="Segoe UI" w:cs="Segoe UI"/>
            <w:color w:val="0089E1"/>
            <w:sz w:val="22"/>
            <w:u w:val="single"/>
            <w:lang w:eastAsia="es-CO"/>
          </w:rPr>
          <w:t>589</w:t>
        </w:r>
      </w:hyperlink>
      <w:r w:rsidRPr="00F00582">
        <w:rPr>
          <w:rFonts w:ascii="Segoe UI" w:eastAsia="Times New Roman" w:hAnsi="Segoe UI" w:cs="Segoe UI"/>
          <w:color w:val="000000"/>
          <w:sz w:val="22"/>
          <w:lang w:eastAsia="es-CO"/>
        </w:rPr>
        <w:t xml:space="preserve"> del Estatuto Tributario. Citó como fundamento la sentencia del 5 de diciembre de 2011 de la Sección Cuarta del Consejo de Estado,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17545, en la que se decidió sobre la nulidad del Concepto de la DIAN Nro. 39724 del 29 de mayo de 2009.</w:t>
      </w:r>
    </w:p>
    <w:p w14:paraId="38A8508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C26225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Así las cosas, determinó el Tribunal que, la corrección de la declaración del 3 bimestre del año 2013 efectuada por la demandante el 21 de agosto de 2015 en aplicación del artículo 43 de la Ley </w:t>
      </w:r>
      <w:r w:rsidRPr="00F00582">
        <w:rPr>
          <w:rFonts w:ascii="Segoe UI" w:eastAsia="Times New Roman" w:hAnsi="Segoe UI" w:cs="Segoe UI"/>
          <w:color w:val="000000"/>
          <w:sz w:val="22"/>
          <w:lang w:eastAsia="es-CO"/>
        </w:rPr>
        <w:lastRenderedPageBreak/>
        <w:t>965 de 2005, y que implicó el aumento del saldo a favor, se realizó a través de un procedimiento incorrecto y por fuera del término de 1 año establecido en el </w:t>
      </w:r>
      <w:hyperlink r:id="rId29" w:tooltip="Estatuto Tributario CETA" w:history="1">
        <w:r w:rsidRPr="00F00582">
          <w:rPr>
            <w:rFonts w:ascii="Segoe UI" w:eastAsia="Times New Roman" w:hAnsi="Segoe UI" w:cs="Segoe UI"/>
            <w:color w:val="0089E1"/>
            <w:sz w:val="22"/>
            <w:u w:val="single"/>
            <w:lang w:eastAsia="es-CO"/>
          </w:rPr>
          <w:t>artículo 589</w:t>
        </w:r>
      </w:hyperlink>
      <w:r w:rsidRPr="00F00582">
        <w:rPr>
          <w:rFonts w:ascii="Segoe UI" w:eastAsia="Times New Roman" w:hAnsi="Segoe UI" w:cs="Segoe UI"/>
          <w:color w:val="000000"/>
          <w:sz w:val="22"/>
          <w:lang w:eastAsia="es-CO"/>
        </w:rPr>
        <w:t> del Estatuto Tributario.</w:t>
      </w:r>
    </w:p>
    <w:p w14:paraId="4E00082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2464C0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Precisó el Tribunal que el término para presentar la declaración del IVA del 3 bimestre del año 2013 venció el 18 de julio de 2013, de manera que la actora tenía hasta el 18 de julio de 2014 para corregir su declaración. No obstante, comoquiera que la corrección se hizo el 21 de agosto de 2015, esta debía ser reversada, tal y como lo hizo la Administración. Así las cosas, resaltó que el saldo a favor representado en la suma de $952.679.000 no podía ser llevado a la declaración del IVA del 3 bimestre del año 2013 y, mucho menos, ser arrastrado hasta la declaración del 3 bimestre del año 2014 y luego solicitar su devolución.</w:t>
      </w:r>
    </w:p>
    <w:p w14:paraId="0DDFDD2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032BEC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Aduce el Tribunal que a pesar de que el </w:t>
      </w:r>
      <w:hyperlink r:id="rId30"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no consagra como causal de rechazo definitivo de la solicitud de devolución el hecho de que la declaración que fundamenta tal solicitud haya sido corregida por fuera del término legal, para el Tribunal la demandante no puede aprovecharse de su propia culpa al haber aplicado de forma incorrecta una disposición normativa.</w:t>
      </w:r>
    </w:p>
    <w:p w14:paraId="15CEEF2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EB990D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Agregó que, de conformidad con el </w:t>
      </w:r>
      <w:hyperlink r:id="rId31" w:tooltip="Estatuto Tributario CETA" w:history="1">
        <w:r w:rsidRPr="00F00582">
          <w:rPr>
            <w:rFonts w:ascii="Segoe UI" w:eastAsia="Times New Roman" w:hAnsi="Segoe UI" w:cs="Segoe UI"/>
            <w:color w:val="0089E1"/>
            <w:sz w:val="22"/>
            <w:u w:val="single"/>
            <w:lang w:eastAsia="es-CO"/>
          </w:rPr>
          <w:t>artículo 589</w:t>
        </w:r>
      </w:hyperlink>
      <w:r w:rsidRPr="00F00582">
        <w:rPr>
          <w:rFonts w:ascii="Segoe UI" w:eastAsia="Times New Roman" w:hAnsi="Segoe UI" w:cs="Segoe UI"/>
          <w:color w:val="000000"/>
          <w:sz w:val="22"/>
          <w:lang w:eastAsia="es-CO"/>
        </w:rPr>
        <w:t> del Estatuto Tributario, dentro del término de firmeza de la declaración del 3 bimestre del año 2014, la Administración contaba con la facultad de revisar la declaración de corrección. En consecuencia, el hecho de que la DIAN hubiese rechazado la suma de $952.679.000 en ejercicio de tal facultad, no comporta una causal de nulidad de los actos administrativos demandados. Mencionó que el Emplazamiento para Corregir del 16 de septiembre de 2016, por medio del cual se le propuso a la actora corregir la declaración de corrección del IVA del 3 bimestre del año 2014 al advertir inconsistencias que constituían indicios de inexactitud, es prueba de la labor de revisión efectuada por la DIAN.</w:t>
      </w:r>
    </w:p>
    <w:p w14:paraId="6FF69AF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2A3D02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Por su parte, en el salvamento de voto se señaló que, los actos demandados debieron ser anulados, pues con su expedición la DIAN vulneró el derecho al debido proceso de la actora. En primer lugar, porque el rechazo de la solicitud de devolución del saldo a favor no se fundamentó en alguna de las causales previstas en el </w:t>
      </w:r>
      <w:hyperlink r:id="rId32"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Y, en segundo lugar, porque, a la luz del </w:t>
      </w:r>
      <w:hyperlink r:id="rId33"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del Estatuto Tributario, lo indicado era proceder con la devolución o compensación del saldo a favor, comoquiera que la investigación decretada por la DIAN no terminó con la expedición de un requerimiento especial. En todo caso, aclaró que, en su criterio, no existió desconocimiento del acto propio, en la medida en que la corrección del 3 bimestre del año 2013 no se realizó de oficio por la DIAN, sino que fue presentada por la actora con el fin de incorporar diferencias de tarifas acumuladas en períodos anteriores pendientes de aplicar.</w:t>
      </w:r>
    </w:p>
    <w:p w14:paraId="4175E4C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62D57F8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Recurso de apelación</w:t>
      </w:r>
    </w:p>
    <w:p w14:paraId="338944F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4278E0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La demandante apeló el fallo del Tribunal (fls.153 a164 </w:t>
      </w:r>
      <w:proofErr w:type="spellStart"/>
      <w:r w:rsidRPr="00F00582">
        <w:rPr>
          <w:rFonts w:ascii="Segoe UI" w:eastAsia="Times New Roman" w:hAnsi="Segoe UI" w:cs="Segoe UI"/>
          <w:color w:val="000000"/>
          <w:sz w:val="22"/>
          <w:lang w:eastAsia="es-CO"/>
        </w:rPr>
        <w:t>c.p.</w:t>
      </w:r>
      <w:proofErr w:type="spellEnd"/>
      <w:r w:rsidRPr="00F00582">
        <w:rPr>
          <w:rFonts w:ascii="Segoe UI" w:eastAsia="Times New Roman" w:hAnsi="Segoe UI" w:cs="Segoe UI"/>
          <w:color w:val="000000"/>
          <w:sz w:val="22"/>
          <w:lang w:eastAsia="es-CO"/>
        </w:rPr>
        <w:t>). Reiteró los argumentos expuestos en la demanda y agregó:</w:t>
      </w:r>
    </w:p>
    <w:p w14:paraId="6C8145C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365F31A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Que la afirmación del Tribunal respecto de que no puede aprovecharse de su propia culpa por la aplicación indebida del artículo 43 de la Ley 962 de 2005 carece de sustento fáctico, si se tiene en cuenta que fue la DIAN fue quien corrigió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de oficio» </w:t>
      </w:r>
      <w:r w:rsidRPr="00F00582">
        <w:rPr>
          <w:rFonts w:ascii="Segoe UI" w:eastAsia="Times New Roman" w:hAnsi="Segoe UI" w:cs="Segoe UI"/>
          <w:color w:val="000000"/>
          <w:sz w:val="22"/>
          <w:lang w:eastAsia="es-CO"/>
        </w:rPr>
        <w:t>la declaración del IVA del 3 bimestre del año 2013 para imputar el saldo a favor generado en el período del 2 bimestre de 2013. De ahí que el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error de procedimiento»</w:t>
      </w:r>
      <w:r w:rsidRPr="00F00582">
        <w:rPr>
          <w:rFonts w:ascii="Segoe UI" w:eastAsia="Times New Roman" w:hAnsi="Segoe UI" w:cs="Segoe UI"/>
          <w:color w:val="000000"/>
          <w:sz w:val="22"/>
          <w:lang w:eastAsia="es-CO"/>
        </w:rPr>
        <w:t> no le puede ser imputado.</w:t>
      </w:r>
    </w:p>
    <w:p w14:paraId="7D006A1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3F21A4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Que el trámite de la devolución de saldos a favor no es el escenario adecuado para determinar si la corrección de la declaración se hizo de forma extemporánea, pues tal discusión debió haberse formulado en el marco de un proceso de determinación oficial y, en el caso particular, la Administración solo profirió un emplazamiento para corregir, el cual fue debidamente contestado.</w:t>
      </w:r>
    </w:p>
    <w:p w14:paraId="49E77C7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509FF86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lastRenderedPageBreak/>
        <w:t>Consideró que los actos son nulos dado que </w:t>
      </w:r>
      <w:r w:rsidRPr="00F00582">
        <w:rPr>
          <w:rFonts w:ascii="Segoe UI" w:eastAsia="Times New Roman" w:hAnsi="Segoe UI" w:cs="Segoe UI"/>
          <w:i/>
          <w:iCs/>
          <w:color w:val="000000"/>
          <w:sz w:val="22"/>
          <w:lang w:eastAsia="es-CO"/>
        </w:rPr>
        <w:t>(i)</w:t>
      </w:r>
      <w:r w:rsidRPr="00F00582">
        <w:rPr>
          <w:rFonts w:ascii="Segoe UI" w:eastAsia="Times New Roman" w:hAnsi="Segoe UI" w:cs="Segoe UI"/>
          <w:color w:val="000000"/>
          <w:sz w:val="22"/>
          <w:lang w:eastAsia="es-CO"/>
        </w:rPr>
        <w:t> el motivo del rechazo de la devolución del saldo a favor no obedece a una causal expresa en el </w:t>
      </w:r>
      <w:hyperlink r:id="rId34"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y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pese a que no se desvirtuó la presunción de veracidad de la declaración, la DIAN decidió negar su validez.</w:t>
      </w:r>
    </w:p>
    <w:p w14:paraId="2408EF8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05D976F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Alegatos de conclusión</w:t>
      </w:r>
    </w:p>
    <w:p w14:paraId="02B5BDAC"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13A1E18"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La parte demandada manifestó que comparte los argumentos de la sentencia apelada, toda vez que no pueden ser aplicables las disposiciones del </w:t>
      </w:r>
      <w:hyperlink r:id="rId35"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xml:space="preserve"> del Estatuto Tributario a una solicitud de devolución que se apoya en una declaración de corrección que no produce efectos en ocasión a su extemporaneidad (índice 18 </w:t>
      </w:r>
      <w:proofErr w:type="spellStart"/>
      <w:r w:rsidRPr="00F00582">
        <w:rPr>
          <w:rFonts w:ascii="Segoe UI" w:eastAsia="Times New Roman" w:hAnsi="Segoe UI" w:cs="Segoe UI"/>
          <w:color w:val="000000"/>
          <w:sz w:val="22"/>
          <w:lang w:eastAsia="es-CO"/>
        </w:rPr>
        <w:t>Samai</w:t>
      </w:r>
      <w:proofErr w:type="spellEnd"/>
      <w:r w:rsidRPr="00F00582">
        <w:rPr>
          <w:rFonts w:ascii="Segoe UI" w:eastAsia="Times New Roman" w:hAnsi="Segoe UI" w:cs="Segoe UI"/>
          <w:color w:val="000000"/>
          <w:sz w:val="22"/>
          <w:lang w:eastAsia="es-CO"/>
        </w:rPr>
        <w:t>).</w:t>
      </w:r>
    </w:p>
    <w:p w14:paraId="7DA13172"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BF2D222"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La parte demandante insistió en los cargos de </w:t>
      </w:r>
      <w:r w:rsidRPr="00F00582">
        <w:rPr>
          <w:rFonts w:ascii="Segoe UI" w:eastAsia="Times New Roman" w:hAnsi="Segoe UI" w:cs="Segoe UI"/>
          <w:i/>
          <w:iCs/>
          <w:color w:val="000000"/>
          <w:sz w:val="22"/>
          <w:lang w:eastAsia="es-CO"/>
        </w:rPr>
        <w:t>(i)</w:t>
      </w:r>
      <w:r w:rsidRPr="00F00582">
        <w:rPr>
          <w:rFonts w:ascii="Segoe UI" w:eastAsia="Times New Roman" w:hAnsi="Segoe UI" w:cs="Segoe UI"/>
          <w:color w:val="000000"/>
          <w:sz w:val="22"/>
          <w:lang w:eastAsia="es-CO"/>
        </w:rPr>
        <w:t> nulidad por violación al </w:t>
      </w:r>
      <w:hyperlink r:id="rId36"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desconocimiento del acto propio y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xml:space="preserve"> violación al debido proceso al aplicar un procedimiento y norma diferente al artículo 43 de la Ley 962 de 2005 (índice 19 </w:t>
      </w:r>
      <w:proofErr w:type="spellStart"/>
      <w:r w:rsidRPr="00F00582">
        <w:rPr>
          <w:rFonts w:ascii="Segoe UI" w:eastAsia="Times New Roman" w:hAnsi="Segoe UI" w:cs="Segoe UI"/>
          <w:color w:val="000000"/>
          <w:sz w:val="22"/>
          <w:lang w:eastAsia="es-CO"/>
        </w:rPr>
        <w:t>Samai</w:t>
      </w:r>
      <w:proofErr w:type="spellEnd"/>
      <w:r w:rsidRPr="00F00582">
        <w:rPr>
          <w:rFonts w:ascii="Segoe UI" w:eastAsia="Times New Roman" w:hAnsi="Segoe UI" w:cs="Segoe UI"/>
          <w:color w:val="000000"/>
          <w:sz w:val="22"/>
          <w:lang w:eastAsia="es-CO"/>
        </w:rPr>
        <w:t>).</w:t>
      </w:r>
    </w:p>
    <w:p w14:paraId="1D74359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0E3900D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Concepto del Ministerio Público</w:t>
      </w:r>
    </w:p>
    <w:p w14:paraId="3BE295F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EA01EB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xml:space="preserve">El Ministerio Público solicitó confirmar la sentencia apelada (índice 20 </w:t>
      </w:r>
      <w:proofErr w:type="spellStart"/>
      <w:r w:rsidRPr="00F00582">
        <w:rPr>
          <w:rFonts w:ascii="Segoe UI" w:eastAsia="Times New Roman" w:hAnsi="Segoe UI" w:cs="Segoe UI"/>
          <w:color w:val="000000"/>
          <w:sz w:val="22"/>
          <w:lang w:eastAsia="es-CO"/>
        </w:rPr>
        <w:t>Samai</w:t>
      </w:r>
      <w:proofErr w:type="spellEnd"/>
      <w:r w:rsidRPr="00F00582">
        <w:rPr>
          <w:rFonts w:ascii="Segoe UI" w:eastAsia="Times New Roman" w:hAnsi="Segoe UI" w:cs="Segoe UI"/>
          <w:color w:val="000000"/>
          <w:sz w:val="22"/>
          <w:lang w:eastAsia="es-CO"/>
        </w:rPr>
        <w:t>). En su opinión, el 21 de agosto de 2015, cuando la apelante corrigió la declaración del IVA del 3 bimestre del año 2013 para arrastrar el saldo a favor por $952.679.000, originado en la declaración del período anterior y que hizo parte del saldo a favor registrado en la declaración que sustentó la solicitud de devolución, era evidente que esta se encontraba en firme.</w:t>
      </w:r>
    </w:p>
    <w:p w14:paraId="5FC7213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552AAA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Esto, porque para el 21 de agosto de 2015, ya había finalizado el término de 1 año para corregir voluntariamente las declaraciones, según lo establece el </w:t>
      </w:r>
      <w:hyperlink r:id="rId37" w:tooltip="Estatuto Tributario CETA" w:history="1">
        <w:r w:rsidRPr="00F00582">
          <w:rPr>
            <w:rFonts w:ascii="Segoe UI" w:eastAsia="Times New Roman" w:hAnsi="Segoe UI" w:cs="Segoe UI"/>
            <w:color w:val="0089E1"/>
            <w:sz w:val="22"/>
            <w:u w:val="single"/>
            <w:lang w:eastAsia="es-CO"/>
          </w:rPr>
          <w:t>artículo 589</w:t>
        </w:r>
      </w:hyperlink>
      <w:r w:rsidRPr="00F00582">
        <w:rPr>
          <w:rFonts w:ascii="Segoe UI" w:eastAsia="Times New Roman" w:hAnsi="Segoe UI" w:cs="Segoe UI"/>
          <w:color w:val="000000"/>
          <w:sz w:val="22"/>
          <w:lang w:eastAsia="es-CO"/>
        </w:rPr>
        <w:t> del Estatuto Tributario e, incluso, el término general de firmeza de las declaraciones, de que trata el </w:t>
      </w:r>
      <w:hyperlink r:id="rId38" w:tooltip="Estatuto Tributario CETA" w:history="1">
        <w:r w:rsidRPr="00F00582">
          <w:rPr>
            <w:rFonts w:ascii="Segoe UI" w:eastAsia="Times New Roman" w:hAnsi="Segoe UI" w:cs="Segoe UI"/>
            <w:color w:val="0089E1"/>
            <w:sz w:val="22"/>
            <w:u w:val="single"/>
            <w:lang w:eastAsia="es-CO"/>
          </w:rPr>
          <w:t>artículo 714</w:t>
        </w:r>
      </w:hyperlink>
      <w:r w:rsidRPr="00F00582">
        <w:rPr>
          <w:rFonts w:ascii="Segoe UI" w:eastAsia="Times New Roman" w:hAnsi="Segoe UI" w:cs="Segoe UI"/>
          <w:color w:val="000000"/>
          <w:sz w:val="22"/>
          <w:lang w:eastAsia="es-CO"/>
        </w:rPr>
        <w:t> del Estatuto Tributario; situación que no fue desvirtuada por la apelante. En consecuencia, indicó que la corrección de la declaración del 3 bimestre del año 2013 no surtió ningún efecto jurídico.</w:t>
      </w:r>
    </w:p>
    <w:p w14:paraId="7F6A8B4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56F353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Señaló que, aunque en la demanda se dijo que había mediado solicitud, el hecho de que el 21 de agosto de 2015 la DIAN hubiera corregido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de oficio» </w:t>
      </w:r>
      <w:r w:rsidRPr="00F00582">
        <w:rPr>
          <w:rFonts w:ascii="Segoe UI" w:eastAsia="Times New Roman" w:hAnsi="Segoe UI" w:cs="Segoe UI"/>
          <w:color w:val="000000"/>
          <w:sz w:val="22"/>
          <w:lang w:eastAsia="es-CO"/>
        </w:rPr>
        <w:t xml:space="preserve">la declaración del IVA del tercer bimestre del año 2013 para arrastrar el saldo a favor determinado en el período </w:t>
      </w:r>
      <w:proofErr w:type="gramStart"/>
      <w:r w:rsidRPr="00F00582">
        <w:rPr>
          <w:rFonts w:ascii="Segoe UI" w:eastAsia="Times New Roman" w:hAnsi="Segoe UI" w:cs="Segoe UI"/>
          <w:color w:val="000000"/>
          <w:sz w:val="22"/>
          <w:lang w:eastAsia="es-CO"/>
        </w:rPr>
        <w:t>anterior,</w:t>
      </w:r>
      <w:proofErr w:type="gramEnd"/>
      <w:r w:rsidRPr="00F00582">
        <w:rPr>
          <w:rFonts w:ascii="Segoe UI" w:eastAsia="Times New Roman" w:hAnsi="Segoe UI" w:cs="Segoe UI"/>
          <w:color w:val="000000"/>
          <w:sz w:val="22"/>
          <w:lang w:eastAsia="es-CO"/>
        </w:rPr>
        <w:t xml:space="preserve"> no tiene la virtualidad de abolir la firmeza que para esa fecha había adquirido la mencionada declaración. Resaltó que ninguna de las normas que regulan la devolución de saldos a favor consagran la posibilidad de que con dicho proceder la DIAN pueda desconocer la firmeza de las declaraciones.</w:t>
      </w:r>
    </w:p>
    <w:p w14:paraId="065A090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71A11C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Agregó que la firmeza de la declaración del IVA del 3 bimestre del año 2013 tampoco puede desconocerse porque la corrección se hubiese producido al amparo del artículo 43 de la Ley 962 de 2005, pues dicha norma solo autorizó las correcciones u omisiones formales.</w:t>
      </w:r>
    </w:p>
    <w:p w14:paraId="310846E1" w14:textId="77777777" w:rsidR="00F00582" w:rsidRDefault="00F00582" w:rsidP="00F00582">
      <w:pPr>
        <w:shd w:val="clear" w:color="auto" w:fill="FFFFFF"/>
        <w:spacing w:after="0" w:line="240" w:lineRule="auto"/>
        <w:jc w:val="both"/>
        <w:rPr>
          <w:rFonts w:ascii="Segoe UI" w:hAnsi="Segoe UI" w:cs="Segoe UI"/>
          <w:color w:val="000000"/>
          <w:sz w:val="22"/>
          <w:shd w:val="clear" w:color="auto" w:fill="FFFFFF"/>
        </w:rPr>
      </w:pPr>
    </w:p>
    <w:p w14:paraId="37A15AE2" w14:textId="77777777" w:rsidR="00F00582" w:rsidRDefault="00F00582" w:rsidP="00F00582">
      <w:pPr>
        <w:shd w:val="clear" w:color="auto" w:fill="FFFFFF"/>
        <w:spacing w:after="0" w:line="240" w:lineRule="auto"/>
        <w:jc w:val="both"/>
        <w:rPr>
          <w:rFonts w:ascii="Segoe UI" w:hAnsi="Segoe UI" w:cs="Segoe UI"/>
          <w:color w:val="000000"/>
          <w:sz w:val="22"/>
          <w:shd w:val="clear" w:color="auto" w:fill="FFFFFF"/>
        </w:rPr>
      </w:pPr>
    </w:p>
    <w:p w14:paraId="5961A32B" w14:textId="77777777" w:rsidR="00F00582" w:rsidRDefault="00F00582" w:rsidP="00F00582">
      <w:pPr>
        <w:shd w:val="clear" w:color="auto" w:fill="FFFFFF"/>
        <w:spacing w:after="0" w:line="240" w:lineRule="auto"/>
        <w:jc w:val="both"/>
        <w:rPr>
          <w:rFonts w:ascii="Segoe UI" w:hAnsi="Segoe UI" w:cs="Segoe UI"/>
          <w:color w:val="000000"/>
          <w:sz w:val="22"/>
          <w:shd w:val="clear" w:color="auto" w:fill="FFFFFF"/>
        </w:rPr>
      </w:pPr>
    </w:p>
    <w:p w14:paraId="0A062896" w14:textId="44284EBE" w:rsidR="00F00582" w:rsidRDefault="00F00582" w:rsidP="00F00582">
      <w:pPr>
        <w:shd w:val="clear" w:color="auto" w:fill="FFFFFF"/>
        <w:spacing w:after="0" w:line="240" w:lineRule="auto"/>
        <w:jc w:val="both"/>
        <w:rPr>
          <w:rFonts w:ascii="Segoe UI" w:eastAsia="Times New Roman" w:hAnsi="Segoe UI" w:cs="Segoe UI"/>
          <w:b/>
          <w:bCs/>
          <w:color w:val="000000"/>
          <w:sz w:val="22"/>
          <w:lang w:eastAsia="es-CO"/>
        </w:rPr>
      </w:pPr>
      <w:r>
        <w:rPr>
          <w:rFonts w:ascii="Segoe UI" w:hAnsi="Segoe UI" w:cs="Segoe UI"/>
          <w:color w:val="000000"/>
          <w:sz w:val="22"/>
          <w:shd w:val="clear" w:color="auto" w:fill="FFFFFF"/>
        </w:rPr>
        <w:t>Finalmente, añadió que </w:t>
      </w:r>
      <w:r>
        <w:rPr>
          <w:rFonts w:ascii="Segoe UI" w:hAnsi="Segoe UI" w:cs="Segoe UI"/>
          <w:i/>
          <w:iCs/>
          <w:color w:val="000000"/>
          <w:sz w:val="22"/>
          <w:shd w:val="clear" w:color="auto" w:fill="FFFFFF"/>
        </w:rPr>
        <w:t>«revisar la firmeza de la declaración tributaria sobre la que se efectuó la declaración de corrección en que se soportó la solicitud de devolución, constituye un presupuesto de vigencia del saldo a favor solicitado para acceder o no a devolverlo»</w:t>
      </w:r>
      <w:r>
        <w:rPr>
          <w:rFonts w:ascii="Segoe UI" w:hAnsi="Segoe UI" w:cs="Segoe UI"/>
          <w:color w:val="000000"/>
          <w:sz w:val="22"/>
          <w:shd w:val="clear" w:color="auto" w:fill="FFFFFF"/>
        </w:rPr>
        <w:t>, de ahí que la DIAN puede acceder o no a la devolución. Indicó que las causales previstas en el </w:t>
      </w:r>
      <w:hyperlink r:id="rId39" w:tooltip="Estatuto Tributario CETA" w:history="1">
        <w:r>
          <w:rPr>
            <w:rStyle w:val="Hipervnculo"/>
            <w:rFonts w:ascii="Segoe UI" w:hAnsi="Segoe UI" w:cs="Segoe UI"/>
            <w:color w:val="0089E1"/>
            <w:sz w:val="22"/>
            <w:shd w:val="clear" w:color="auto" w:fill="FFFFFF"/>
          </w:rPr>
          <w:t>artículo 857</w:t>
        </w:r>
      </w:hyperlink>
      <w:r>
        <w:rPr>
          <w:rFonts w:ascii="Segoe UI" w:hAnsi="Segoe UI" w:cs="Segoe UI"/>
          <w:color w:val="000000"/>
          <w:sz w:val="22"/>
          <w:shd w:val="clear" w:color="auto" w:fill="FFFFFF"/>
        </w:rPr>
        <w:t> del Estatuto únicamente se predican de una declaración que pueda dar lugar a la devolución de un saldo a favor, pero no de una que no produce efectos legales, tal y como ocurre con la declaración del IVA del tercer bimestre del año 2013 de la demandante, por haber sido corregida cuando se encontraba en firme.</w:t>
      </w:r>
    </w:p>
    <w:p w14:paraId="71A0214A" w14:textId="77777777" w:rsidR="00F00582" w:rsidRDefault="00F00582" w:rsidP="00F00582">
      <w:pPr>
        <w:shd w:val="clear" w:color="auto" w:fill="FFFFFF"/>
        <w:spacing w:after="0" w:line="240" w:lineRule="auto"/>
        <w:jc w:val="center"/>
        <w:rPr>
          <w:rFonts w:ascii="Segoe UI" w:eastAsia="Times New Roman" w:hAnsi="Segoe UI" w:cs="Segoe UI"/>
          <w:b/>
          <w:bCs/>
          <w:color w:val="000000"/>
          <w:sz w:val="22"/>
          <w:lang w:eastAsia="es-CO"/>
        </w:rPr>
      </w:pPr>
    </w:p>
    <w:p w14:paraId="12DE9280" w14:textId="77777777" w:rsidR="00F00582" w:rsidRDefault="00F00582" w:rsidP="00F00582">
      <w:pPr>
        <w:shd w:val="clear" w:color="auto" w:fill="FFFFFF"/>
        <w:spacing w:after="0" w:line="240" w:lineRule="auto"/>
        <w:jc w:val="center"/>
        <w:rPr>
          <w:rFonts w:ascii="Segoe UI" w:eastAsia="Times New Roman" w:hAnsi="Segoe UI" w:cs="Segoe UI"/>
          <w:b/>
          <w:bCs/>
          <w:color w:val="000000"/>
          <w:sz w:val="22"/>
          <w:lang w:eastAsia="es-CO"/>
        </w:rPr>
      </w:pPr>
    </w:p>
    <w:p w14:paraId="6A6CA3C5" w14:textId="272A0A6C" w:rsidR="00F00582" w:rsidRPr="00F00582" w:rsidRDefault="00F00582" w:rsidP="00F00582">
      <w:pPr>
        <w:shd w:val="clear" w:color="auto" w:fill="FFFFFF"/>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br/>
        <w:t>CONSIDERACIONES</w:t>
      </w:r>
    </w:p>
    <w:p w14:paraId="64D3A4A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6600CE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lastRenderedPageBreak/>
        <w:t>La Sección Cuarta del Consejo de Estado decide el recurso de apelación interpuesto por la parte demandante en contra de la sentencia del 12 de junio de 2019 proferida por el Tribunal Administrativo del Magdalena, que denegó las pretensiones de la demanda.</w:t>
      </w:r>
    </w:p>
    <w:p w14:paraId="4DDB03C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62BF22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1. Atendiendo lo manifestado por la apelante en el recurso de apelación, corresponde a la Sala determinar si la solicitud de devolución presentada por la sociedad, con fundamento en la declaración de corrección del IVA del 3 bimestre del año 2014 podía ser rechazada parcialmente por la DIAN al considerar que existía una imputación extemporánea del saldo a favor originado en la declaración del 2 bimestre del año 2013 a la declaración del 3 bimestre del año 2013 o, si por el contrario, no le estaba permitido a la Administración este rechazo parcial de la solicitud de devolución por no enmarcarse en ninguna de las causales previstas en el </w:t>
      </w:r>
      <w:hyperlink r:id="rId40"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y, en consecuencia el tema de la extemporaneidad en la imputación de saldos a favor originados en períodos anteriores, debió ser discutido en un proceso de determinación oficial.</w:t>
      </w:r>
    </w:p>
    <w:p w14:paraId="3EF5C9B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6483B8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2. Para resolver este problema jurídico, la Sala observa que en el expediente se encuentran probados los siguientes hechos, pues no fueron objeto de discusión por las partes, pese a que se observan inconsistencias:</w:t>
      </w:r>
    </w:p>
    <w:p w14:paraId="4C1FD5C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C57F366"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 xml:space="preserve">El 21 de mayo de 2013, </w:t>
      </w:r>
      <w:proofErr w:type="spellStart"/>
      <w:r w:rsidRPr="00F00582">
        <w:rPr>
          <w:rFonts w:ascii="Segoe UI" w:eastAsia="Times New Roman" w:hAnsi="Segoe UI" w:cs="Segoe UI"/>
          <w:color w:val="000000"/>
          <w:sz w:val="22"/>
          <w:lang w:eastAsia="es-CO"/>
        </w:rPr>
        <w:t>Palmaceite</w:t>
      </w:r>
      <w:proofErr w:type="spellEnd"/>
      <w:r w:rsidRPr="00F00582">
        <w:rPr>
          <w:rFonts w:ascii="Segoe UI" w:eastAsia="Times New Roman" w:hAnsi="Segoe UI" w:cs="Segoe UI"/>
          <w:color w:val="000000"/>
          <w:sz w:val="22"/>
          <w:lang w:eastAsia="es-CO"/>
        </w:rPr>
        <w:t xml:space="preserve"> S.A. presentó la declaración del impuesto sobre las ventas correspondiente al 2 bimestre del año 2013, en la que liquidó un saldo a favor de $952.679.000</w:t>
      </w:r>
      <w:bookmarkStart w:id="17" w:name="_ftnref17"/>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"_ftn17"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[17]</w:t>
      </w:r>
      <w:r w:rsidRPr="00F00582">
        <w:rPr>
          <w:rFonts w:ascii="Segoe UI" w:eastAsia="Times New Roman" w:hAnsi="Segoe UI" w:cs="Segoe UI"/>
          <w:color w:val="000000"/>
          <w:sz w:val="22"/>
          <w:lang w:eastAsia="es-CO"/>
        </w:rPr>
        <w:fldChar w:fldCharType="end"/>
      </w:r>
      <w:bookmarkEnd w:id="17"/>
      <w:r w:rsidRPr="00F00582">
        <w:rPr>
          <w:rFonts w:ascii="Segoe UI" w:eastAsia="Times New Roman" w:hAnsi="Segoe UI" w:cs="Segoe UI"/>
          <w:color w:val="000000"/>
          <w:sz w:val="22"/>
          <w:lang w:eastAsia="es-CO"/>
        </w:rPr>
        <w:t> (el formulario que obra en el proceso señala “Correcciones Ley 962 de 2005”, sin embargo, no se evidencia que se trate de una declaración de corrección). El 21 de agosto de 2015, el demandante presenta una corrección de manera virtual sin modificar el saldo a favor</w:t>
      </w:r>
      <w:bookmarkStart w:id="18" w:name="_ftnref18"/>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"_ftn18"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[18]</w:t>
      </w:r>
      <w:r w:rsidRPr="00F00582">
        <w:rPr>
          <w:rFonts w:ascii="Segoe UI" w:eastAsia="Times New Roman" w:hAnsi="Segoe UI" w:cs="Segoe UI"/>
          <w:color w:val="000000"/>
          <w:sz w:val="22"/>
          <w:lang w:eastAsia="es-CO"/>
        </w:rPr>
        <w:fldChar w:fldCharType="end"/>
      </w:r>
      <w:bookmarkEnd w:id="18"/>
      <w:r w:rsidRPr="00F00582">
        <w:rPr>
          <w:rFonts w:ascii="Segoe UI" w:eastAsia="Times New Roman" w:hAnsi="Segoe UI" w:cs="Segoe UI"/>
          <w:color w:val="000000"/>
          <w:sz w:val="22"/>
          <w:lang w:eastAsia="es-CO"/>
        </w:rPr>
        <w:t>.</w:t>
      </w:r>
    </w:p>
    <w:p w14:paraId="5521894A"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29CB1D4"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El 18 de julio de 2013, la apelante presentó la declaración del impuesto sobre las ventas correspondiente al 3 bimestre del año 2013. En este denuncio privado, no se reflejó el saldo a favor del período anterior ($952.679.000), sin embargo, en la sección de control de saldos del mismo formulario, si aparece ese saldo a favor, que acumulado con el resultado del período refleja un saldo a favor acumulado de $1.030.476.000 (esta declaración aparece como privada, pero no se observa el sello de acuse de recibo)</w:t>
      </w:r>
      <w:bookmarkStart w:id="19" w:name="_ftnref19"/>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"_ftn19"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[19]</w:t>
      </w:r>
      <w:r w:rsidRPr="00F00582">
        <w:rPr>
          <w:rFonts w:ascii="Segoe UI" w:eastAsia="Times New Roman" w:hAnsi="Segoe UI" w:cs="Segoe UI"/>
          <w:color w:val="000000"/>
          <w:sz w:val="22"/>
          <w:lang w:eastAsia="es-CO"/>
        </w:rPr>
        <w:fldChar w:fldCharType="end"/>
      </w:r>
      <w:bookmarkEnd w:id="19"/>
      <w:r w:rsidRPr="00F00582">
        <w:rPr>
          <w:rFonts w:ascii="Segoe UI" w:eastAsia="Times New Roman" w:hAnsi="Segoe UI" w:cs="Segoe UI"/>
          <w:color w:val="000000"/>
          <w:sz w:val="22"/>
          <w:lang w:eastAsia="es-CO"/>
        </w:rPr>
        <w:t>. Posteriormente aparece una corrección del día 18 de junio de 2014, que no modifica sustancialmente la declaración</w:t>
      </w:r>
      <w:bookmarkStart w:id="20" w:name="_ftnref20"/>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"_ftn20"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[20]</w:t>
      </w:r>
      <w:r w:rsidRPr="00F00582">
        <w:rPr>
          <w:rFonts w:ascii="Segoe UI" w:eastAsia="Times New Roman" w:hAnsi="Segoe UI" w:cs="Segoe UI"/>
          <w:color w:val="000000"/>
          <w:sz w:val="22"/>
          <w:lang w:eastAsia="es-CO"/>
        </w:rPr>
        <w:fldChar w:fldCharType="end"/>
      </w:r>
      <w:bookmarkEnd w:id="20"/>
      <w:r w:rsidRPr="00F00582">
        <w:rPr>
          <w:rFonts w:ascii="Segoe UI" w:eastAsia="Times New Roman" w:hAnsi="Segoe UI" w:cs="Segoe UI"/>
          <w:color w:val="000000"/>
          <w:sz w:val="22"/>
          <w:lang w:eastAsia="es-CO"/>
        </w:rPr>
        <w:t xml:space="preserve">. Finalmente, se observa una última corrección con fecha del 21 de agosto de 2015 que se señala efectuada bajo ley </w:t>
      </w:r>
      <w:proofErr w:type="spellStart"/>
      <w:r w:rsidRPr="00F00582">
        <w:rPr>
          <w:rFonts w:ascii="Segoe UI" w:eastAsia="Times New Roman" w:hAnsi="Segoe UI" w:cs="Segoe UI"/>
          <w:color w:val="000000"/>
          <w:sz w:val="22"/>
          <w:lang w:eastAsia="es-CO"/>
        </w:rPr>
        <w:t>antitrámites</w:t>
      </w:r>
      <w:proofErr w:type="spellEnd"/>
      <w:r w:rsidRPr="00F00582">
        <w:rPr>
          <w:rFonts w:ascii="Segoe UI" w:eastAsia="Times New Roman" w:hAnsi="Segoe UI" w:cs="Segoe UI"/>
          <w:color w:val="000000"/>
          <w:sz w:val="22"/>
          <w:lang w:eastAsia="es-CO"/>
        </w:rPr>
        <w:t>, en la cual se refleja el saldo a favor del período anterior por $952.679.000 en el renglón 80 y no solo en el control de saldos</w:t>
      </w:r>
      <w:bookmarkStart w:id="21" w:name="_ftnref21"/>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"_ftn21"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2"/>
          <w:lang w:eastAsia="es-CO"/>
        </w:rPr>
        <w:t>[21]</w:t>
      </w:r>
      <w:r w:rsidRPr="00F00582">
        <w:rPr>
          <w:rFonts w:ascii="Arial" w:eastAsia="Times New Roman" w:hAnsi="Arial" w:cs="Arial"/>
          <w:color w:val="000000"/>
          <w:sz w:val="18"/>
          <w:szCs w:val="18"/>
          <w:lang w:eastAsia="es-CO"/>
        </w:rPr>
        <w:fldChar w:fldCharType="end"/>
      </w:r>
      <w:bookmarkEnd w:id="21"/>
      <w:r w:rsidRPr="00F00582">
        <w:rPr>
          <w:rFonts w:ascii="Segoe UI" w:eastAsia="Times New Roman" w:hAnsi="Segoe UI" w:cs="Segoe UI"/>
          <w:color w:val="000000"/>
          <w:sz w:val="22"/>
          <w:lang w:eastAsia="es-CO"/>
        </w:rPr>
        <w:t>.</w:t>
      </w:r>
    </w:p>
    <w:p w14:paraId="505ED29A"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0C24DD0"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El 9 de julio de 2016, la actora solicitó la devolución del saldo a favor por valor de $ 1.961.924.000, con fundamento en la declaración de IVA del 3 bimestre del año 2014 que había corregido sin modificar el saldo a favor.</w:t>
      </w:r>
    </w:p>
    <w:p w14:paraId="19301CAD"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5C8D2D7"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Por considerar que existían indicios de inexactitud, la DIAN, con fundamento en el numeral 3 del </w:t>
      </w:r>
      <w:hyperlink r:id="rId41"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del Estatuto Tributario, suspendió el término de devolución hasta por 90 días e inició investigación con el fin de constatar la existencia y veracidad del saldo a favor solicitado en devolución.</w:t>
      </w:r>
    </w:p>
    <w:p w14:paraId="644D7292"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A313D88"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En desarrollo de la investigación, la DIAN no expidió un requerimiento especial respecto de la declaración de IVA del 3 bimestre del año 2014; únicamente el Emplazamiento para Corregir Nro. 192382016000030 del 16 de septiembre de 2016, en el cual propuso modificar la declaración mencionada toda vez que el saldo a favor allí registrado reflejaba la imputación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extemporánea»</w:t>
      </w:r>
      <w:r w:rsidRPr="00F00582">
        <w:rPr>
          <w:rFonts w:ascii="Segoe UI" w:eastAsia="Times New Roman" w:hAnsi="Segoe UI" w:cs="Segoe UI"/>
          <w:color w:val="000000"/>
          <w:sz w:val="22"/>
          <w:lang w:eastAsia="es-CO"/>
        </w:rPr>
        <w:t> del saldo a favor originado en la declaración del 2 bimestre del año 2013 a la declaración del 3 bimestre de 2013.</w:t>
      </w:r>
    </w:p>
    <w:p w14:paraId="1E1252DD"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001B490" w14:textId="77777777" w:rsidR="00F00582" w:rsidRPr="00F00582" w:rsidRDefault="00F00582" w:rsidP="00F00582">
      <w:pPr>
        <w:spacing w:after="0" w:line="240" w:lineRule="auto"/>
        <w:ind w:left="567" w:hanging="283"/>
        <w:jc w:val="both"/>
        <w:rPr>
          <w:rFonts w:ascii="Arial" w:eastAsia="Times New Roman" w:hAnsi="Arial" w:cs="Arial"/>
          <w:color w:val="000000"/>
          <w:sz w:val="18"/>
          <w:szCs w:val="18"/>
          <w:lang w:eastAsia="es-CO"/>
        </w:rPr>
      </w:pPr>
      <w:r w:rsidRPr="00F00582">
        <w:rPr>
          <w:rFonts w:ascii="Calibri" w:eastAsia="Times New Roman" w:hAnsi="Calibri" w:cs="Calibri"/>
          <w:color w:val="000000"/>
          <w:sz w:val="22"/>
          <w:lang w:eastAsia="es-CO"/>
        </w:rPr>
        <w:t>-</w:t>
      </w:r>
      <w:r w:rsidRPr="00F00582">
        <w:rPr>
          <w:rFonts w:eastAsia="Times New Roman" w:cs="Times New Roman"/>
          <w:color w:val="000000"/>
          <w:sz w:val="14"/>
          <w:szCs w:val="14"/>
          <w:lang w:eastAsia="es-CO"/>
        </w:rPr>
        <w:t>       </w:t>
      </w:r>
      <w:r w:rsidRPr="00F00582">
        <w:rPr>
          <w:rFonts w:ascii="Segoe UI" w:eastAsia="Times New Roman" w:hAnsi="Segoe UI" w:cs="Segoe UI"/>
          <w:color w:val="000000"/>
          <w:sz w:val="22"/>
          <w:lang w:eastAsia="es-CO"/>
        </w:rPr>
        <w:t>A través del Formulario 1103 -control y soporte de modificaciones- Nro. 11036437087714, con fecha de acuse de recibo del 30 de noviembre de 2016, la DIAN </w:t>
      </w:r>
      <w:r w:rsidRPr="00F00582">
        <w:rPr>
          <w:rFonts w:ascii="Segoe UI" w:eastAsia="Times New Roman" w:hAnsi="Segoe UI" w:cs="Segoe UI"/>
          <w:color w:val="000000"/>
          <w:sz w:val="22"/>
          <w:shd w:val="clear" w:color="auto" w:fill="FFFFFF"/>
          <w:lang w:eastAsia="es-CO"/>
        </w:rPr>
        <w:t>«</w:t>
      </w:r>
      <w:r w:rsidRPr="00F00582">
        <w:rPr>
          <w:rFonts w:ascii="Segoe UI" w:eastAsia="Times New Roman" w:hAnsi="Segoe UI" w:cs="Segoe UI"/>
          <w:i/>
          <w:iCs/>
          <w:color w:val="000000"/>
          <w:sz w:val="22"/>
          <w:lang w:eastAsia="es-CO"/>
        </w:rPr>
        <w:t>reversó» </w:t>
      </w:r>
      <w:r w:rsidRPr="00F00582">
        <w:rPr>
          <w:rFonts w:ascii="Segoe UI" w:eastAsia="Times New Roman" w:hAnsi="Segoe UI" w:cs="Segoe UI"/>
          <w:color w:val="000000"/>
          <w:sz w:val="22"/>
          <w:lang w:eastAsia="es-CO"/>
        </w:rPr>
        <w:t>la corrección de la declaración del IVA del 3 bimestre del año 2013.</w:t>
      </w:r>
    </w:p>
    <w:p w14:paraId="1C78CEB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19EB9C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lastRenderedPageBreak/>
        <w:t>3. En estas condiciones, para resolver el problema jurídico expuesto por la apelante, es necesario acudir al procedimiento previsto en el Estatuto Tributario para decidir las solicitudes de devolución de saldos a favor.</w:t>
      </w:r>
    </w:p>
    <w:p w14:paraId="214A518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B26650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De conformidad con los artículos </w:t>
      </w:r>
      <w:hyperlink r:id="rId42" w:tooltip="Estatuto Tributario CETA" w:history="1">
        <w:r w:rsidRPr="00F00582">
          <w:rPr>
            <w:rFonts w:ascii="Segoe UI" w:eastAsia="Times New Roman" w:hAnsi="Segoe UI" w:cs="Segoe UI"/>
            <w:color w:val="0089E1"/>
            <w:sz w:val="22"/>
            <w:u w:val="single"/>
            <w:lang w:eastAsia="es-CO"/>
          </w:rPr>
          <w:t>850</w:t>
        </w:r>
      </w:hyperlink>
      <w:r w:rsidRPr="00F00582">
        <w:rPr>
          <w:rFonts w:ascii="Segoe UI" w:eastAsia="Times New Roman" w:hAnsi="Segoe UI" w:cs="Segoe UI"/>
          <w:color w:val="000000"/>
          <w:sz w:val="22"/>
          <w:lang w:eastAsia="es-CO"/>
        </w:rPr>
        <w:t> y </w:t>
      </w:r>
      <w:hyperlink r:id="rId43" w:tooltip="Estatuto Tributario CETA" w:history="1">
        <w:r w:rsidRPr="00F00582">
          <w:rPr>
            <w:rFonts w:ascii="Segoe UI" w:eastAsia="Times New Roman" w:hAnsi="Segoe UI" w:cs="Segoe UI"/>
            <w:color w:val="0089E1"/>
            <w:sz w:val="22"/>
            <w:u w:val="single"/>
            <w:lang w:eastAsia="es-CO"/>
          </w:rPr>
          <w:t>854</w:t>
        </w:r>
      </w:hyperlink>
      <w:r w:rsidRPr="00F00582">
        <w:rPr>
          <w:rFonts w:ascii="Segoe UI" w:eastAsia="Times New Roman" w:hAnsi="Segoe UI" w:cs="Segoe UI"/>
          <w:color w:val="000000"/>
          <w:sz w:val="22"/>
          <w:lang w:eastAsia="es-CO"/>
        </w:rPr>
        <w:t> del Estatuto Tributario, los contribuyentes o responsables que generen saldos a favor en sus declaraciones tributarias pueden solicitar su devolución dentro de los 2 años siguientes al vencimiento del término para declarar.</w:t>
      </w:r>
    </w:p>
    <w:p w14:paraId="4AFEDE9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EAD216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El </w:t>
      </w:r>
      <w:hyperlink r:id="rId44"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del Estatuto Tributario establece las causales de rechazo de las solicitudes de devolución de saldos a favor. Según esta norma, el rechazo procede, entre otros, cuando: </w:t>
      </w:r>
      <w:r w:rsidRPr="00F00582">
        <w:rPr>
          <w:rFonts w:ascii="Segoe UI" w:eastAsia="Times New Roman" w:hAnsi="Segoe UI" w:cs="Segoe UI"/>
          <w:i/>
          <w:iCs/>
          <w:color w:val="000000"/>
          <w:sz w:val="22"/>
          <w:lang w:eastAsia="es-CO"/>
        </w:rPr>
        <w:t>(i)</w:t>
      </w:r>
      <w:r w:rsidRPr="00F00582">
        <w:rPr>
          <w:rFonts w:ascii="Segoe UI" w:eastAsia="Times New Roman" w:hAnsi="Segoe UI" w:cs="Segoe UI"/>
          <w:color w:val="000000"/>
          <w:sz w:val="22"/>
          <w:lang w:eastAsia="es-CO"/>
        </w:rPr>
        <w:t> se presentan extemporáneamente, es decir, por fuera de los dos años siguientes al vencimiento para declarar</w:t>
      </w:r>
      <w:bookmarkStart w:id="22" w:name="_ftnref22"/>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"_ftn22"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[22]</w:t>
      </w:r>
      <w:r w:rsidRPr="00F00582">
        <w:rPr>
          <w:rFonts w:ascii="Segoe UI" w:eastAsia="Times New Roman" w:hAnsi="Segoe UI" w:cs="Segoe UI"/>
          <w:color w:val="000000"/>
          <w:sz w:val="22"/>
          <w:lang w:eastAsia="es-CO"/>
        </w:rPr>
        <w:fldChar w:fldCharType="end"/>
      </w:r>
      <w:bookmarkEnd w:id="22"/>
      <w:r w:rsidRPr="00F00582">
        <w:rPr>
          <w:rFonts w:ascii="Segoe UI" w:eastAsia="Times New Roman" w:hAnsi="Segoe UI" w:cs="Segoe UI"/>
          <w:color w:val="000000"/>
          <w:sz w:val="22"/>
          <w:lang w:eastAsia="es-CO"/>
        </w:rPr>
        <w:t>,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cuando el saldo a favor ya fue devuelto o compensado y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cuando dentro del término de investigación previa de la solicitud, como resultado de la corrección de la declaración tributaria efectuada por el contribuyente, se genere un saldo a pagar.</w:t>
      </w:r>
    </w:p>
    <w:p w14:paraId="42E7B6F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E62612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Esta Sala ha considerado que las taxativas causales de rechazo de solicitudes de devolución de saldos a favor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obedecen a aspectos formales, que no desvirtúan la existencia o el importe del saldo a favor» </w:t>
      </w:r>
      <w:r w:rsidRPr="00F00582">
        <w:rPr>
          <w:rFonts w:ascii="Segoe UI" w:eastAsia="Times New Roman" w:hAnsi="Segoe UI" w:cs="Segoe UI"/>
          <w:color w:val="000000"/>
          <w:sz w:val="22"/>
          <w:lang w:eastAsia="es-CO"/>
        </w:rPr>
        <w:t xml:space="preserve">(Sentencias del 25 de febrero de 2021,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xml:space="preserve">. 23464, CP Stella Jeannette Carvajal Basto y del 7 de mayo de 2020,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xml:space="preserve">. 22842, CP Julio Roberto Piza Rodríguez). Por esta razón, también ha señalado que, la DIAN carece de competencia para rechazar una solicitud de devolución con fundamento en aspectos sustanciales que impliquen la modificación de la declaración tributaria en la cual se sustenta o que exijan del contribuyente explicaciones que son propias de un proceso de determinación oficial y no del trámite de devoluciones, que es eminentemente formal (Sentencia del 13 de marzo de 2008,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16058 C.P. Ligia López Díaz).</w:t>
      </w:r>
    </w:p>
    <w:p w14:paraId="2F358C4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4525BD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Así las cosas, en opinión de la Sala, la DIAN no puede convertir el trámite de devolución de saldos a favor en un proceso de determinación oficial, porque mientras el saldo a favor registrado en una declaración privada no sea desconocido o modificado mediante una liquidación oficial de revisión, este representa una obligación dineraria a cargo de la Administración de la que es acreedor el contribuyente o responsable.</w:t>
      </w:r>
    </w:p>
    <w:p w14:paraId="569A838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0B58B6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De manera coherente con lo expuesto, en los casos en que la Administración Tributaria advierta posibles inexactitudes en la declaración que sustenta la solicitud de devolución del saldo a favor, el </w:t>
      </w:r>
      <w:hyperlink r:id="rId45"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del Estatuto Tributario le otorga la posibilidad de suspender el término de devolución, hasta por 90 días, con el fin de que la División de Fiscalización inicie una investigación para verificar la procedencia, exactitud o veracidad del saldo a favor y, en caso de encontrarlo improcedente, expida un requerimiento especial para modificar el saldo a favor liquidado por el contribuyente o responsable en su denuncio privado.</w:t>
      </w:r>
    </w:p>
    <w:p w14:paraId="4FB16CF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4AF3B2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Ahora bien, tal y como lo señaló la Sala, en la Sentencia del 26 de febrero de 2015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19569, C.P. Jorge Octavio Ramírez Ramírez), la investigación previa a la devolución puede culminar de dos maneras:</w:t>
      </w:r>
    </w:p>
    <w:p w14:paraId="317DBF5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021EA22"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3.2.1.-</w:t>
      </w:r>
      <w:r w:rsidRPr="00F00582">
        <w:rPr>
          <w:rFonts w:ascii="Segoe UI" w:eastAsia="Times New Roman" w:hAnsi="Segoe UI" w:cs="Segoe UI"/>
          <w:b/>
          <w:bCs/>
          <w:i/>
          <w:iCs/>
          <w:color w:val="000000"/>
          <w:sz w:val="22"/>
          <w:lang w:eastAsia="es-CO"/>
        </w:rPr>
        <w:t>Sin requerimiento especial.</w:t>
      </w:r>
      <w:r w:rsidRPr="00F00582">
        <w:rPr>
          <w:rFonts w:ascii="Segoe UI" w:eastAsia="Times New Roman" w:hAnsi="Segoe UI" w:cs="Segoe UI"/>
          <w:i/>
          <w:iCs/>
          <w:color w:val="000000"/>
          <w:sz w:val="22"/>
          <w:lang w:eastAsia="es-CO"/>
        </w:rPr>
        <w:t> En este evento procede la devolución solicitada por el contribuyente o responsable, en los términos de la solicitud, en vista de que la Administración no encontró inexactitudes en la declaración privada.</w:t>
      </w:r>
    </w:p>
    <w:p w14:paraId="701FF46A"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14F06D16"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3.2.2.-</w:t>
      </w:r>
      <w:r w:rsidRPr="00F00582">
        <w:rPr>
          <w:rFonts w:ascii="Segoe UI" w:eastAsia="Times New Roman" w:hAnsi="Segoe UI" w:cs="Segoe UI"/>
          <w:b/>
          <w:bCs/>
          <w:i/>
          <w:iCs/>
          <w:color w:val="000000"/>
          <w:sz w:val="22"/>
          <w:lang w:eastAsia="es-CO"/>
        </w:rPr>
        <w:t>Con requerimiento especial.</w:t>
      </w:r>
      <w:r w:rsidRPr="00F00582">
        <w:rPr>
          <w:rFonts w:ascii="Segoe UI" w:eastAsia="Times New Roman" w:hAnsi="Segoe UI" w:cs="Segoe UI"/>
          <w:i/>
          <w:iCs/>
          <w:color w:val="000000"/>
          <w:sz w:val="22"/>
          <w:lang w:eastAsia="es-CO"/>
        </w:rPr>
        <w:t> En estos casos, se pueden presentar dos eventos, a saber:</w:t>
      </w:r>
    </w:p>
    <w:p w14:paraId="6695B217"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17DE190A"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a) Si el requerimiento especial determina un saldo a favor diferente al solicitado</w:t>
      </w:r>
      <w:r w:rsidRPr="00F00582">
        <w:rPr>
          <w:rFonts w:ascii="Segoe UI" w:eastAsia="Times New Roman" w:hAnsi="Segoe UI" w:cs="Segoe UI"/>
          <w:i/>
          <w:iCs/>
          <w:color w:val="000000"/>
          <w:sz w:val="22"/>
          <w:lang w:eastAsia="es-CO"/>
        </w:rPr>
        <w:t>, solo procede devolución sobre el saldo a favor que se proponga en el acto, sin que se requiera de una nueva solicitud de devolución o compensación por parte del contribuyente.</w:t>
      </w:r>
    </w:p>
    <w:p w14:paraId="3E7351B3"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69121B4A"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b) Si el requerimiento especial determina un saldo a pagar </w:t>
      </w:r>
      <w:r w:rsidRPr="00F00582">
        <w:rPr>
          <w:rFonts w:ascii="Segoe UI" w:eastAsia="Times New Roman" w:hAnsi="Segoe UI" w:cs="Segoe UI"/>
          <w:i/>
          <w:iCs/>
          <w:color w:val="000000"/>
          <w:sz w:val="22"/>
          <w:lang w:eastAsia="es-CO"/>
        </w:rPr>
        <w:t>–como sucedió en el caso concreto-, la solicitud de devolución será objeto de </w:t>
      </w:r>
      <w:r w:rsidRPr="00F00582">
        <w:rPr>
          <w:rFonts w:ascii="Segoe UI" w:eastAsia="Times New Roman" w:hAnsi="Segoe UI" w:cs="Segoe UI"/>
          <w:b/>
          <w:bCs/>
          <w:i/>
          <w:iCs/>
          <w:color w:val="000000"/>
          <w:sz w:val="22"/>
          <w:u w:val="single"/>
          <w:lang w:eastAsia="es-CO"/>
        </w:rPr>
        <w:t>rechazo provisional</w:t>
      </w:r>
      <w:r w:rsidRPr="00F00582">
        <w:rPr>
          <w:rFonts w:ascii="Segoe UI" w:eastAsia="Times New Roman" w:hAnsi="Segoe UI" w:cs="Segoe UI"/>
          <w:i/>
          <w:iCs/>
          <w:color w:val="000000"/>
          <w:sz w:val="22"/>
          <w:lang w:eastAsia="es-CO"/>
        </w:rPr>
        <w:t xml:space="preserve">, mientras se resuelve sobre su procedencia, es decir, hasta que culmine el proceso de determinación y discusión del </w:t>
      </w:r>
      <w:r w:rsidRPr="00F00582">
        <w:rPr>
          <w:rFonts w:ascii="Segoe UI" w:eastAsia="Times New Roman" w:hAnsi="Segoe UI" w:cs="Segoe UI"/>
          <w:i/>
          <w:iCs/>
          <w:color w:val="000000"/>
          <w:sz w:val="22"/>
          <w:lang w:eastAsia="es-CO"/>
        </w:rPr>
        <w:lastRenderedPageBreak/>
        <w:t>tributo o, en otras palabras, hasta que se defina en vía gubernativa y/o judicial sobre la procedencia del saldo a favor declarado.</w:t>
      </w:r>
    </w:p>
    <w:p w14:paraId="76ADC8DC"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03FF9E1B"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No puede perderse de vista que la Sección, en providencia anterior, al analizar un caso similar al que hoy se estudia, afirmó que “la decisión definitiva sobre la procedencia de los saldos a favor y, su devolución, </w:t>
      </w:r>
      <w:r w:rsidRPr="00F00582">
        <w:rPr>
          <w:rFonts w:ascii="Segoe UI" w:eastAsia="Times New Roman" w:hAnsi="Segoe UI" w:cs="Segoe UI"/>
          <w:b/>
          <w:bCs/>
          <w:i/>
          <w:iCs/>
          <w:color w:val="000000"/>
          <w:sz w:val="22"/>
          <w:lang w:eastAsia="es-CO"/>
        </w:rPr>
        <w:t>solo puede tomarse una vez culmine el proceso de determinación del tributo y, se decida su legalidad por la Jurisdicción de lo Contencioso Administrativo</w:t>
      </w:r>
      <w:r w:rsidRPr="00F00582">
        <w:rPr>
          <w:rFonts w:ascii="Segoe UI" w:eastAsia="Times New Roman" w:hAnsi="Segoe UI" w:cs="Segoe UI"/>
          <w:i/>
          <w:iCs/>
          <w:color w:val="000000"/>
          <w:sz w:val="22"/>
          <w:lang w:eastAsia="es-CO"/>
        </w:rPr>
        <w:t>”</w:t>
      </w:r>
      <w:bookmarkStart w:id="23" w:name="_ftnref23"/>
      <w:r w:rsidRPr="00F00582">
        <w:rPr>
          <w:rFonts w:ascii="Segoe UI" w:eastAsia="Times New Roman" w:hAnsi="Segoe UI" w:cs="Segoe UI"/>
          <w:i/>
          <w:iCs/>
          <w:color w:val="000000"/>
          <w:sz w:val="22"/>
          <w:lang w:eastAsia="es-CO"/>
        </w:rPr>
        <w:fldChar w:fldCharType="begin"/>
      </w:r>
      <w:r w:rsidRPr="00F00582">
        <w:rPr>
          <w:rFonts w:ascii="Segoe UI" w:eastAsia="Times New Roman" w:hAnsi="Segoe UI" w:cs="Segoe UI"/>
          <w:i/>
          <w:iCs/>
          <w:color w:val="000000"/>
          <w:sz w:val="22"/>
          <w:lang w:eastAsia="es-CO"/>
        </w:rPr>
        <w:instrText xml:space="preserve"> HYPERLINK "https://www.ceta.org.co/html/vista_de_un_documento.asp?DocumentoID=41992" \l "_ftn23" \o "" </w:instrText>
      </w:r>
      <w:r w:rsidRPr="00F00582">
        <w:rPr>
          <w:rFonts w:ascii="Segoe UI" w:eastAsia="Times New Roman" w:hAnsi="Segoe UI" w:cs="Segoe UI"/>
          <w:i/>
          <w:iCs/>
          <w:color w:val="000000"/>
          <w:sz w:val="22"/>
          <w:lang w:eastAsia="es-CO"/>
        </w:rPr>
        <w:fldChar w:fldCharType="separate"/>
      </w:r>
      <w:r w:rsidRPr="00F00582">
        <w:rPr>
          <w:rFonts w:ascii="Segoe UI" w:eastAsia="Times New Roman" w:hAnsi="Segoe UI" w:cs="Segoe UI"/>
          <w:b/>
          <w:bCs/>
          <w:i/>
          <w:iCs/>
          <w:color w:val="0000FF"/>
          <w:sz w:val="22"/>
          <w:lang w:eastAsia="es-CO"/>
        </w:rPr>
        <w:t>[23]</w:t>
      </w:r>
      <w:r w:rsidRPr="00F00582">
        <w:rPr>
          <w:rFonts w:ascii="Segoe UI" w:eastAsia="Times New Roman" w:hAnsi="Segoe UI" w:cs="Segoe UI"/>
          <w:i/>
          <w:iCs/>
          <w:color w:val="000000"/>
          <w:sz w:val="22"/>
          <w:lang w:eastAsia="es-CO"/>
        </w:rPr>
        <w:fldChar w:fldCharType="end"/>
      </w:r>
      <w:bookmarkEnd w:id="23"/>
      <w:r w:rsidRPr="00F00582">
        <w:rPr>
          <w:rFonts w:ascii="Segoe UI" w:eastAsia="Times New Roman" w:hAnsi="Segoe UI" w:cs="Segoe UI"/>
          <w:i/>
          <w:iCs/>
          <w:color w:val="000000"/>
          <w:sz w:val="22"/>
          <w:lang w:eastAsia="es-CO"/>
        </w:rPr>
        <w:t> (Negrillas fuera de texto).</w:t>
      </w:r>
    </w:p>
    <w:p w14:paraId="006120CB"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2933BAF4"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En este caso, una vez determinado de </w:t>
      </w:r>
      <w:r w:rsidRPr="00F00582">
        <w:rPr>
          <w:rFonts w:ascii="Segoe UI" w:eastAsia="Times New Roman" w:hAnsi="Segoe UI" w:cs="Segoe UI"/>
          <w:b/>
          <w:bCs/>
          <w:i/>
          <w:iCs/>
          <w:color w:val="000000"/>
          <w:sz w:val="22"/>
          <w:lang w:eastAsia="es-CO"/>
        </w:rPr>
        <w:t>manera definitiva</w:t>
      </w:r>
      <w:r w:rsidRPr="00F00582">
        <w:rPr>
          <w:rFonts w:ascii="Segoe UI" w:eastAsia="Times New Roman" w:hAnsi="Segoe UI" w:cs="Segoe UI"/>
          <w:i/>
          <w:iCs/>
          <w:color w:val="000000"/>
          <w:sz w:val="22"/>
          <w:lang w:eastAsia="es-CO"/>
        </w:rPr>
        <w:t xml:space="preserve"> el saldo a favor del </w:t>
      </w:r>
      <w:proofErr w:type="gramStart"/>
      <w:r w:rsidRPr="00F00582">
        <w:rPr>
          <w:rFonts w:ascii="Segoe UI" w:eastAsia="Times New Roman" w:hAnsi="Segoe UI" w:cs="Segoe UI"/>
          <w:i/>
          <w:iCs/>
          <w:color w:val="000000"/>
          <w:sz w:val="22"/>
          <w:lang w:eastAsia="es-CO"/>
        </w:rPr>
        <w:t>contribuyente,</w:t>
      </w:r>
      <w:proofErr w:type="gramEnd"/>
      <w:r w:rsidRPr="00F00582">
        <w:rPr>
          <w:rFonts w:ascii="Segoe UI" w:eastAsia="Times New Roman" w:hAnsi="Segoe UI" w:cs="Segoe UI"/>
          <w:i/>
          <w:iCs/>
          <w:color w:val="000000"/>
          <w:sz w:val="22"/>
          <w:lang w:eastAsia="es-CO"/>
        </w:rPr>
        <w:t> </w:t>
      </w:r>
      <w:r w:rsidRPr="00F00582">
        <w:rPr>
          <w:rFonts w:ascii="Segoe UI" w:eastAsia="Times New Roman" w:hAnsi="Segoe UI" w:cs="Segoe UI"/>
          <w:b/>
          <w:bCs/>
          <w:i/>
          <w:iCs/>
          <w:color w:val="000000"/>
          <w:sz w:val="22"/>
          <w:lang w:eastAsia="es-CO"/>
        </w:rPr>
        <w:t>no es necesario una nueva solicitud de devolución o compensación</w:t>
      </w:r>
      <w:r w:rsidRPr="00F00582">
        <w:rPr>
          <w:rFonts w:ascii="Segoe UI" w:eastAsia="Times New Roman" w:hAnsi="Segoe UI" w:cs="Segoe UI"/>
          <w:i/>
          <w:iCs/>
          <w:color w:val="000000"/>
          <w:sz w:val="22"/>
          <w:lang w:eastAsia="es-CO"/>
        </w:rPr>
        <w:t>, como lo alega la DIAN, sino que basta con que el contribuyente presente la copia del acto o providencia respectiva»</w:t>
      </w:r>
      <w:r w:rsidRPr="00F00582">
        <w:rPr>
          <w:rFonts w:ascii="Segoe UI" w:eastAsia="Times New Roman" w:hAnsi="Segoe UI" w:cs="Segoe UI"/>
          <w:color w:val="000000"/>
          <w:sz w:val="22"/>
          <w:lang w:eastAsia="es-CO"/>
        </w:rPr>
        <w:t> (Negrillas del texto original).</w:t>
      </w:r>
    </w:p>
    <w:p w14:paraId="4097E6C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E7C404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De acuerdo con lo expuesto, esta Sala ha manifestado que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lang w:eastAsia="es-CO"/>
        </w:rPr>
        <w:t>una solicitud de devolución de saldos a favor no puede ser rechazada con fundamento en una supuesta imputación indebida, pues si la Administración desea controvertir el saldo a favor debe iniciar un procedimiento de revisión de la declaración respectiva»</w:t>
      </w:r>
      <w:r w:rsidRPr="00F00582">
        <w:rPr>
          <w:rFonts w:ascii="Segoe UI" w:eastAsia="Times New Roman" w:hAnsi="Segoe UI" w:cs="Segoe UI"/>
          <w:color w:val="000000"/>
          <w:sz w:val="22"/>
          <w:lang w:eastAsia="es-CO"/>
        </w:rPr>
        <w:t xml:space="preserve"> (Sentencias del 7 de mayo 2020,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22842, CP: Julio Roberto Piza Rodríguez y del 26 de febrero del 2015,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19569, CP: Jorge Octavio Ramírez Ramírez).</w:t>
      </w:r>
    </w:p>
    <w:p w14:paraId="1FB98B5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C22D23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Esta conclusión se refuerza al analizar los artículos </w:t>
      </w:r>
      <w:hyperlink r:id="rId46" w:tooltip="Estatuto Tributario CETA" w:history="1">
        <w:r w:rsidRPr="00F00582">
          <w:rPr>
            <w:rFonts w:ascii="Segoe UI" w:eastAsia="Times New Roman" w:hAnsi="Segoe UI" w:cs="Segoe UI"/>
            <w:color w:val="0089E1"/>
            <w:sz w:val="22"/>
            <w:u w:val="single"/>
            <w:lang w:eastAsia="es-CO"/>
          </w:rPr>
          <w:t>670</w:t>
        </w:r>
      </w:hyperlink>
      <w:r w:rsidRPr="00F00582">
        <w:rPr>
          <w:rFonts w:ascii="Segoe UI" w:eastAsia="Times New Roman" w:hAnsi="Segoe UI" w:cs="Segoe UI"/>
          <w:color w:val="000000"/>
          <w:sz w:val="22"/>
          <w:lang w:eastAsia="es-CO"/>
        </w:rPr>
        <w:t> y </w:t>
      </w:r>
      <w:hyperlink r:id="rId47" w:tooltip="Estatuto Tributario CETA" w:history="1">
        <w:r w:rsidRPr="00F00582">
          <w:rPr>
            <w:rFonts w:ascii="Segoe UI" w:eastAsia="Times New Roman" w:hAnsi="Segoe UI" w:cs="Segoe UI"/>
            <w:color w:val="0089E1"/>
            <w:sz w:val="22"/>
            <w:u w:val="single"/>
            <w:lang w:eastAsia="es-CO"/>
          </w:rPr>
          <w:t>714</w:t>
        </w:r>
      </w:hyperlink>
      <w:r w:rsidRPr="00F00582">
        <w:rPr>
          <w:rFonts w:ascii="Segoe UI" w:eastAsia="Times New Roman" w:hAnsi="Segoe UI" w:cs="Segoe UI"/>
          <w:color w:val="000000"/>
          <w:sz w:val="22"/>
          <w:lang w:eastAsia="es-CO"/>
        </w:rPr>
        <w:t> del Estatuto Tributario, vigentes para la época. En efecto, cuando se solicita la devolución de un saldo a favor liquidado en una declaración privada, el inciso segundo del </w:t>
      </w:r>
      <w:hyperlink r:id="rId48" w:tooltip="Estatuto Tributario CETA" w:history="1">
        <w:r w:rsidRPr="00F00582">
          <w:rPr>
            <w:rFonts w:ascii="Segoe UI" w:eastAsia="Times New Roman" w:hAnsi="Segoe UI" w:cs="Segoe UI"/>
            <w:color w:val="0089E1"/>
            <w:sz w:val="22"/>
            <w:u w:val="single"/>
            <w:lang w:eastAsia="es-CO"/>
          </w:rPr>
          <w:t>artículo 714</w:t>
        </w:r>
      </w:hyperlink>
      <w:r w:rsidRPr="00F00582">
        <w:rPr>
          <w:rFonts w:ascii="Segoe UI" w:eastAsia="Times New Roman" w:hAnsi="Segoe UI" w:cs="Segoe UI"/>
          <w:color w:val="000000"/>
          <w:sz w:val="22"/>
          <w:lang w:eastAsia="es-CO"/>
        </w:rPr>
        <w:t> amplía el plazo para que la Administración ejerza su facultad de revisión, pues el término de firmeza de dicha declaración será de dos años (actualmente de tres años, en virtud de la modificación de la Ley 2010 de 2019) contados a partir de la fecha de presentación de la solicitud de devolución. Todo lo cual evidencia que la ley tributaria, está estructurada en forma que la modificación de un saldo a favor sea efectuada a través de un procedimiento de determinación, lo que justamente puede desarrollar en el término de firmeza de la declaración.</w:t>
      </w:r>
    </w:p>
    <w:p w14:paraId="4EE71A0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2DEC2D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Consistente con esto, el </w:t>
      </w:r>
      <w:hyperlink r:id="rId49" w:tooltip="Estatuto Tributario CETA" w:history="1">
        <w:r w:rsidRPr="00F00582">
          <w:rPr>
            <w:rFonts w:ascii="Segoe UI" w:eastAsia="Times New Roman" w:hAnsi="Segoe UI" w:cs="Segoe UI"/>
            <w:color w:val="0089E1"/>
            <w:sz w:val="22"/>
            <w:u w:val="single"/>
            <w:lang w:eastAsia="es-CO"/>
          </w:rPr>
          <w:t>artículo 670</w:t>
        </w:r>
      </w:hyperlink>
      <w:r w:rsidRPr="00F00582">
        <w:rPr>
          <w:rFonts w:ascii="Segoe UI" w:eastAsia="Times New Roman" w:hAnsi="Segoe UI" w:cs="Segoe UI"/>
          <w:color w:val="000000"/>
          <w:sz w:val="22"/>
          <w:lang w:eastAsia="es-CO"/>
        </w:rPr>
        <w:t> determina que las devoluciones efectuadas con fundamento en las declaraciones presentadas por los contribuyentes o responsables no constituyen un reconocimiento definitivo a su favor, pues </w:t>
      </w:r>
      <w:r w:rsidRPr="00F00582">
        <w:rPr>
          <w:rFonts w:ascii="Segoe UI" w:eastAsia="Times New Roman" w:hAnsi="Segoe UI" w:cs="Segoe UI"/>
          <w:i/>
          <w:iCs/>
          <w:color w:val="000000"/>
          <w:sz w:val="22"/>
          <w:shd w:val="clear" w:color="auto" w:fill="FFFFFF"/>
          <w:lang w:eastAsia="es-CO"/>
        </w:rPr>
        <w:t>«</w:t>
      </w:r>
      <w:r w:rsidRPr="00F00582">
        <w:rPr>
          <w:rFonts w:ascii="Segoe UI" w:eastAsia="Times New Roman" w:hAnsi="Segoe UI" w:cs="Segoe UI"/>
          <w:i/>
          <w:iCs/>
          <w:color w:val="000000"/>
          <w:sz w:val="22"/>
          <w:u w:val="single"/>
          <w:lang w:eastAsia="es-CO"/>
        </w:rPr>
        <w:t>Si la Administración Tributaria dentro del proceso de determinación, mediante liquidación oficial rechaza o modifica el saldo a favor objeto de devolución o compensación</w:t>
      </w:r>
      <w:r w:rsidRPr="00F00582">
        <w:rPr>
          <w:rFonts w:ascii="Segoe UI" w:eastAsia="Times New Roman" w:hAnsi="Segoe UI" w:cs="Segoe UI"/>
          <w:i/>
          <w:iCs/>
          <w:color w:val="000000"/>
          <w:sz w:val="22"/>
          <w:lang w:eastAsia="es-CO"/>
        </w:rPr>
        <w:t>, deberán reintegrarse las sumas devueltas en exceso más los intereses moratorios que correspondan, aumentados estos últimos en un cincuenta por ciento (50%)»</w:t>
      </w:r>
      <w:r w:rsidRPr="00F00582">
        <w:rPr>
          <w:rFonts w:ascii="Segoe UI" w:eastAsia="Times New Roman" w:hAnsi="Segoe UI" w:cs="Segoe UI"/>
          <w:color w:val="000000"/>
          <w:sz w:val="22"/>
          <w:lang w:eastAsia="es-CO"/>
        </w:rPr>
        <w:t> (subrayado fuera del texto original)</w:t>
      </w:r>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(texto vigente para la época de los hechos).</w:t>
      </w:r>
    </w:p>
    <w:p w14:paraId="06E6218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5A0127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4. En el caso concreto, la Sala observa que, en los actos demandados, la DIAN rechazó la devolución del saldo a favor por valor de $952.679.000, que hacía parte del saldo reflejado en la declaración de IVA del 3 bimestre de 2014, aduciendo que dicha suma correspondía a una imputación indebida del saldo a favor del 2 bimestre de 2013 al 3 bimestre del 2013.</w:t>
      </w:r>
    </w:p>
    <w:p w14:paraId="28F0B5A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5755C0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Conforme con lo anterior, observa la sala que el motivo de rechazo parcial de la solicitud de devolución del saldo a favor aducido por la DIAN en los actos administrativos demandados, no se encuentra comprendido en ninguna de las causales taxativas previstas en el </w:t>
      </w:r>
      <w:hyperlink r:id="rId50" w:tooltip="Estatuto Tributario CETA" w:history="1">
        <w:r w:rsidRPr="00F00582">
          <w:rPr>
            <w:rFonts w:ascii="Segoe UI" w:eastAsia="Times New Roman" w:hAnsi="Segoe UI" w:cs="Segoe UI"/>
            <w:color w:val="0089E1"/>
            <w:sz w:val="22"/>
            <w:u w:val="single"/>
            <w:lang w:eastAsia="es-CO"/>
          </w:rPr>
          <w:t>artículo 857</w:t>
        </w:r>
      </w:hyperlink>
      <w:r w:rsidRPr="00F00582">
        <w:rPr>
          <w:rFonts w:ascii="Segoe UI" w:eastAsia="Times New Roman" w:hAnsi="Segoe UI" w:cs="Segoe UI"/>
          <w:color w:val="000000"/>
          <w:sz w:val="22"/>
          <w:lang w:eastAsia="es-CO"/>
        </w:rPr>
        <w:t xml:space="preserve"> del Estatuto Tributario. </w:t>
      </w:r>
      <w:proofErr w:type="gramStart"/>
      <w:r w:rsidRPr="00F00582">
        <w:rPr>
          <w:rFonts w:ascii="Segoe UI" w:eastAsia="Times New Roman" w:hAnsi="Segoe UI" w:cs="Segoe UI"/>
          <w:color w:val="000000"/>
          <w:sz w:val="22"/>
          <w:lang w:eastAsia="es-CO"/>
        </w:rPr>
        <w:t>El  motivo</w:t>
      </w:r>
      <w:proofErr w:type="gramEnd"/>
      <w:r w:rsidRPr="00F00582">
        <w:rPr>
          <w:rFonts w:ascii="Segoe UI" w:eastAsia="Times New Roman" w:hAnsi="Segoe UI" w:cs="Segoe UI"/>
          <w:color w:val="000000"/>
          <w:sz w:val="22"/>
          <w:lang w:eastAsia="es-CO"/>
        </w:rPr>
        <w:t xml:space="preserve"> de rechazo corresponde a un aspecto sustancial de la declaración del IVA del 3 bimestre del año 2014, que consistía en la improcedencia de parte del saldo a favor allí reflejado y que fue atribuido a la extemporaneidad de la corrección de la declaración de IVA del 3 bimestre de 2013.  En otras palabras, el motivo de rechazo correspondió a un aspecto de fondo de la declaración que implicaba adelantar un proceso de determinación y concluirlo con un acto previo de determinación.</w:t>
      </w:r>
    </w:p>
    <w:p w14:paraId="725921C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071E54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Como se expuso anteriormente, al amparo del </w:t>
      </w:r>
      <w:hyperlink r:id="rId51" w:tooltip="Estatuto Tributario CETA" w:history="1">
        <w:r w:rsidRPr="00F00582">
          <w:rPr>
            <w:rFonts w:ascii="Segoe UI" w:eastAsia="Times New Roman" w:hAnsi="Segoe UI" w:cs="Segoe UI"/>
            <w:color w:val="0089E1"/>
            <w:sz w:val="22"/>
            <w:u w:val="single"/>
            <w:lang w:eastAsia="es-CO"/>
          </w:rPr>
          <w:t>artículo 857-1</w:t>
        </w:r>
      </w:hyperlink>
      <w:r w:rsidRPr="00F00582">
        <w:rPr>
          <w:rFonts w:ascii="Segoe UI" w:eastAsia="Times New Roman" w:hAnsi="Segoe UI" w:cs="Segoe UI"/>
          <w:color w:val="000000"/>
          <w:sz w:val="22"/>
          <w:lang w:eastAsia="es-CO"/>
        </w:rPr>
        <w:t xml:space="preserve"> del Estatuto Tributario, la DIAN tenía la facultad para proferir requerimiento especial, si como resultado de la investigación determinaba </w:t>
      </w:r>
      <w:r w:rsidRPr="00F00582">
        <w:rPr>
          <w:rFonts w:ascii="Segoe UI" w:eastAsia="Times New Roman" w:hAnsi="Segoe UI" w:cs="Segoe UI"/>
          <w:color w:val="000000"/>
          <w:sz w:val="22"/>
          <w:lang w:eastAsia="es-CO"/>
        </w:rPr>
        <w:lastRenderedPageBreak/>
        <w:t>la necesidad de modificar la declaración para disminuir el saldo a favor allí liquidado y luego proceder a la devolución del remanente del saldo a favor.</w:t>
      </w:r>
    </w:p>
    <w:p w14:paraId="0C76875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A32588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opinión de la Sala, con esta actuación, la Administración convirtió el trámite de devolución en un proceso de determinación oficial, lo cual no le está permitido, tal y como lo señaló esta Sección en la Sentencia del 13 de marzo de 2008 (</w:t>
      </w:r>
      <w:proofErr w:type="spellStart"/>
      <w:r w:rsidRPr="00F00582">
        <w:rPr>
          <w:rFonts w:ascii="Segoe UI" w:eastAsia="Times New Roman" w:hAnsi="Segoe UI" w:cs="Segoe UI"/>
          <w:color w:val="000000"/>
          <w:sz w:val="22"/>
          <w:lang w:eastAsia="es-CO"/>
        </w:rPr>
        <w:t>exp</w:t>
      </w:r>
      <w:proofErr w:type="spellEnd"/>
      <w:r w:rsidRPr="00F00582">
        <w:rPr>
          <w:rFonts w:ascii="Segoe UI" w:eastAsia="Times New Roman" w:hAnsi="Segoe UI" w:cs="Segoe UI"/>
          <w:color w:val="000000"/>
          <w:sz w:val="22"/>
          <w:lang w:eastAsia="es-CO"/>
        </w:rPr>
        <w:t>. 16058 C.P. Ligia López Díaz). Se reitera que, si la demandada consideraba que el saldo a favor registrado por la apelante en la declaración del IVA del 3 bimestre del año 2014 era inexacto o irreal, al reflejar una imputación extemporánea de un saldo a favor originado en períodos anteriores, debió iniciar un proceso de determinación oficial. Lo anterior, comoquiera que mientras el saldo a favor registrado en un denuncio privado no sea desconocido o modificado por una liquidación oficial de revisión, este representa una obligación a cargo de la Administración Tributaria.</w:t>
      </w:r>
    </w:p>
    <w:p w14:paraId="387A7FD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E883F2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este punto, vale la pena aclarar que, contrario a lo mencionado por el </w:t>
      </w:r>
      <w:r w:rsidRPr="00F00582">
        <w:rPr>
          <w:rFonts w:ascii="Segoe UI" w:eastAsia="Times New Roman" w:hAnsi="Segoe UI" w:cs="Segoe UI"/>
          <w:i/>
          <w:iCs/>
          <w:color w:val="000000"/>
          <w:sz w:val="22"/>
          <w:lang w:eastAsia="es-CO"/>
        </w:rPr>
        <w:t>a-quo</w:t>
      </w:r>
      <w:r w:rsidRPr="00F00582">
        <w:rPr>
          <w:rFonts w:ascii="Segoe UI" w:eastAsia="Times New Roman" w:hAnsi="Segoe UI" w:cs="Segoe UI"/>
          <w:color w:val="000000"/>
          <w:sz w:val="22"/>
          <w:lang w:eastAsia="es-CO"/>
        </w:rPr>
        <w:t>, no es posible afirmar que la DIAN rechazó la solicitud de devolución en ejercicio de su facultad de revisión, al haber expedido un Emplazamiento para Corregir frente a la declaración que sustentó la solicitud de devolución. Ello, si se tiene en cuenta que el procedimiento de determinación oficial, a través del cual la Administración ejerce su facultad de revisión, únicamente inicia con la expedición de un requerimiento especial.</w:t>
      </w:r>
    </w:p>
    <w:p w14:paraId="5BEC0E1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9E56E6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5. Por lo expuesto, la Sala revocará la sentencia del 12 de junio de 2019, proferida por el Tribunal Administrativo del Magdalena y, en su lugar, declarará la nulidad de los actos administrativos demandados.</w:t>
      </w:r>
    </w:p>
    <w:p w14:paraId="41C974C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890FC4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A título de restablecimiento del derecho, la Sala ordenará la devolución del saldo a favor por valor de $952.679.000, que fue rechazado por la DIAN, con los intereses, conforme fue solicitado por la parte demandante en las pretensiones de la demanda, en los términos del </w:t>
      </w:r>
      <w:hyperlink r:id="rId52" w:tooltip="Estatuto Tributario CETA" w:history="1">
        <w:r w:rsidRPr="00F00582">
          <w:rPr>
            <w:rFonts w:ascii="Segoe UI" w:eastAsia="Times New Roman" w:hAnsi="Segoe UI" w:cs="Segoe UI"/>
            <w:color w:val="0089E1"/>
            <w:sz w:val="22"/>
            <w:u w:val="single"/>
            <w:lang w:eastAsia="es-CO"/>
          </w:rPr>
          <w:t>artículo 863</w:t>
        </w:r>
      </w:hyperlink>
      <w:r w:rsidRPr="00F00582">
        <w:rPr>
          <w:rFonts w:ascii="Segoe UI" w:eastAsia="Times New Roman" w:hAnsi="Segoe UI" w:cs="Segoe UI"/>
          <w:color w:val="000000"/>
          <w:sz w:val="22"/>
          <w:lang w:eastAsia="es-CO"/>
        </w:rPr>
        <w:t> del Estatuto Tributario esto es, </w:t>
      </w:r>
      <w:r w:rsidRPr="00F00582">
        <w:rPr>
          <w:rFonts w:ascii="Segoe UI" w:eastAsia="Times New Roman" w:hAnsi="Segoe UI" w:cs="Segoe UI"/>
          <w:i/>
          <w:iCs/>
          <w:color w:val="000000"/>
          <w:sz w:val="22"/>
          <w:lang w:eastAsia="es-CO"/>
        </w:rPr>
        <w:t>(i)</w:t>
      </w:r>
      <w:r w:rsidRPr="00F00582">
        <w:rPr>
          <w:rFonts w:ascii="Segoe UI" w:eastAsia="Times New Roman" w:hAnsi="Segoe UI" w:cs="Segoe UI"/>
          <w:color w:val="000000"/>
          <w:sz w:val="22"/>
          <w:lang w:eastAsia="es-CO"/>
        </w:rPr>
        <w:t> los intereses corrientes desde la fecha de notificación del acto que niega la devolución, en este caso, la Resolución de Devolución y Compensación No. 00292, hasta la fecha de ejecutoria de esta providencia, y </w:t>
      </w:r>
      <w:r w:rsidRPr="00F00582">
        <w:rPr>
          <w:rFonts w:ascii="Segoe UI" w:eastAsia="Times New Roman" w:hAnsi="Segoe UI" w:cs="Segoe UI"/>
          <w:i/>
          <w:iCs/>
          <w:color w:val="000000"/>
          <w:sz w:val="22"/>
          <w:lang w:eastAsia="es-CO"/>
        </w:rPr>
        <w:t>(</w:t>
      </w:r>
      <w:proofErr w:type="spellStart"/>
      <w:r w:rsidRPr="00F00582">
        <w:rPr>
          <w:rFonts w:ascii="Segoe UI" w:eastAsia="Times New Roman" w:hAnsi="Segoe UI" w:cs="Segoe UI"/>
          <w:i/>
          <w:iCs/>
          <w:color w:val="000000"/>
          <w:sz w:val="22"/>
          <w:lang w:eastAsia="es-CO"/>
        </w:rPr>
        <w:t>ii</w:t>
      </w:r>
      <w:proofErr w:type="spellEnd"/>
      <w:r w:rsidRPr="00F00582">
        <w:rPr>
          <w:rFonts w:ascii="Segoe UI" w:eastAsia="Times New Roman" w:hAnsi="Segoe UI" w:cs="Segoe UI"/>
          <w:i/>
          <w:iCs/>
          <w:color w:val="000000"/>
          <w:sz w:val="22"/>
          <w:lang w:eastAsia="es-CO"/>
        </w:rPr>
        <w:t>)</w:t>
      </w:r>
      <w:r w:rsidRPr="00F00582">
        <w:rPr>
          <w:rFonts w:ascii="Segoe UI" w:eastAsia="Times New Roman" w:hAnsi="Segoe UI" w:cs="Segoe UI"/>
          <w:color w:val="000000"/>
          <w:sz w:val="22"/>
          <w:lang w:eastAsia="es-CO"/>
        </w:rPr>
        <w:t> los moratorios desde el día siguiente a la ejecutoria de esta providencia y hasta la fecha del giro del cheque, emisión del título o consignación</w:t>
      </w:r>
      <w:bookmarkStart w:id="24" w:name="_ftnref24"/>
      <w:r w:rsidRPr="00F00582">
        <w:rPr>
          <w:rFonts w:ascii="Segoe UI" w:eastAsia="Times New Roman" w:hAnsi="Segoe UI" w:cs="Segoe UI"/>
          <w:color w:val="000000"/>
          <w:sz w:val="22"/>
          <w:lang w:eastAsia="es-CO"/>
        </w:rPr>
        <w:fldChar w:fldCharType="begin"/>
      </w:r>
      <w:r w:rsidRPr="00F00582">
        <w:rPr>
          <w:rFonts w:ascii="Segoe UI" w:eastAsia="Times New Roman" w:hAnsi="Segoe UI" w:cs="Segoe UI"/>
          <w:color w:val="000000"/>
          <w:sz w:val="22"/>
          <w:lang w:eastAsia="es-CO"/>
        </w:rPr>
        <w:instrText xml:space="preserve"> HYPERLINK "https://www.ceta.org.co/html/vista_de_un_documento.asp?DocumentoID=41992" \l "_ftn24" \o "" </w:instrText>
      </w:r>
      <w:r w:rsidRPr="00F00582">
        <w:rPr>
          <w:rFonts w:ascii="Segoe UI" w:eastAsia="Times New Roman" w:hAnsi="Segoe UI" w:cs="Segoe UI"/>
          <w:color w:val="000000"/>
          <w:sz w:val="22"/>
          <w:lang w:eastAsia="es-CO"/>
        </w:rPr>
        <w:fldChar w:fldCharType="separate"/>
      </w:r>
      <w:r w:rsidRPr="00F00582">
        <w:rPr>
          <w:rFonts w:ascii="Segoe UI" w:eastAsia="Times New Roman" w:hAnsi="Segoe UI" w:cs="Segoe UI"/>
          <w:color w:val="0000FF"/>
          <w:sz w:val="22"/>
          <w:lang w:eastAsia="es-CO"/>
        </w:rPr>
        <w:t>[24]</w:t>
      </w:r>
      <w:r w:rsidRPr="00F00582">
        <w:rPr>
          <w:rFonts w:ascii="Segoe UI" w:eastAsia="Times New Roman" w:hAnsi="Segoe UI" w:cs="Segoe UI"/>
          <w:color w:val="000000"/>
          <w:sz w:val="22"/>
          <w:lang w:eastAsia="es-CO"/>
        </w:rPr>
        <w:fldChar w:fldCharType="end"/>
      </w:r>
      <w:bookmarkEnd w:id="24"/>
      <w:r w:rsidRPr="00F00582">
        <w:rPr>
          <w:rFonts w:ascii="Segoe UI" w:eastAsia="Times New Roman" w:hAnsi="Segoe UI" w:cs="Segoe UI"/>
          <w:color w:val="000000"/>
          <w:sz w:val="22"/>
          <w:lang w:eastAsia="es-CO"/>
        </w:rPr>
        <w:t>.</w:t>
      </w:r>
    </w:p>
    <w:p w14:paraId="1D2C47A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6C4B8A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6. Finalmente, no se condenará en costas porque no obra elemento de prueba que demuestre las erogaciones por ese concepto, como lo exige para su procedencia el artículo 365 del Código General del Proceso, aplicable por disposición del artículo 188 del Código de Procedimiento Administrativo y Contencioso Administrativo.</w:t>
      </w:r>
    </w:p>
    <w:p w14:paraId="03ED2F0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D32984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En mérito de lo expuesto, </w:t>
      </w:r>
      <w:r w:rsidRPr="00F00582">
        <w:rPr>
          <w:rFonts w:ascii="Segoe UI" w:eastAsia="Times New Roman" w:hAnsi="Segoe UI" w:cs="Segoe UI"/>
          <w:b/>
          <w:bCs/>
          <w:color w:val="000000"/>
          <w:sz w:val="22"/>
          <w:lang w:eastAsia="es-CO"/>
        </w:rPr>
        <w:t>el Consejo de Estado, Sala de lo Contencioso Administrativo, Sección Cuarta</w:t>
      </w:r>
      <w:r w:rsidRPr="00F00582">
        <w:rPr>
          <w:rFonts w:ascii="Segoe UI" w:eastAsia="Times New Roman" w:hAnsi="Segoe UI" w:cs="Segoe UI"/>
          <w:color w:val="000000"/>
          <w:sz w:val="22"/>
          <w:lang w:eastAsia="es-CO"/>
        </w:rPr>
        <w:t>, administrando justicia en nombre de la República y por autoridad de la ley</w:t>
      </w:r>
    </w:p>
    <w:p w14:paraId="5909C3F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2DBD644F" w14:textId="77777777" w:rsid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p>
    <w:p w14:paraId="39625AEC" w14:textId="77777777" w:rsidR="00F00582" w:rsidRDefault="00F00582" w:rsidP="00F00582">
      <w:pPr>
        <w:spacing w:after="0" w:line="240" w:lineRule="auto"/>
        <w:jc w:val="both"/>
        <w:rPr>
          <w:rFonts w:ascii="Segoe UI" w:eastAsia="Times New Roman" w:hAnsi="Segoe UI" w:cs="Segoe UI"/>
          <w:color w:val="000000"/>
          <w:sz w:val="22"/>
          <w:lang w:eastAsia="es-CO"/>
        </w:rPr>
      </w:pPr>
    </w:p>
    <w:p w14:paraId="39FC9C5F" w14:textId="77777777" w:rsidR="00F00582" w:rsidRPr="00F00582" w:rsidRDefault="00F00582" w:rsidP="00F00582">
      <w:pPr>
        <w:spacing w:after="0" w:line="240" w:lineRule="auto"/>
        <w:jc w:val="center"/>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FALLA</w:t>
      </w:r>
    </w:p>
    <w:p w14:paraId="2B07C2F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63CEC75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1. Revocar</w:t>
      </w:r>
      <w:r w:rsidRPr="00F00582">
        <w:rPr>
          <w:rFonts w:ascii="Segoe UI" w:eastAsia="Times New Roman" w:hAnsi="Segoe UI" w:cs="Segoe UI"/>
          <w:color w:val="000000"/>
          <w:sz w:val="22"/>
          <w:lang w:eastAsia="es-CO"/>
        </w:rPr>
        <w:t> la sentencia apelada. En su lugar se dispone:</w:t>
      </w:r>
    </w:p>
    <w:p w14:paraId="0EC1E6A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3FBAD8FB"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b/>
          <w:bCs/>
          <w:i/>
          <w:iCs/>
          <w:color w:val="000000"/>
          <w:sz w:val="22"/>
          <w:lang w:eastAsia="es-CO"/>
        </w:rPr>
        <w:t>“</w:t>
      </w:r>
      <w:r w:rsidRPr="00F00582">
        <w:rPr>
          <w:rFonts w:ascii="Segoe UI" w:eastAsia="Times New Roman" w:hAnsi="Segoe UI" w:cs="Segoe UI"/>
          <w:i/>
          <w:iCs/>
          <w:color w:val="000000"/>
          <w:sz w:val="22"/>
          <w:lang w:eastAsia="es-CO"/>
        </w:rPr>
        <w:t>1. </w:t>
      </w:r>
      <w:r w:rsidRPr="00F00582">
        <w:rPr>
          <w:rFonts w:ascii="Segoe UI" w:eastAsia="Times New Roman" w:hAnsi="Segoe UI" w:cs="Segoe UI"/>
          <w:b/>
          <w:bCs/>
          <w:i/>
          <w:iCs/>
          <w:color w:val="000000"/>
          <w:sz w:val="22"/>
          <w:lang w:eastAsia="es-CO"/>
        </w:rPr>
        <w:t>Declarar</w:t>
      </w:r>
      <w:r w:rsidRPr="00F00582">
        <w:rPr>
          <w:rFonts w:ascii="Segoe UI" w:eastAsia="Times New Roman" w:hAnsi="Segoe UI" w:cs="Segoe UI"/>
          <w:i/>
          <w:iCs/>
          <w:color w:val="000000"/>
          <w:sz w:val="22"/>
          <w:lang w:eastAsia="es-CO"/>
        </w:rPr>
        <w:t xml:space="preserve"> la nulidad de la Resolución de Devolución y Compensación COD 6282 Nro. 00292 del 5 de diciembre de 2016 y de la Resolución Nro. 009028 del 17 de noviembre de 2017, que negaron parcialmente la solicitud de devolución del saldo a favor presentada por </w:t>
      </w:r>
      <w:proofErr w:type="spellStart"/>
      <w:r w:rsidRPr="00F00582">
        <w:rPr>
          <w:rFonts w:ascii="Segoe UI" w:eastAsia="Times New Roman" w:hAnsi="Segoe UI" w:cs="Segoe UI"/>
          <w:i/>
          <w:iCs/>
          <w:color w:val="000000"/>
          <w:sz w:val="22"/>
          <w:lang w:eastAsia="es-CO"/>
        </w:rPr>
        <w:t>Palmaceite</w:t>
      </w:r>
      <w:proofErr w:type="spellEnd"/>
      <w:r w:rsidRPr="00F00582">
        <w:rPr>
          <w:rFonts w:ascii="Segoe UI" w:eastAsia="Times New Roman" w:hAnsi="Segoe UI" w:cs="Segoe UI"/>
          <w:i/>
          <w:iCs/>
          <w:color w:val="000000"/>
          <w:sz w:val="22"/>
          <w:lang w:eastAsia="es-CO"/>
        </w:rPr>
        <w:t xml:space="preserve"> S.A.</w:t>
      </w:r>
    </w:p>
    <w:p w14:paraId="7E22EB1F"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 </w:t>
      </w:r>
    </w:p>
    <w:p w14:paraId="1CA31194" w14:textId="77777777" w:rsidR="00F00582" w:rsidRPr="00F00582" w:rsidRDefault="00F00582" w:rsidP="00F00582">
      <w:pPr>
        <w:spacing w:after="0" w:line="240" w:lineRule="auto"/>
        <w:ind w:left="284"/>
        <w:jc w:val="both"/>
        <w:rPr>
          <w:rFonts w:ascii="Arial" w:eastAsia="Times New Roman" w:hAnsi="Arial" w:cs="Arial"/>
          <w:color w:val="000000"/>
          <w:sz w:val="18"/>
          <w:szCs w:val="18"/>
          <w:lang w:eastAsia="es-CO"/>
        </w:rPr>
      </w:pPr>
      <w:r w:rsidRPr="00F00582">
        <w:rPr>
          <w:rFonts w:ascii="Segoe UI" w:eastAsia="Times New Roman" w:hAnsi="Segoe UI" w:cs="Segoe UI"/>
          <w:i/>
          <w:iCs/>
          <w:color w:val="000000"/>
          <w:sz w:val="22"/>
          <w:lang w:eastAsia="es-CO"/>
        </w:rPr>
        <w:t>2. A título de restablecimiento del derecho, se </w:t>
      </w:r>
      <w:r w:rsidRPr="00F00582">
        <w:rPr>
          <w:rFonts w:ascii="Segoe UI" w:eastAsia="Times New Roman" w:hAnsi="Segoe UI" w:cs="Segoe UI"/>
          <w:b/>
          <w:bCs/>
          <w:i/>
          <w:iCs/>
          <w:color w:val="000000"/>
          <w:sz w:val="22"/>
          <w:lang w:eastAsia="es-CO"/>
        </w:rPr>
        <w:t>ordena</w:t>
      </w:r>
      <w:r w:rsidRPr="00F00582">
        <w:rPr>
          <w:rFonts w:ascii="Segoe UI" w:eastAsia="Times New Roman" w:hAnsi="Segoe UI" w:cs="Segoe UI"/>
          <w:i/>
          <w:iCs/>
          <w:color w:val="000000"/>
          <w:sz w:val="22"/>
          <w:lang w:eastAsia="es-CO"/>
        </w:rPr>
        <w:t xml:space="preserve"> a la UAE DIAN devolver a </w:t>
      </w:r>
      <w:proofErr w:type="spellStart"/>
      <w:r w:rsidRPr="00F00582">
        <w:rPr>
          <w:rFonts w:ascii="Segoe UI" w:eastAsia="Times New Roman" w:hAnsi="Segoe UI" w:cs="Segoe UI"/>
          <w:i/>
          <w:iCs/>
          <w:color w:val="000000"/>
          <w:sz w:val="22"/>
          <w:lang w:eastAsia="es-CO"/>
        </w:rPr>
        <w:t>Palmaceite</w:t>
      </w:r>
      <w:proofErr w:type="spellEnd"/>
      <w:r w:rsidRPr="00F00582">
        <w:rPr>
          <w:rFonts w:ascii="Segoe UI" w:eastAsia="Times New Roman" w:hAnsi="Segoe UI" w:cs="Segoe UI"/>
          <w:i/>
          <w:iCs/>
          <w:color w:val="000000"/>
          <w:sz w:val="22"/>
          <w:lang w:eastAsia="es-CO"/>
        </w:rPr>
        <w:t xml:space="preserve"> S.A. la suma de novecientos cincuenta y dos millones seiscientos setenta y nueve mil pesos ($952.679.000), junto con los intereses corrientes y moratorios liquidados en la forma señalada en la parte motiva de esta providencia”.</w:t>
      </w:r>
    </w:p>
    <w:p w14:paraId="36E6246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74E5D949" w14:textId="77777777" w:rsidR="00F00582" w:rsidRDefault="00F00582" w:rsidP="00F00582">
      <w:pPr>
        <w:spacing w:after="0" w:line="240" w:lineRule="auto"/>
        <w:jc w:val="both"/>
        <w:rPr>
          <w:rFonts w:ascii="Segoe UI" w:eastAsia="Times New Roman" w:hAnsi="Segoe UI" w:cs="Segoe UI"/>
          <w:color w:val="000000"/>
          <w:sz w:val="22"/>
          <w:lang w:eastAsia="es-CO"/>
        </w:rPr>
      </w:pPr>
    </w:p>
    <w:p w14:paraId="613B3B1F" w14:textId="77777777" w:rsidR="00F00582" w:rsidRDefault="00F00582" w:rsidP="00F00582">
      <w:pPr>
        <w:spacing w:after="0" w:line="240" w:lineRule="auto"/>
        <w:jc w:val="both"/>
        <w:rPr>
          <w:rFonts w:ascii="Segoe UI" w:eastAsia="Times New Roman" w:hAnsi="Segoe UI" w:cs="Segoe UI"/>
          <w:color w:val="000000"/>
          <w:sz w:val="22"/>
          <w:lang w:eastAsia="es-CO"/>
        </w:rPr>
      </w:pPr>
    </w:p>
    <w:p w14:paraId="20E63823" w14:textId="30CDC63F"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2. Sin condena en costas.</w:t>
      </w:r>
    </w:p>
    <w:p w14:paraId="3B045F2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 </w:t>
      </w:r>
    </w:p>
    <w:p w14:paraId="31C3E74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Cópiese, notifíquese, comuníquese y devuélvase</w:t>
      </w:r>
      <w:r w:rsidRPr="00F00582">
        <w:rPr>
          <w:rFonts w:ascii="Segoe UI" w:eastAsia="Times New Roman" w:hAnsi="Segoe UI" w:cs="Segoe UI"/>
          <w:color w:val="000000"/>
          <w:sz w:val="22"/>
          <w:lang w:eastAsia="es-CO"/>
        </w:rPr>
        <w:t> el expediente al tribunal de origen. </w:t>
      </w:r>
      <w:r w:rsidRPr="00F00582">
        <w:rPr>
          <w:rFonts w:ascii="Segoe UI" w:eastAsia="Times New Roman" w:hAnsi="Segoe UI" w:cs="Segoe UI"/>
          <w:b/>
          <w:bCs/>
          <w:color w:val="000000"/>
          <w:sz w:val="22"/>
          <w:lang w:eastAsia="es-CO"/>
        </w:rPr>
        <w:t>Cúmplase.</w:t>
      </w:r>
    </w:p>
    <w:p w14:paraId="438BCBB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513AF5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La anterior providencia se estudió y aprobó en la sesión de la fecha.</w:t>
      </w:r>
    </w:p>
    <w:p w14:paraId="3F3A270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34F7CE2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21AD424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w:t>
      </w:r>
      <w:r w:rsidRPr="00F00582">
        <w:rPr>
          <w:rFonts w:ascii="Segoe UI" w:eastAsia="Times New Roman" w:hAnsi="Segoe UI" w:cs="Segoe UI"/>
          <w:i/>
          <w:iCs/>
          <w:color w:val="000000"/>
          <w:sz w:val="22"/>
          <w:lang w:eastAsia="es-CO"/>
        </w:rPr>
        <w:t>Firmado electrónicamente</w:t>
      </w:r>
      <w:r w:rsidRPr="00F00582">
        <w:rPr>
          <w:rFonts w:ascii="Segoe UI" w:eastAsia="Times New Roman" w:hAnsi="Segoe UI" w:cs="Segoe UI"/>
          <w:color w:val="000000"/>
          <w:sz w:val="22"/>
          <w:lang w:eastAsia="es-CO"/>
        </w:rPr>
        <w:t>)</w:t>
      </w:r>
    </w:p>
    <w:p w14:paraId="0ED484E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MILTON CHAVES GARCÍA</w:t>
      </w:r>
    </w:p>
    <w:p w14:paraId="09FB1CA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Presidente</w:t>
      </w:r>
    </w:p>
    <w:p w14:paraId="01864BB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181395A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4261104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w:t>
      </w:r>
      <w:r w:rsidRPr="00F00582">
        <w:rPr>
          <w:rFonts w:ascii="Segoe UI" w:eastAsia="Times New Roman" w:hAnsi="Segoe UI" w:cs="Segoe UI"/>
          <w:i/>
          <w:iCs/>
          <w:color w:val="000000"/>
          <w:sz w:val="22"/>
          <w:lang w:eastAsia="es-CO"/>
        </w:rPr>
        <w:t>Firmado electrónicamente</w:t>
      </w:r>
      <w:r w:rsidRPr="00F00582">
        <w:rPr>
          <w:rFonts w:ascii="Segoe UI" w:eastAsia="Times New Roman" w:hAnsi="Segoe UI" w:cs="Segoe UI"/>
          <w:color w:val="000000"/>
          <w:sz w:val="22"/>
          <w:lang w:eastAsia="es-CO"/>
        </w:rPr>
        <w:t>)</w:t>
      </w:r>
    </w:p>
    <w:p w14:paraId="20B9FBE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STELLA JEANNETTE CARVAJAL BASTO</w:t>
      </w:r>
    </w:p>
    <w:p w14:paraId="1A026E9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6A59793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58CDF9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w:t>
      </w:r>
      <w:r w:rsidRPr="00F00582">
        <w:rPr>
          <w:rFonts w:ascii="Segoe UI" w:eastAsia="Times New Roman" w:hAnsi="Segoe UI" w:cs="Segoe UI"/>
          <w:i/>
          <w:iCs/>
          <w:color w:val="000000"/>
          <w:sz w:val="22"/>
          <w:lang w:eastAsia="es-CO"/>
        </w:rPr>
        <w:t>Firmado electrónicamente</w:t>
      </w:r>
      <w:r w:rsidRPr="00F00582">
        <w:rPr>
          <w:rFonts w:ascii="Segoe UI" w:eastAsia="Times New Roman" w:hAnsi="Segoe UI" w:cs="Segoe UI"/>
          <w:color w:val="000000"/>
          <w:sz w:val="22"/>
          <w:lang w:eastAsia="es-CO"/>
        </w:rPr>
        <w:t>)</w:t>
      </w:r>
    </w:p>
    <w:p w14:paraId="086A9A2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MYRIAM STELLA GUTIÉRREZ ARGÜELLO</w:t>
      </w:r>
    </w:p>
    <w:p w14:paraId="7CA9363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290D61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 </w:t>
      </w:r>
    </w:p>
    <w:p w14:paraId="0971CD3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2"/>
          <w:lang w:eastAsia="es-CO"/>
        </w:rPr>
        <w:t>(</w:t>
      </w:r>
      <w:r w:rsidRPr="00F00582">
        <w:rPr>
          <w:rFonts w:ascii="Segoe UI" w:eastAsia="Times New Roman" w:hAnsi="Segoe UI" w:cs="Segoe UI"/>
          <w:i/>
          <w:iCs/>
          <w:color w:val="000000"/>
          <w:sz w:val="22"/>
          <w:lang w:eastAsia="es-CO"/>
        </w:rPr>
        <w:t>Firmado electrónicamente</w:t>
      </w:r>
      <w:r w:rsidRPr="00F00582">
        <w:rPr>
          <w:rFonts w:ascii="Segoe UI" w:eastAsia="Times New Roman" w:hAnsi="Segoe UI" w:cs="Segoe UI"/>
          <w:color w:val="000000"/>
          <w:sz w:val="22"/>
          <w:lang w:eastAsia="es-CO"/>
        </w:rPr>
        <w:t>)</w:t>
      </w:r>
    </w:p>
    <w:p w14:paraId="6DDA1B1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b/>
          <w:bCs/>
          <w:color w:val="000000"/>
          <w:sz w:val="22"/>
          <w:lang w:eastAsia="es-CO"/>
        </w:rPr>
        <w:t>JULIO ROBERTO PIZA RODRÍGUEZ</w:t>
      </w:r>
    </w:p>
    <w:p w14:paraId="634EDC2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br w:type="textWrapping" w:clear="all"/>
      </w:r>
    </w:p>
    <w:p w14:paraId="635F95F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pict w14:anchorId="5F1417E9">
          <v:rect id="_x0000_i1031" style="width:145.85pt;height:.6pt" o:hrpct="330" o:hrstd="t" o:hr="t" fillcolor="#a0a0a0" stroked="f"/>
        </w:pict>
      </w:r>
    </w:p>
    <w:bookmarkStart w:id="25" w:name="_ftn1"/>
    <w:p w14:paraId="6508CC2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w:t>
      </w:r>
      <w:r w:rsidRPr="00F00582">
        <w:rPr>
          <w:rFonts w:ascii="Arial" w:eastAsia="Times New Roman" w:hAnsi="Arial" w:cs="Arial"/>
          <w:color w:val="000000"/>
          <w:sz w:val="18"/>
          <w:szCs w:val="18"/>
          <w:lang w:eastAsia="es-CO"/>
        </w:rPr>
        <w:fldChar w:fldCharType="end"/>
      </w:r>
      <w:bookmarkEnd w:id="25"/>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1045 cuaderno de anexos de la contestación de la demanda.</w:t>
      </w:r>
    </w:p>
    <w:p w14:paraId="1D8C6FC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26" w:name="_ftn2"/>
    <w:p w14:paraId="2FA7D71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"_ftnref2"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[2]</w:t>
      </w:r>
      <w:r w:rsidRPr="00F00582">
        <w:rPr>
          <w:rFonts w:ascii="Arial" w:eastAsia="Times New Roman" w:hAnsi="Arial" w:cs="Arial"/>
          <w:color w:val="000000"/>
          <w:sz w:val="18"/>
          <w:szCs w:val="18"/>
          <w:lang w:eastAsia="es-CO"/>
        </w:rPr>
        <w:fldChar w:fldCharType="end"/>
      </w:r>
      <w:bookmarkEnd w:id="26"/>
      <w:r w:rsidRPr="00F00582">
        <w:rPr>
          <w:rFonts w:ascii="Segoe UI" w:eastAsia="Times New Roman" w:hAnsi="Segoe UI" w:cs="Segoe UI"/>
          <w:color w:val="000000"/>
          <w:sz w:val="20"/>
          <w:szCs w:val="20"/>
          <w:lang w:eastAsia="es-CO"/>
        </w:rPr>
        <w:t> Mediante Formulario Nro. 3001609997936 y Adhesivo Nro. 91000288832400</w:t>
      </w:r>
    </w:p>
    <w:p w14:paraId="54F36BF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27" w:name="_ftn3"/>
    <w:p w14:paraId="1982B29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"_ftnref3"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[3]</w:t>
      </w:r>
      <w:r w:rsidRPr="00F00582">
        <w:rPr>
          <w:rFonts w:ascii="Arial" w:eastAsia="Times New Roman" w:hAnsi="Arial" w:cs="Arial"/>
          <w:color w:val="000000"/>
          <w:sz w:val="18"/>
          <w:szCs w:val="18"/>
          <w:lang w:eastAsia="es-CO"/>
        </w:rPr>
        <w:fldChar w:fldCharType="end"/>
      </w:r>
      <w:bookmarkEnd w:id="27"/>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xml:space="preserve">. 1045 y 1046 </w:t>
      </w:r>
      <w:proofErr w:type="spellStart"/>
      <w:r w:rsidRPr="00F00582">
        <w:rPr>
          <w:rFonts w:ascii="Segoe UI" w:eastAsia="Times New Roman" w:hAnsi="Segoe UI" w:cs="Segoe UI"/>
          <w:color w:val="000000"/>
          <w:sz w:val="20"/>
          <w:szCs w:val="20"/>
          <w:lang w:eastAsia="es-CO"/>
        </w:rPr>
        <w:t>ibídem</w:t>
      </w:r>
      <w:proofErr w:type="spellEnd"/>
      <w:r w:rsidRPr="00F00582">
        <w:rPr>
          <w:rFonts w:ascii="Segoe UI" w:eastAsia="Times New Roman" w:hAnsi="Segoe UI" w:cs="Segoe UI"/>
          <w:color w:val="000000"/>
          <w:sz w:val="20"/>
          <w:szCs w:val="20"/>
          <w:lang w:eastAsia="es-CO"/>
        </w:rPr>
        <w:t>.</w:t>
      </w:r>
    </w:p>
    <w:p w14:paraId="4608F62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28" w:name="_ftn4"/>
    <w:p w14:paraId="60D75C8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"_ftnref4"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[4]</w:t>
      </w:r>
      <w:r w:rsidRPr="00F00582">
        <w:rPr>
          <w:rFonts w:ascii="Arial" w:eastAsia="Times New Roman" w:hAnsi="Arial" w:cs="Arial"/>
          <w:color w:val="000000"/>
          <w:sz w:val="18"/>
          <w:szCs w:val="18"/>
          <w:lang w:eastAsia="es-CO"/>
        </w:rPr>
        <w:fldChar w:fldCharType="end"/>
      </w:r>
      <w:bookmarkEnd w:id="28"/>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46 cuaderno principal y 56 cuaderno contestación de la demanda.</w:t>
      </w:r>
    </w:p>
    <w:p w14:paraId="4106842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29" w:name="_ftn5"/>
    <w:p w14:paraId="3207F04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"_ftnref5"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[5]</w:t>
      </w:r>
      <w:r w:rsidRPr="00F00582">
        <w:rPr>
          <w:rFonts w:ascii="Arial" w:eastAsia="Times New Roman" w:hAnsi="Arial" w:cs="Arial"/>
          <w:color w:val="000000"/>
          <w:sz w:val="18"/>
          <w:szCs w:val="18"/>
          <w:lang w:eastAsia="es-CO"/>
        </w:rPr>
        <w:fldChar w:fldCharType="end"/>
      </w:r>
      <w:bookmarkEnd w:id="29"/>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55 cuaderno de la contestación de la demanda.</w:t>
      </w:r>
    </w:p>
    <w:p w14:paraId="759AC60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0" w:name="_ftn6"/>
    <w:p w14:paraId="4DAB4D9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"_ftnref6"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[6]</w:t>
      </w:r>
      <w:r w:rsidRPr="00F00582">
        <w:rPr>
          <w:rFonts w:ascii="Arial" w:eastAsia="Times New Roman" w:hAnsi="Arial" w:cs="Arial"/>
          <w:color w:val="000000"/>
          <w:sz w:val="18"/>
          <w:szCs w:val="18"/>
          <w:lang w:eastAsia="es-CO"/>
        </w:rPr>
        <w:fldChar w:fldCharType="end"/>
      </w:r>
      <w:bookmarkEnd w:id="30"/>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xml:space="preserve"> 38 ibidem</w:t>
      </w:r>
    </w:p>
    <w:p w14:paraId="3FCC4DE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1" w:name="_ftn7"/>
    <w:p w14:paraId="1BD6868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"_ftnref7"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[7]</w:t>
      </w:r>
      <w:r w:rsidRPr="00F00582">
        <w:rPr>
          <w:rFonts w:ascii="Arial" w:eastAsia="Times New Roman" w:hAnsi="Arial" w:cs="Arial"/>
          <w:color w:val="000000"/>
          <w:sz w:val="18"/>
          <w:szCs w:val="18"/>
          <w:lang w:eastAsia="es-CO"/>
        </w:rPr>
        <w:fldChar w:fldCharType="end"/>
      </w:r>
      <w:bookmarkEnd w:id="31"/>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54 ibidem</w:t>
      </w:r>
    </w:p>
    <w:p w14:paraId="0FF354BE"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2" w:name="_ftn8"/>
    <w:p w14:paraId="0506A7E3"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"_ftnref8"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[8]</w:t>
      </w:r>
      <w:r w:rsidRPr="00F00582">
        <w:rPr>
          <w:rFonts w:ascii="Arial" w:eastAsia="Times New Roman" w:hAnsi="Arial" w:cs="Arial"/>
          <w:color w:val="000000"/>
          <w:sz w:val="18"/>
          <w:szCs w:val="18"/>
          <w:lang w:eastAsia="es-CO"/>
        </w:rPr>
        <w:fldChar w:fldCharType="end"/>
      </w:r>
      <w:bookmarkEnd w:id="32"/>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604-610 ibidem.</w:t>
      </w:r>
    </w:p>
    <w:p w14:paraId="6B635F0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3" w:name="_ftn9"/>
    <w:p w14:paraId="5E420FF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"_ftnref9"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[9]</w:t>
      </w:r>
      <w:r w:rsidRPr="00F00582">
        <w:rPr>
          <w:rFonts w:ascii="Arial" w:eastAsia="Times New Roman" w:hAnsi="Arial" w:cs="Arial"/>
          <w:color w:val="000000"/>
          <w:sz w:val="18"/>
          <w:szCs w:val="18"/>
          <w:lang w:eastAsia="es-CO"/>
        </w:rPr>
        <w:fldChar w:fldCharType="end"/>
      </w:r>
      <w:bookmarkEnd w:id="33"/>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xml:space="preserve"> 643 ibidem</w:t>
      </w:r>
    </w:p>
    <w:p w14:paraId="276AA6E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4" w:name="_ftn10"/>
    <w:p w14:paraId="4192E78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"_ftnref10"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[10]</w:t>
      </w:r>
      <w:r w:rsidRPr="00F00582">
        <w:rPr>
          <w:rFonts w:ascii="Arial" w:eastAsia="Times New Roman" w:hAnsi="Arial" w:cs="Arial"/>
          <w:color w:val="000000"/>
          <w:sz w:val="18"/>
          <w:szCs w:val="18"/>
          <w:lang w:eastAsia="es-CO"/>
        </w:rPr>
        <w:fldChar w:fldCharType="end"/>
      </w:r>
      <w:bookmarkEnd w:id="34"/>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xml:space="preserve"> 603 ibidem</w:t>
      </w:r>
    </w:p>
    <w:p w14:paraId="3BC8210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5" w:name="_ftn11"/>
    <w:p w14:paraId="07A89364"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"_ftnref11"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[11]</w:t>
      </w:r>
      <w:r w:rsidRPr="00F00582">
        <w:rPr>
          <w:rFonts w:ascii="Arial" w:eastAsia="Times New Roman" w:hAnsi="Arial" w:cs="Arial"/>
          <w:color w:val="000000"/>
          <w:sz w:val="18"/>
          <w:szCs w:val="18"/>
          <w:lang w:eastAsia="es-CO"/>
        </w:rPr>
        <w:fldChar w:fldCharType="end"/>
      </w:r>
      <w:bookmarkEnd w:id="35"/>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xml:space="preserve"> 616 y 618 ibidem</w:t>
      </w:r>
    </w:p>
    <w:p w14:paraId="692B287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6" w:name="_ftn12"/>
    <w:p w14:paraId="37BD0FFD"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"_ftnref12"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[12]</w:t>
      </w:r>
      <w:r w:rsidRPr="00F00582">
        <w:rPr>
          <w:rFonts w:ascii="Arial" w:eastAsia="Times New Roman" w:hAnsi="Arial" w:cs="Arial"/>
          <w:color w:val="000000"/>
          <w:sz w:val="18"/>
          <w:szCs w:val="18"/>
          <w:lang w:eastAsia="es-CO"/>
        </w:rPr>
        <w:fldChar w:fldCharType="end"/>
      </w:r>
      <w:bookmarkEnd w:id="36"/>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907 a 909 ibidem</w:t>
      </w:r>
    </w:p>
    <w:p w14:paraId="6B1B28C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7" w:name="_ftn13"/>
    <w:p w14:paraId="0BF98D7B"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"_ftnref13"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[13]</w:t>
      </w:r>
      <w:r w:rsidRPr="00F00582">
        <w:rPr>
          <w:rFonts w:ascii="Arial" w:eastAsia="Times New Roman" w:hAnsi="Arial" w:cs="Arial"/>
          <w:color w:val="000000"/>
          <w:sz w:val="18"/>
          <w:szCs w:val="18"/>
          <w:lang w:eastAsia="es-CO"/>
        </w:rPr>
        <w:fldChar w:fldCharType="end"/>
      </w:r>
      <w:bookmarkEnd w:id="37"/>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937 a 945 ibidem</w:t>
      </w:r>
    </w:p>
    <w:p w14:paraId="7FB559F5"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8" w:name="_ftn14"/>
    <w:p w14:paraId="6B4907A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"_ftnref14"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[14]</w:t>
      </w:r>
      <w:r w:rsidRPr="00F00582">
        <w:rPr>
          <w:rFonts w:ascii="Arial" w:eastAsia="Times New Roman" w:hAnsi="Arial" w:cs="Arial"/>
          <w:color w:val="000000"/>
          <w:sz w:val="18"/>
          <w:szCs w:val="18"/>
          <w:lang w:eastAsia="es-CO"/>
        </w:rPr>
        <w:fldChar w:fldCharType="end"/>
      </w:r>
      <w:bookmarkEnd w:id="38"/>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1031 a 1034 cuaderno de anexos de la contestación de la demanda.</w:t>
      </w:r>
    </w:p>
    <w:p w14:paraId="6BB6C6F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39" w:name="_ftn15"/>
    <w:p w14:paraId="5DFBC7F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"_ftnref15"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[15]</w:t>
      </w:r>
      <w:r w:rsidRPr="00F00582">
        <w:rPr>
          <w:rFonts w:ascii="Arial" w:eastAsia="Times New Roman" w:hAnsi="Arial" w:cs="Arial"/>
          <w:color w:val="000000"/>
          <w:sz w:val="18"/>
          <w:szCs w:val="18"/>
          <w:lang w:eastAsia="es-CO"/>
        </w:rPr>
        <w:fldChar w:fldCharType="end"/>
      </w:r>
      <w:bookmarkEnd w:id="39"/>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xml:space="preserve"> 985 ibidem</w:t>
      </w:r>
    </w:p>
    <w:p w14:paraId="1F3377F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0" w:name="_ftn16"/>
    <w:p w14:paraId="148F31A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"_ftnref16"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[16]</w:t>
      </w:r>
      <w:r w:rsidRPr="00F00582">
        <w:rPr>
          <w:rFonts w:ascii="Arial" w:eastAsia="Times New Roman" w:hAnsi="Arial" w:cs="Arial"/>
          <w:color w:val="000000"/>
          <w:sz w:val="18"/>
          <w:szCs w:val="18"/>
          <w:lang w:eastAsia="es-CO"/>
        </w:rPr>
        <w:fldChar w:fldCharType="end"/>
      </w:r>
      <w:bookmarkEnd w:id="40"/>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991 a 998 ibidem.</w:t>
      </w:r>
    </w:p>
    <w:p w14:paraId="546FA59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1" w:name="_ftn17"/>
    <w:p w14:paraId="5A312D62"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"_ftnref17"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[17]</w:t>
      </w:r>
      <w:r w:rsidRPr="00F00582">
        <w:rPr>
          <w:rFonts w:ascii="Arial" w:eastAsia="Times New Roman" w:hAnsi="Arial" w:cs="Arial"/>
          <w:color w:val="000000"/>
          <w:sz w:val="18"/>
          <w:szCs w:val="18"/>
          <w:lang w:eastAsia="es-CO"/>
        </w:rPr>
        <w:fldChar w:fldCharType="end"/>
      </w:r>
      <w:bookmarkEnd w:id="41"/>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1024 cuaderno de anexos de la contestación de la demanda.</w:t>
      </w:r>
    </w:p>
    <w:p w14:paraId="2BA6EF08"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lastRenderedPageBreak/>
        <w:t> </w:t>
      </w:r>
    </w:p>
    <w:bookmarkStart w:id="42" w:name="_ftn18"/>
    <w:p w14:paraId="3E2CC4FF"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"_ftnref18"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[18]</w:t>
      </w:r>
      <w:r w:rsidRPr="00F00582">
        <w:rPr>
          <w:rFonts w:ascii="Arial" w:eastAsia="Times New Roman" w:hAnsi="Arial" w:cs="Arial"/>
          <w:color w:val="000000"/>
          <w:sz w:val="18"/>
          <w:szCs w:val="18"/>
          <w:lang w:eastAsia="es-CO"/>
        </w:rPr>
        <w:fldChar w:fldCharType="end"/>
      </w:r>
      <w:bookmarkEnd w:id="42"/>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1025 ibidem</w:t>
      </w:r>
    </w:p>
    <w:p w14:paraId="568E423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3" w:name="_ftn19"/>
    <w:p w14:paraId="2A8F91E0"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"_ftnref19"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[19]</w:t>
      </w:r>
      <w:r w:rsidRPr="00F00582">
        <w:rPr>
          <w:rFonts w:ascii="Arial" w:eastAsia="Times New Roman" w:hAnsi="Arial" w:cs="Arial"/>
          <w:color w:val="000000"/>
          <w:sz w:val="18"/>
          <w:szCs w:val="18"/>
          <w:lang w:eastAsia="es-CO"/>
        </w:rPr>
        <w:fldChar w:fldCharType="end"/>
      </w:r>
      <w:bookmarkEnd w:id="43"/>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Fls</w:t>
      </w:r>
      <w:proofErr w:type="spellEnd"/>
      <w:r w:rsidRPr="00F00582">
        <w:rPr>
          <w:rFonts w:ascii="Segoe UI" w:eastAsia="Times New Roman" w:hAnsi="Segoe UI" w:cs="Segoe UI"/>
          <w:color w:val="000000"/>
          <w:sz w:val="20"/>
          <w:szCs w:val="20"/>
          <w:lang w:eastAsia="es-CO"/>
        </w:rPr>
        <w:t>. 375 y 1028 cuaderno de anexos de la contestación de la demanda</w:t>
      </w:r>
    </w:p>
    <w:p w14:paraId="60DBF9F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4" w:name="_ftn20"/>
    <w:p w14:paraId="72107BE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"_ftnref20"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[20]</w:t>
      </w:r>
      <w:r w:rsidRPr="00F00582">
        <w:rPr>
          <w:rFonts w:ascii="Arial" w:eastAsia="Times New Roman" w:hAnsi="Arial" w:cs="Arial"/>
          <w:color w:val="000000"/>
          <w:sz w:val="18"/>
          <w:szCs w:val="18"/>
          <w:lang w:eastAsia="es-CO"/>
        </w:rPr>
        <w:fldChar w:fldCharType="end"/>
      </w:r>
      <w:bookmarkEnd w:id="44"/>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1029 ibidem.</w:t>
      </w:r>
    </w:p>
    <w:p w14:paraId="7D6E0F3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5" w:name="_ftn21"/>
    <w:p w14:paraId="024B1AD6"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"_ftnref21"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[21]</w:t>
      </w:r>
      <w:r w:rsidRPr="00F00582">
        <w:rPr>
          <w:rFonts w:ascii="Arial" w:eastAsia="Times New Roman" w:hAnsi="Arial" w:cs="Arial"/>
          <w:color w:val="000000"/>
          <w:sz w:val="18"/>
          <w:szCs w:val="18"/>
          <w:lang w:eastAsia="es-CO"/>
        </w:rPr>
        <w:fldChar w:fldCharType="end"/>
      </w:r>
      <w:bookmarkEnd w:id="45"/>
      <w:r w:rsidRPr="00F00582">
        <w:rPr>
          <w:rFonts w:ascii="Segoe UI" w:eastAsia="Times New Roman" w:hAnsi="Segoe UI" w:cs="Segoe UI"/>
          <w:color w:val="000000"/>
          <w:sz w:val="20"/>
          <w:szCs w:val="20"/>
          <w:lang w:eastAsia="es-CO"/>
        </w:rPr>
        <w:t> </w:t>
      </w:r>
      <w:proofErr w:type="spellStart"/>
      <w:r w:rsidRPr="00F00582">
        <w:rPr>
          <w:rFonts w:ascii="Segoe UI" w:eastAsia="Times New Roman" w:hAnsi="Segoe UI" w:cs="Segoe UI"/>
          <w:color w:val="000000"/>
          <w:sz w:val="20"/>
          <w:szCs w:val="20"/>
          <w:lang w:eastAsia="es-CO"/>
        </w:rPr>
        <w:t>Fl</w:t>
      </w:r>
      <w:proofErr w:type="spellEnd"/>
      <w:r w:rsidRPr="00F00582">
        <w:rPr>
          <w:rFonts w:ascii="Segoe UI" w:eastAsia="Times New Roman" w:hAnsi="Segoe UI" w:cs="Segoe UI"/>
          <w:color w:val="000000"/>
          <w:sz w:val="20"/>
          <w:szCs w:val="20"/>
          <w:lang w:eastAsia="es-CO"/>
        </w:rPr>
        <w:t>. 56 ibidem</w:t>
      </w:r>
    </w:p>
    <w:p w14:paraId="16513379"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6" w:name="_ftn22"/>
    <w:p w14:paraId="4430777C"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"_ftnref22"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[22]</w:t>
      </w:r>
      <w:r w:rsidRPr="00F00582">
        <w:rPr>
          <w:rFonts w:ascii="Arial" w:eastAsia="Times New Roman" w:hAnsi="Arial" w:cs="Arial"/>
          <w:color w:val="000000"/>
          <w:sz w:val="18"/>
          <w:szCs w:val="18"/>
          <w:lang w:eastAsia="es-CO"/>
        </w:rPr>
        <w:fldChar w:fldCharType="end"/>
      </w:r>
      <w:bookmarkEnd w:id="46"/>
      <w:r w:rsidRPr="00F00582">
        <w:rPr>
          <w:rFonts w:ascii="Segoe UI" w:eastAsia="Times New Roman" w:hAnsi="Segoe UI" w:cs="Segoe UI"/>
          <w:color w:val="000000"/>
          <w:sz w:val="20"/>
          <w:szCs w:val="20"/>
          <w:lang w:eastAsia="es-CO"/>
        </w:rPr>
        <w:t> </w:t>
      </w:r>
      <w:hyperlink r:id="rId53" w:tooltip="Estatuto Tributario CETA" w:history="1">
        <w:r w:rsidRPr="00F00582">
          <w:rPr>
            <w:rFonts w:ascii="Segoe UI" w:eastAsia="Times New Roman" w:hAnsi="Segoe UI" w:cs="Segoe UI"/>
            <w:color w:val="0089E1"/>
            <w:sz w:val="20"/>
            <w:szCs w:val="20"/>
            <w:u w:val="single"/>
            <w:lang w:eastAsia="es-CO"/>
          </w:rPr>
          <w:t>Artículo 854</w:t>
        </w:r>
      </w:hyperlink>
      <w:r w:rsidRPr="00F00582">
        <w:rPr>
          <w:rFonts w:ascii="Segoe UI" w:eastAsia="Times New Roman" w:hAnsi="Segoe UI" w:cs="Segoe UI"/>
          <w:color w:val="000000"/>
          <w:sz w:val="20"/>
          <w:szCs w:val="20"/>
          <w:lang w:eastAsia="es-CO"/>
        </w:rPr>
        <w:t> del Estatuto Tributario.</w:t>
      </w:r>
    </w:p>
    <w:p w14:paraId="1264A851"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bookmarkStart w:id="47" w:name="_ftn23"/>
    <w:p w14:paraId="3A99DDDA"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Arial" w:eastAsia="Times New Roman" w:hAnsi="Arial" w:cs="Arial"/>
          <w:color w:val="000000"/>
          <w:sz w:val="18"/>
          <w:szCs w:val="18"/>
          <w:lang w:eastAsia="es-CO"/>
        </w:rPr>
        <w:fldChar w:fldCharType="begin"/>
      </w:r>
      <w:r w:rsidRPr="00F00582">
        <w:rPr>
          <w:rFonts w:ascii="Arial" w:eastAsia="Times New Roman" w:hAnsi="Arial" w:cs="Arial"/>
          <w:color w:val="000000"/>
          <w:sz w:val="18"/>
          <w:szCs w:val="18"/>
          <w:lang w:eastAsia="es-CO"/>
        </w:rPr>
        <w:instrText xml:space="preserve"> HYPERLINK "https://www.ceta.org.co/html/vista_de_un_documento.asp?DocumentoID=41992" \l "_ftnref23" \o "" </w:instrText>
      </w:r>
      <w:r w:rsidRPr="00F00582">
        <w:rPr>
          <w:rFonts w:ascii="Arial" w:eastAsia="Times New Roman" w:hAnsi="Arial" w:cs="Arial"/>
          <w:color w:val="000000"/>
          <w:sz w:val="18"/>
          <w:szCs w:val="18"/>
          <w:lang w:eastAsia="es-CO"/>
        </w:rPr>
        <w:fldChar w:fldCharType="separate"/>
      </w:r>
      <w:r w:rsidRPr="00F00582">
        <w:rPr>
          <w:rFonts w:ascii="Segoe UI" w:eastAsia="Times New Roman" w:hAnsi="Segoe UI" w:cs="Segoe UI"/>
          <w:color w:val="0000FF"/>
          <w:sz w:val="20"/>
          <w:szCs w:val="20"/>
          <w:lang w:eastAsia="es-CO"/>
        </w:rPr>
        <w:t>[23]</w:t>
      </w:r>
      <w:r w:rsidRPr="00F00582">
        <w:rPr>
          <w:rFonts w:ascii="Arial" w:eastAsia="Times New Roman" w:hAnsi="Arial" w:cs="Arial"/>
          <w:color w:val="000000"/>
          <w:sz w:val="18"/>
          <w:szCs w:val="18"/>
          <w:lang w:eastAsia="es-CO"/>
        </w:rPr>
        <w:fldChar w:fldCharType="end"/>
      </w:r>
      <w:bookmarkEnd w:id="47"/>
      <w:r w:rsidRPr="00F00582">
        <w:rPr>
          <w:rFonts w:ascii="Segoe UI" w:eastAsia="Times New Roman" w:hAnsi="Segoe UI" w:cs="Segoe UI"/>
          <w:color w:val="000000"/>
          <w:sz w:val="20"/>
          <w:szCs w:val="20"/>
          <w:lang w:eastAsia="es-CO"/>
        </w:rPr>
        <w:t> </w:t>
      </w:r>
      <w:r w:rsidRPr="00F00582">
        <w:rPr>
          <w:rFonts w:ascii="Segoe UI" w:eastAsia="Times New Roman" w:hAnsi="Segoe UI" w:cs="Segoe UI"/>
          <w:color w:val="000000"/>
          <w:sz w:val="20"/>
          <w:szCs w:val="20"/>
          <w:shd w:val="clear" w:color="auto" w:fill="FFFFFF"/>
          <w:lang w:eastAsia="es-CO"/>
        </w:rPr>
        <w:t xml:space="preserve">Consejo de Estado, Sección Cuarta, sentencia del 29 de noviembre de 2012, </w:t>
      </w:r>
      <w:proofErr w:type="gramStart"/>
      <w:r w:rsidRPr="00F00582">
        <w:rPr>
          <w:rFonts w:ascii="Segoe UI" w:eastAsia="Times New Roman" w:hAnsi="Segoe UI" w:cs="Segoe UI"/>
          <w:color w:val="000000"/>
          <w:sz w:val="20"/>
          <w:szCs w:val="20"/>
          <w:shd w:val="clear" w:color="auto" w:fill="FFFFFF"/>
          <w:lang w:eastAsia="es-CO"/>
        </w:rPr>
        <w:t>Consejero</w:t>
      </w:r>
      <w:proofErr w:type="gramEnd"/>
      <w:r w:rsidRPr="00F00582">
        <w:rPr>
          <w:rFonts w:ascii="Segoe UI" w:eastAsia="Times New Roman" w:hAnsi="Segoe UI" w:cs="Segoe UI"/>
          <w:color w:val="000000"/>
          <w:sz w:val="20"/>
          <w:szCs w:val="20"/>
          <w:shd w:val="clear" w:color="auto" w:fill="FFFFFF"/>
          <w:lang w:eastAsia="es-CO"/>
        </w:rPr>
        <w:t xml:space="preserve"> ponente: William Girado Giraldo, radicado: 25000-23-27-000-2006-01353-01 (18849).</w:t>
      </w:r>
    </w:p>
    <w:p w14:paraId="3BE0D767" w14:textId="77777777" w:rsidR="00F00582" w:rsidRPr="00F00582" w:rsidRDefault="00F00582" w:rsidP="00F00582">
      <w:pPr>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 </w:t>
      </w:r>
    </w:p>
    <w:p w14:paraId="731D7232" w14:textId="77777777" w:rsid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p>
    <w:p w14:paraId="251F82CC" w14:textId="77777777" w:rsid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p>
    <w:p w14:paraId="40D82360" w14:textId="4BB2CAEB"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hyperlink r:id="rId54" w:anchor="_ftnref24" w:history="1">
        <w:r w:rsidRPr="00F00582">
          <w:rPr>
            <w:rFonts w:ascii="Segoe UI" w:eastAsia="Times New Roman" w:hAnsi="Segoe UI" w:cs="Segoe UI"/>
            <w:color w:val="0000FF"/>
            <w:sz w:val="20"/>
            <w:szCs w:val="20"/>
            <w:lang w:eastAsia="es-CO"/>
          </w:rPr>
          <w:t>[24]</w:t>
        </w:r>
      </w:hyperlink>
      <w:bookmarkEnd w:id="0"/>
      <w:r w:rsidRPr="00F00582">
        <w:rPr>
          <w:rFonts w:ascii="Segoe UI" w:eastAsia="Times New Roman" w:hAnsi="Segoe UI" w:cs="Segoe UI"/>
          <w:color w:val="000000"/>
          <w:sz w:val="20"/>
          <w:szCs w:val="20"/>
          <w:lang w:eastAsia="es-CO"/>
        </w:rPr>
        <w:t xml:space="preserve"> Sobre los intereses consagrados en el artículo 863 del Estatuto se puede consultar la sentencia del 27 de agosto de 2020 </w:t>
      </w:r>
      <w:proofErr w:type="spellStart"/>
      <w:r w:rsidRPr="00F00582">
        <w:rPr>
          <w:rFonts w:ascii="Segoe UI" w:eastAsia="Times New Roman" w:hAnsi="Segoe UI" w:cs="Segoe UI"/>
          <w:color w:val="000000"/>
          <w:sz w:val="20"/>
          <w:szCs w:val="20"/>
          <w:lang w:eastAsia="es-CO"/>
        </w:rPr>
        <w:t>exp</w:t>
      </w:r>
      <w:proofErr w:type="spellEnd"/>
      <w:r w:rsidRPr="00F00582">
        <w:rPr>
          <w:rFonts w:ascii="Segoe UI" w:eastAsia="Times New Roman" w:hAnsi="Segoe UI" w:cs="Segoe UI"/>
          <w:color w:val="000000"/>
          <w:sz w:val="20"/>
          <w:szCs w:val="20"/>
          <w:lang w:eastAsia="es-CO"/>
        </w:rPr>
        <w:t>. 24080, C.P. Milton Chaves</w:t>
      </w:r>
    </w:p>
    <w:p w14:paraId="3ED1F284" w14:textId="77777777" w:rsidR="00F00582" w:rsidRPr="00F00582" w:rsidRDefault="00F00582" w:rsidP="00F00582">
      <w:pPr>
        <w:shd w:val="clear" w:color="auto" w:fill="FFFFFF"/>
        <w:spacing w:after="0" w:line="240" w:lineRule="auto"/>
        <w:jc w:val="both"/>
        <w:rPr>
          <w:rFonts w:ascii="Arial" w:eastAsia="Times New Roman" w:hAnsi="Arial" w:cs="Arial"/>
          <w:color w:val="000000"/>
          <w:sz w:val="18"/>
          <w:szCs w:val="18"/>
          <w:lang w:eastAsia="es-CO"/>
        </w:rPr>
      </w:pPr>
      <w:r w:rsidRPr="00F00582">
        <w:rPr>
          <w:rFonts w:ascii="Segoe UI" w:eastAsia="Times New Roman" w:hAnsi="Segoe UI" w:cs="Segoe UI"/>
          <w:color w:val="000000"/>
          <w:sz w:val="20"/>
          <w:szCs w:val="20"/>
          <w:lang w:eastAsia="es-CO"/>
        </w:rPr>
        <w:t>García</w:t>
      </w:r>
    </w:p>
    <w:p w14:paraId="74CFD2B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82"/>
    <w:rsid w:val="000B2FDD"/>
    <w:rsid w:val="000F3837"/>
    <w:rsid w:val="001E311E"/>
    <w:rsid w:val="00434AE6"/>
    <w:rsid w:val="007F5CC8"/>
    <w:rsid w:val="008779BE"/>
    <w:rsid w:val="00EB5ADB"/>
    <w:rsid w:val="00F0058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03A0"/>
  <w15:chartTrackingRefBased/>
  <w15:docId w15:val="{83B2BF40-A41B-49E3-8F77-94CB089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0582"/>
    <w:rPr>
      <w:color w:val="0000FF"/>
      <w:u w:val="single"/>
    </w:rPr>
  </w:style>
  <w:style w:type="character" w:customStyle="1" w:styleId="normaltextrun">
    <w:name w:val="normaltextrun"/>
    <w:basedOn w:val="Fuentedeprrafopredeter"/>
    <w:rsid w:val="00F0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851">
      <w:bodyDiv w:val="1"/>
      <w:marLeft w:val="0"/>
      <w:marRight w:val="0"/>
      <w:marTop w:val="0"/>
      <w:marBottom w:val="0"/>
      <w:divBdr>
        <w:top w:val="none" w:sz="0" w:space="0" w:color="auto"/>
        <w:left w:val="none" w:sz="0" w:space="0" w:color="auto"/>
        <w:bottom w:val="none" w:sz="0" w:space="0" w:color="auto"/>
        <w:right w:val="none" w:sz="0" w:space="0" w:color="auto"/>
      </w:divBdr>
    </w:div>
    <w:div w:id="187958533">
      <w:bodyDiv w:val="1"/>
      <w:marLeft w:val="0"/>
      <w:marRight w:val="0"/>
      <w:marTop w:val="0"/>
      <w:marBottom w:val="0"/>
      <w:divBdr>
        <w:top w:val="none" w:sz="0" w:space="0" w:color="auto"/>
        <w:left w:val="none" w:sz="0" w:space="0" w:color="auto"/>
        <w:bottom w:val="none" w:sz="0" w:space="0" w:color="auto"/>
        <w:right w:val="none" w:sz="0" w:space="0" w:color="auto"/>
      </w:divBdr>
    </w:div>
    <w:div w:id="297153631">
      <w:bodyDiv w:val="1"/>
      <w:marLeft w:val="0"/>
      <w:marRight w:val="0"/>
      <w:marTop w:val="0"/>
      <w:marBottom w:val="0"/>
      <w:divBdr>
        <w:top w:val="none" w:sz="0" w:space="0" w:color="auto"/>
        <w:left w:val="none" w:sz="0" w:space="0" w:color="auto"/>
        <w:bottom w:val="none" w:sz="0" w:space="0" w:color="auto"/>
        <w:right w:val="none" w:sz="0" w:space="0" w:color="auto"/>
      </w:divBdr>
      <w:divsChild>
        <w:div w:id="1294099769">
          <w:marLeft w:val="0"/>
          <w:marRight w:val="0"/>
          <w:marTop w:val="0"/>
          <w:marBottom w:val="0"/>
          <w:divBdr>
            <w:top w:val="none" w:sz="0" w:space="0" w:color="auto"/>
            <w:left w:val="none" w:sz="0" w:space="0" w:color="auto"/>
            <w:bottom w:val="none" w:sz="0" w:space="0" w:color="auto"/>
            <w:right w:val="none" w:sz="0" w:space="0" w:color="auto"/>
          </w:divBdr>
          <w:divsChild>
            <w:div w:id="1328897728">
              <w:marLeft w:val="0"/>
              <w:marRight w:val="0"/>
              <w:marTop w:val="0"/>
              <w:marBottom w:val="0"/>
              <w:divBdr>
                <w:top w:val="none" w:sz="0" w:space="0" w:color="auto"/>
                <w:left w:val="none" w:sz="0" w:space="0" w:color="auto"/>
                <w:bottom w:val="none" w:sz="0" w:space="0" w:color="auto"/>
                <w:right w:val="none" w:sz="0" w:space="0" w:color="auto"/>
              </w:divBdr>
            </w:div>
            <w:div w:id="2121875556">
              <w:marLeft w:val="0"/>
              <w:marRight w:val="0"/>
              <w:marTop w:val="0"/>
              <w:marBottom w:val="0"/>
              <w:divBdr>
                <w:top w:val="none" w:sz="0" w:space="0" w:color="auto"/>
                <w:left w:val="none" w:sz="0" w:space="0" w:color="auto"/>
                <w:bottom w:val="none" w:sz="0" w:space="0" w:color="auto"/>
                <w:right w:val="none" w:sz="0" w:space="0" w:color="auto"/>
              </w:divBdr>
            </w:div>
            <w:div w:id="1255632681">
              <w:marLeft w:val="0"/>
              <w:marRight w:val="0"/>
              <w:marTop w:val="0"/>
              <w:marBottom w:val="0"/>
              <w:divBdr>
                <w:top w:val="none" w:sz="0" w:space="0" w:color="auto"/>
                <w:left w:val="none" w:sz="0" w:space="0" w:color="auto"/>
                <w:bottom w:val="none" w:sz="0" w:space="0" w:color="auto"/>
                <w:right w:val="none" w:sz="0" w:space="0" w:color="auto"/>
              </w:divBdr>
            </w:div>
            <w:div w:id="284505629">
              <w:marLeft w:val="0"/>
              <w:marRight w:val="0"/>
              <w:marTop w:val="0"/>
              <w:marBottom w:val="0"/>
              <w:divBdr>
                <w:top w:val="none" w:sz="0" w:space="0" w:color="auto"/>
                <w:left w:val="none" w:sz="0" w:space="0" w:color="auto"/>
                <w:bottom w:val="none" w:sz="0" w:space="0" w:color="auto"/>
                <w:right w:val="none" w:sz="0" w:space="0" w:color="auto"/>
              </w:divBdr>
            </w:div>
            <w:div w:id="2115781451">
              <w:marLeft w:val="0"/>
              <w:marRight w:val="0"/>
              <w:marTop w:val="0"/>
              <w:marBottom w:val="0"/>
              <w:divBdr>
                <w:top w:val="none" w:sz="0" w:space="0" w:color="auto"/>
                <w:left w:val="none" w:sz="0" w:space="0" w:color="auto"/>
                <w:bottom w:val="none" w:sz="0" w:space="0" w:color="auto"/>
                <w:right w:val="none" w:sz="0" w:space="0" w:color="auto"/>
              </w:divBdr>
            </w:div>
            <w:div w:id="560406532">
              <w:marLeft w:val="0"/>
              <w:marRight w:val="0"/>
              <w:marTop w:val="0"/>
              <w:marBottom w:val="0"/>
              <w:divBdr>
                <w:top w:val="none" w:sz="0" w:space="0" w:color="auto"/>
                <w:left w:val="none" w:sz="0" w:space="0" w:color="auto"/>
                <w:bottom w:val="none" w:sz="0" w:space="0" w:color="auto"/>
                <w:right w:val="none" w:sz="0" w:space="0" w:color="auto"/>
              </w:divBdr>
            </w:div>
            <w:div w:id="1336496987">
              <w:marLeft w:val="0"/>
              <w:marRight w:val="0"/>
              <w:marTop w:val="0"/>
              <w:marBottom w:val="0"/>
              <w:divBdr>
                <w:top w:val="none" w:sz="0" w:space="0" w:color="auto"/>
                <w:left w:val="none" w:sz="0" w:space="0" w:color="auto"/>
                <w:bottom w:val="none" w:sz="0" w:space="0" w:color="auto"/>
                <w:right w:val="none" w:sz="0" w:space="0" w:color="auto"/>
              </w:divBdr>
            </w:div>
            <w:div w:id="1922521414">
              <w:marLeft w:val="0"/>
              <w:marRight w:val="0"/>
              <w:marTop w:val="0"/>
              <w:marBottom w:val="0"/>
              <w:divBdr>
                <w:top w:val="none" w:sz="0" w:space="0" w:color="auto"/>
                <w:left w:val="none" w:sz="0" w:space="0" w:color="auto"/>
                <w:bottom w:val="none" w:sz="0" w:space="0" w:color="auto"/>
                <w:right w:val="none" w:sz="0" w:space="0" w:color="auto"/>
              </w:divBdr>
            </w:div>
            <w:div w:id="2088990612">
              <w:marLeft w:val="0"/>
              <w:marRight w:val="0"/>
              <w:marTop w:val="0"/>
              <w:marBottom w:val="0"/>
              <w:divBdr>
                <w:top w:val="none" w:sz="0" w:space="0" w:color="auto"/>
                <w:left w:val="none" w:sz="0" w:space="0" w:color="auto"/>
                <w:bottom w:val="none" w:sz="0" w:space="0" w:color="auto"/>
                <w:right w:val="none" w:sz="0" w:space="0" w:color="auto"/>
              </w:divBdr>
            </w:div>
            <w:div w:id="624585270">
              <w:marLeft w:val="0"/>
              <w:marRight w:val="0"/>
              <w:marTop w:val="0"/>
              <w:marBottom w:val="0"/>
              <w:divBdr>
                <w:top w:val="none" w:sz="0" w:space="0" w:color="auto"/>
                <w:left w:val="none" w:sz="0" w:space="0" w:color="auto"/>
                <w:bottom w:val="none" w:sz="0" w:space="0" w:color="auto"/>
                <w:right w:val="none" w:sz="0" w:space="0" w:color="auto"/>
              </w:divBdr>
            </w:div>
            <w:div w:id="1299651693">
              <w:marLeft w:val="0"/>
              <w:marRight w:val="0"/>
              <w:marTop w:val="0"/>
              <w:marBottom w:val="0"/>
              <w:divBdr>
                <w:top w:val="none" w:sz="0" w:space="0" w:color="auto"/>
                <w:left w:val="none" w:sz="0" w:space="0" w:color="auto"/>
                <w:bottom w:val="none" w:sz="0" w:space="0" w:color="auto"/>
                <w:right w:val="none" w:sz="0" w:space="0" w:color="auto"/>
              </w:divBdr>
            </w:div>
            <w:div w:id="42170826">
              <w:marLeft w:val="0"/>
              <w:marRight w:val="0"/>
              <w:marTop w:val="0"/>
              <w:marBottom w:val="0"/>
              <w:divBdr>
                <w:top w:val="none" w:sz="0" w:space="0" w:color="auto"/>
                <w:left w:val="none" w:sz="0" w:space="0" w:color="auto"/>
                <w:bottom w:val="none" w:sz="0" w:space="0" w:color="auto"/>
                <w:right w:val="none" w:sz="0" w:space="0" w:color="auto"/>
              </w:divBdr>
            </w:div>
            <w:div w:id="1742750414">
              <w:marLeft w:val="0"/>
              <w:marRight w:val="0"/>
              <w:marTop w:val="0"/>
              <w:marBottom w:val="0"/>
              <w:divBdr>
                <w:top w:val="none" w:sz="0" w:space="0" w:color="auto"/>
                <w:left w:val="none" w:sz="0" w:space="0" w:color="auto"/>
                <w:bottom w:val="none" w:sz="0" w:space="0" w:color="auto"/>
                <w:right w:val="none" w:sz="0" w:space="0" w:color="auto"/>
              </w:divBdr>
            </w:div>
            <w:div w:id="87967251">
              <w:marLeft w:val="0"/>
              <w:marRight w:val="0"/>
              <w:marTop w:val="0"/>
              <w:marBottom w:val="0"/>
              <w:divBdr>
                <w:top w:val="none" w:sz="0" w:space="0" w:color="auto"/>
                <w:left w:val="none" w:sz="0" w:space="0" w:color="auto"/>
                <w:bottom w:val="none" w:sz="0" w:space="0" w:color="auto"/>
                <w:right w:val="none" w:sz="0" w:space="0" w:color="auto"/>
              </w:divBdr>
            </w:div>
            <w:div w:id="1445997756">
              <w:marLeft w:val="0"/>
              <w:marRight w:val="0"/>
              <w:marTop w:val="0"/>
              <w:marBottom w:val="0"/>
              <w:divBdr>
                <w:top w:val="none" w:sz="0" w:space="0" w:color="auto"/>
                <w:left w:val="none" w:sz="0" w:space="0" w:color="auto"/>
                <w:bottom w:val="none" w:sz="0" w:space="0" w:color="auto"/>
                <w:right w:val="none" w:sz="0" w:space="0" w:color="auto"/>
              </w:divBdr>
            </w:div>
            <w:div w:id="1062293802">
              <w:marLeft w:val="0"/>
              <w:marRight w:val="0"/>
              <w:marTop w:val="0"/>
              <w:marBottom w:val="0"/>
              <w:divBdr>
                <w:top w:val="none" w:sz="0" w:space="0" w:color="auto"/>
                <w:left w:val="none" w:sz="0" w:space="0" w:color="auto"/>
                <w:bottom w:val="none" w:sz="0" w:space="0" w:color="auto"/>
                <w:right w:val="none" w:sz="0" w:space="0" w:color="auto"/>
              </w:divBdr>
            </w:div>
            <w:div w:id="1764110918">
              <w:marLeft w:val="0"/>
              <w:marRight w:val="0"/>
              <w:marTop w:val="0"/>
              <w:marBottom w:val="0"/>
              <w:divBdr>
                <w:top w:val="none" w:sz="0" w:space="0" w:color="auto"/>
                <w:left w:val="none" w:sz="0" w:space="0" w:color="auto"/>
                <w:bottom w:val="none" w:sz="0" w:space="0" w:color="auto"/>
                <w:right w:val="none" w:sz="0" w:space="0" w:color="auto"/>
              </w:divBdr>
            </w:div>
            <w:div w:id="1308246721">
              <w:marLeft w:val="0"/>
              <w:marRight w:val="0"/>
              <w:marTop w:val="0"/>
              <w:marBottom w:val="0"/>
              <w:divBdr>
                <w:top w:val="none" w:sz="0" w:space="0" w:color="auto"/>
                <w:left w:val="none" w:sz="0" w:space="0" w:color="auto"/>
                <w:bottom w:val="none" w:sz="0" w:space="0" w:color="auto"/>
                <w:right w:val="none" w:sz="0" w:space="0" w:color="auto"/>
              </w:divBdr>
            </w:div>
            <w:div w:id="2082942756">
              <w:marLeft w:val="0"/>
              <w:marRight w:val="0"/>
              <w:marTop w:val="0"/>
              <w:marBottom w:val="0"/>
              <w:divBdr>
                <w:top w:val="none" w:sz="0" w:space="0" w:color="auto"/>
                <w:left w:val="none" w:sz="0" w:space="0" w:color="auto"/>
                <w:bottom w:val="none" w:sz="0" w:space="0" w:color="auto"/>
                <w:right w:val="none" w:sz="0" w:space="0" w:color="auto"/>
              </w:divBdr>
            </w:div>
            <w:div w:id="342704112">
              <w:marLeft w:val="0"/>
              <w:marRight w:val="0"/>
              <w:marTop w:val="0"/>
              <w:marBottom w:val="0"/>
              <w:divBdr>
                <w:top w:val="none" w:sz="0" w:space="0" w:color="auto"/>
                <w:left w:val="none" w:sz="0" w:space="0" w:color="auto"/>
                <w:bottom w:val="none" w:sz="0" w:space="0" w:color="auto"/>
                <w:right w:val="none" w:sz="0" w:space="0" w:color="auto"/>
              </w:divBdr>
            </w:div>
            <w:div w:id="1853952660">
              <w:marLeft w:val="0"/>
              <w:marRight w:val="0"/>
              <w:marTop w:val="0"/>
              <w:marBottom w:val="0"/>
              <w:divBdr>
                <w:top w:val="none" w:sz="0" w:space="0" w:color="auto"/>
                <w:left w:val="none" w:sz="0" w:space="0" w:color="auto"/>
                <w:bottom w:val="none" w:sz="0" w:space="0" w:color="auto"/>
                <w:right w:val="none" w:sz="0" w:space="0" w:color="auto"/>
              </w:divBdr>
            </w:div>
            <w:div w:id="1208761639">
              <w:marLeft w:val="0"/>
              <w:marRight w:val="0"/>
              <w:marTop w:val="0"/>
              <w:marBottom w:val="0"/>
              <w:divBdr>
                <w:top w:val="none" w:sz="0" w:space="0" w:color="auto"/>
                <w:left w:val="none" w:sz="0" w:space="0" w:color="auto"/>
                <w:bottom w:val="none" w:sz="0" w:space="0" w:color="auto"/>
                <w:right w:val="none" w:sz="0" w:space="0" w:color="auto"/>
              </w:divBdr>
            </w:div>
            <w:div w:id="553198399">
              <w:marLeft w:val="0"/>
              <w:marRight w:val="0"/>
              <w:marTop w:val="0"/>
              <w:marBottom w:val="0"/>
              <w:divBdr>
                <w:top w:val="none" w:sz="0" w:space="0" w:color="auto"/>
                <w:left w:val="none" w:sz="0" w:space="0" w:color="auto"/>
                <w:bottom w:val="none" w:sz="0" w:space="0" w:color="auto"/>
                <w:right w:val="none" w:sz="0" w:space="0" w:color="auto"/>
              </w:divBdr>
            </w:div>
            <w:div w:id="9676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866">
      <w:bodyDiv w:val="1"/>
      <w:marLeft w:val="0"/>
      <w:marRight w:val="0"/>
      <w:marTop w:val="0"/>
      <w:marBottom w:val="0"/>
      <w:divBdr>
        <w:top w:val="none" w:sz="0" w:space="0" w:color="auto"/>
        <w:left w:val="none" w:sz="0" w:space="0" w:color="auto"/>
        <w:bottom w:val="none" w:sz="0" w:space="0" w:color="auto"/>
        <w:right w:val="none" w:sz="0" w:space="0" w:color="auto"/>
      </w:divBdr>
    </w:div>
    <w:div w:id="465585317">
      <w:bodyDiv w:val="1"/>
      <w:marLeft w:val="0"/>
      <w:marRight w:val="0"/>
      <w:marTop w:val="0"/>
      <w:marBottom w:val="0"/>
      <w:divBdr>
        <w:top w:val="none" w:sz="0" w:space="0" w:color="auto"/>
        <w:left w:val="none" w:sz="0" w:space="0" w:color="auto"/>
        <w:bottom w:val="none" w:sz="0" w:space="0" w:color="auto"/>
        <w:right w:val="none" w:sz="0" w:space="0" w:color="auto"/>
      </w:divBdr>
    </w:div>
    <w:div w:id="509608495">
      <w:bodyDiv w:val="1"/>
      <w:marLeft w:val="0"/>
      <w:marRight w:val="0"/>
      <w:marTop w:val="0"/>
      <w:marBottom w:val="0"/>
      <w:divBdr>
        <w:top w:val="none" w:sz="0" w:space="0" w:color="auto"/>
        <w:left w:val="none" w:sz="0" w:space="0" w:color="auto"/>
        <w:bottom w:val="none" w:sz="0" w:space="0" w:color="auto"/>
        <w:right w:val="none" w:sz="0" w:space="0" w:color="auto"/>
      </w:divBdr>
    </w:div>
    <w:div w:id="722603487">
      <w:bodyDiv w:val="1"/>
      <w:marLeft w:val="0"/>
      <w:marRight w:val="0"/>
      <w:marTop w:val="0"/>
      <w:marBottom w:val="0"/>
      <w:divBdr>
        <w:top w:val="none" w:sz="0" w:space="0" w:color="auto"/>
        <w:left w:val="none" w:sz="0" w:space="0" w:color="auto"/>
        <w:bottom w:val="none" w:sz="0" w:space="0" w:color="auto"/>
        <w:right w:val="none" w:sz="0" w:space="0" w:color="auto"/>
      </w:divBdr>
    </w:div>
    <w:div w:id="996303251">
      <w:bodyDiv w:val="1"/>
      <w:marLeft w:val="0"/>
      <w:marRight w:val="0"/>
      <w:marTop w:val="0"/>
      <w:marBottom w:val="0"/>
      <w:divBdr>
        <w:top w:val="none" w:sz="0" w:space="0" w:color="auto"/>
        <w:left w:val="none" w:sz="0" w:space="0" w:color="auto"/>
        <w:bottom w:val="none" w:sz="0" w:space="0" w:color="auto"/>
        <w:right w:val="none" w:sz="0" w:space="0" w:color="auto"/>
      </w:divBdr>
    </w:div>
    <w:div w:id="1336759873">
      <w:bodyDiv w:val="1"/>
      <w:marLeft w:val="0"/>
      <w:marRight w:val="0"/>
      <w:marTop w:val="0"/>
      <w:marBottom w:val="0"/>
      <w:divBdr>
        <w:top w:val="none" w:sz="0" w:space="0" w:color="auto"/>
        <w:left w:val="none" w:sz="0" w:space="0" w:color="auto"/>
        <w:bottom w:val="none" w:sz="0" w:space="0" w:color="auto"/>
        <w:right w:val="none" w:sz="0" w:space="0" w:color="auto"/>
      </w:divBdr>
    </w:div>
    <w:div w:id="1417824475">
      <w:bodyDiv w:val="1"/>
      <w:marLeft w:val="0"/>
      <w:marRight w:val="0"/>
      <w:marTop w:val="0"/>
      <w:marBottom w:val="0"/>
      <w:divBdr>
        <w:top w:val="none" w:sz="0" w:space="0" w:color="auto"/>
        <w:left w:val="none" w:sz="0" w:space="0" w:color="auto"/>
        <w:bottom w:val="none" w:sz="0" w:space="0" w:color="auto"/>
        <w:right w:val="none" w:sz="0" w:space="0" w:color="auto"/>
      </w:divBdr>
      <w:divsChild>
        <w:div w:id="1297025739">
          <w:marLeft w:val="0"/>
          <w:marRight w:val="0"/>
          <w:marTop w:val="0"/>
          <w:marBottom w:val="0"/>
          <w:divBdr>
            <w:top w:val="none" w:sz="0" w:space="0" w:color="auto"/>
            <w:left w:val="none" w:sz="0" w:space="0" w:color="auto"/>
            <w:bottom w:val="none" w:sz="0" w:space="0" w:color="auto"/>
            <w:right w:val="none" w:sz="0" w:space="0" w:color="auto"/>
          </w:divBdr>
        </w:div>
        <w:div w:id="736050539">
          <w:marLeft w:val="0"/>
          <w:marRight w:val="0"/>
          <w:marTop w:val="0"/>
          <w:marBottom w:val="0"/>
          <w:divBdr>
            <w:top w:val="none" w:sz="0" w:space="0" w:color="auto"/>
            <w:left w:val="none" w:sz="0" w:space="0" w:color="auto"/>
            <w:bottom w:val="none" w:sz="0" w:space="0" w:color="auto"/>
            <w:right w:val="none" w:sz="0" w:space="0" w:color="auto"/>
          </w:divBdr>
        </w:div>
        <w:div w:id="1473131337">
          <w:marLeft w:val="0"/>
          <w:marRight w:val="0"/>
          <w:marTop w:val="0"/>
          <w:marBottom w:val="0"/>
          <w:divBdr>
            <w:top w:val="none" w:sz="0" w:space="0" w:color="auto"/>
            <w:left w:val="none" w:sz="0" w:space="0" w:color="auto"/>
            <w:bottom w:val="none" w:sz="0" w:space="0" w:color="auto"/>
            <w:right w:val="none" w:sz="0" w:space="0" w:color="auto"/>
          </w:divBdr>
        </w:div>
        <w:div w:id="2135444654">
          <w:marLeft w:val="0"/>
          <w:marRight w:val="0"/>
          <w:marTop w:val="0"/>
          <w:marBottom w:val="0"/>
          <w:divBdr>
            <w:top w:val="none" w:sz="0" w:space="0" w:color="auto"/>
            <w:left w:val="none" w:sz="0" w:space="0" w:color="auto"/>
            <w:bottom w:val="none" w:sz="0" w:space="0" w:color="auto"/>
            <w:right w:val="none" w:sz="0" w:space="0" w:color="auto"/>
          </w:divBdr>
        </w:div>
        <w:div w:id="1324432356">
          <w:marLeft w:val="0"/>
          <w:marRight w:val="0"/>
          <w:marTop w:val="0"/>
          <w:marBottom w:val="0"/>
          <w:divBdr>
            <w:top w:val="none" w:sz="0" w:space="0" w:color="auto"/>
            <w:left w:val="none" w:sz="0" w:space="0" w:color="auto"/>
            <w:bottom w:val="none" w:sz="0" w:space="0" w:color="auto"/>
            <w:right w:val="none" w:sz="0" w:space="0" w:color="auto"/>
          </w:divBdr>
        </w:div>
        <w:div w:id="940456051">
          <w:marLeft w:val="0"/>
          <w:marRight w:val="0"/>
          <w:marTop w:val="0"/>
          <w:marBottom w:val="0"/>
          <w:divBdr>
            <w:top w:val="none" w:sz="0" w:space="0" w:color="auto"/>
            <w:left w:val="none" w:sz="0" w:space="0" w:color="auto"/>
            <w:bottom w:val="none" w:sz="0" w:space="0" w:color="auto"/>
            <w:right w:val="none" w:sz="0" w:space="0" w:color="auto"/>
          </w:divBdr>
        </w:div>
        <w:div w:id="1033383201">
          <w:marLeft w:val="0"/>
          <w:marRight w:val="0"/>
          <w:marTop w:val="0"/>
          <w:marBottom w:val="0"/>
          <w:divBdr>
            <w:top w:val="none" w:sz="0" w:space="0" w:color="auto"/>
            <w:left w:val="none" w:sz="0" w:space="0" w:color="auto"/>
            <w:bottom w:val="none" w:sz="0" w:space="0" w:color="auto"/>
            <w:right w:val="none" w:sz="0" w:space="0" w:color="auto"/>
          </w:divBdr>
        </w:div>
        <w:div w:id="1439830694">
          <w:marLeft w:val="0"/>
          <w:marRight w:val="0"/>
          <w:marTop w:val="0"/>
          <w:marBottom w:val="0"/>
          <w:divBdr>
            <w:top w:val="none" w:sz="0" w:space="0" w:color="auto"/>
            <w:left w:val="none" w:sz="0" w:space="0" w:color="auto"/>
            <w:bottom w:val="none" w:sz="0" w:space="0" w:color="auto"/>
            <w:right w:val="none" w:sz="0" w:space="0" w:color="auto"/>
          </w:divBdr>
        </w:div>
        <w:div w:id="142506957">
          <w:marLeft w:val="0"/>
          <w:marRight w:val="0"/>
          <w:marTop w:val="0"/>
          <w:marBottom w:val="0"/>
          <w:divBdr>
            <w:top w:val="none" w:sz="0" w:space="0" w:color="auto"/>
            <w:left w:val="none" w:sz="0" w:space="0" w:color="auto"/>
            <w:bottom w:val="none" w:sz="0" w:space="0" w:color="auto"/>
            <w:right w:val="none" w:sz="0" w:space="0" w:color="auto"/>
          </w:divBdr>
        </w:div>
        <w:div w:id="592472647">
          <w:marLeft w:val="0"/>
          <w:marRight w:val="0"/>
          <w:marTop w:val="0"/>
          <w:marBottom w:val="0"/>
          <w:divBdr>
            <w:top w:val="none" w:sz="0" w:space="0" w:color="auto"/>
            <w:left w:val="none" w:sz="0" w:space="0" w:color="auto"/>
            <w:bottom w:val="none" w:sz="0" w:space="0" w:color="auto"/>
            <w:right w:val="none" w:sz="0" w:space="0" w:color="auto"/>
          </w:divBdr>
        </w:div>
        <w:div w:id="1336492801">
          <w:marLeft w:val="0"/>
          <w:marRight w:val="0"/>
          <w:marTop w:val="0"/>
          <w:marBottom w:val="0"/>
          <w:divBdr>
            <w:top w:val="none" w:sz="0" w:space="0" w:color="auto"/>
            <w:left w:val="none" w:sz="0" w:space="0" w:color="auto"/>
            <w:bottom w:val="none" w:sz="0" w:space="0" w:color="auto"/>
            <w:right w:val="none" w:sz="0" w:space="0" w:color="auto"/>
          </w:divBdr>
        </w:div>
        <w:div w:id="105737224">
          <w:marLeft w:val="0"/>
          <w:marRight w:val="0"/>
          <w:marTop w:val="0"/>
          <w:marBottom w:val="0"/>
          <w:divBdr>
            <w:top w:val="none" w:sz="0" w:space="0" w:color="auto"/>
            <w:left w:val="none" w:sz="0" w:space="0" w:color="auto"/>
            <w:bottom w:val="none" w:sz="0" w:space="0" w:color="auto"/>
            <w:right w:val="none" w:sz="0" w:space="0" w:color="auto"/>
          </w:divBdr>
        </w:div>
        <w:div w:id="683820305">
          <w:marLeft w:val="0"/>
          <w:marRight w:val="0"/>
          <w:marTop w:val="0"/>
          <w:marBottom w:val="0"/>
          <w:divBdr>
            <w:top w:val="none" w:sz="0" w:space="0" w:color="auto"/>
            <w:left w:val="none" w:sz="0" w:space="0" w:color="auto"/>
            <w:bottom w:val="none" w:sz="0" w:space="0" w:color="auto"/>
            <w:right w:val="none" w:sz="0" w:space="0" w:color="auto"/>
          </w:divBdr>
        </w:div>
        <w:div w:id="985936435">
          <w:marLeft w:val="0"/>
          <w:marRight w:val="0"/>
          <w:marTop w:val="0"/>
          <w:marBottom w:val="0"/>
          <w:divBdr>
            <w:top w:val="none" w:sz="0" w:space="0" w:color="auto"/>
            <w:left w:val="none" w:sz="0" w:space="0" w:color="auto"/>
            <w:bottom w:val="none" w:sz="0" w:space="0" w:color="auto"/>
            <w:right w:val="none" w:sz="0" w:space="0" w:color="auto"/>
          </w:divBdr>
        </w:div>
        <w:div w:id="1857305814">
          <w:marLeft w:val="0"/>
          <w:marRight w:val="0"/>
          <w:marTop w:val="0"/>
          <w:marBottom w:val="0"/>
          <w:divBdr>
            <w:top w:val="none" w:sz="0" w:space="0" w:color="auto"/>
            <w:left w:val="none" w:sz="0" w:space="0" w:color="auto"/>
            <w:bottom w:val="none" w:sz="0" w:space="0" w:color="auto"/>
            <w:right w:val="none" w:sz="0" w:space="0" w:color="auto"/>
          </w:divBdr>
        </w:div>
        <w:div w:id="1842962630">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
        <w:div w:id="1759248553">
          <w:marLeft w:val="0"/>
          <w:marRight w:val="0"/>
          <w:marTop w:val="0"/>
          <w:marBottom w:val="0"/>
          <w:divBdr>
            <w:top w:val="none" w:sz="0" w:space="0" w:color="auto"/>
            <w:left w:val="none" w:sz="0" w:space="0" w:color="auto"/>
            <w:bottom w:val="none" w:sz="0" w:space="0" w:color="auto"/>
            <w:right w:val="none" w:sz="0" w:space="0" w:color="auto"/>
          </w:divBdr>
        </w:div>
        <w:div w:id="1665933143">
          <w:marLeft w:val="0"/>
          <w:marRight w:val="0"/>
          <w:marTop w:val="0"/>
          <w:marBottom w:val="0"/>
          <w:divBdr>
            <w:top w:val="none" w:sz="0" w:space="0" w:color="auto"/>
            <w:left w:val="none" w:sz="0" w:space="0" w:color="auto"/>
            <w:bottom w:val="none" w:sz="0" w:space="0" w:color="auto"/>
            <w:right w:val="none" w:sz="0" w:space="0" w:color="auto"/>
          </w:divBdr>
        </w:div>
        <w:div w:id="1885941318">
          <w:marLeft w:val="0"/>
          <w:marRight w:val="0"/>
          <w:marTop w:val="0"/>
          <w:marBottom w:val="0"/>
          <w:divBdr>
            <w:top w:val="none" w:sz="0" w:space="0" w:color="auto"/>
            <w:left w:val="none" w:sz="0" w:space="0" w:color="auto"/>
            <w:bottom w:val="none" w:sz="0" w:space="0" w:color="auto"/>
            <w:right w:val="none" w:sz="0" w:space="0" w:color="auto"/>
          </w:divBdr>
        </w:div>
        <w:div w:id="1332218067">
          <w:marLeft w:val="0"/>
          <w:marRight w:val="0"/>
          <w:marTop w:val="0"/>
          <w:marBottom w:val="0"/>
          <w:divBdr>
            <w:top w:val="none" w:sz="0" w:space="0" w:color="auto"/>
            <w:left w:val="none" w:sz="0" w:space="0" w:color="auto"/>
            <w:bottom w:val="none" w:sz="0" w:space="0" w:color="auto"/>
            <w:right w:val="none" w:sz="0" w:space="0" w:color="auto"/>
          </w:divBdr>
        </w:div>
        <w:div w:id="332296619">
          <w:marLeft w:val="0"/>
          <w:marRight w:val="0"/>
          <w:marTop w:val="0"/>
          <w:marBottom w:val="0"/>
          <w:divBdr>
            <w:top w:val="none" w:sz="0" w:space="0" w:color="auto"/>
            <w:left w:val="none" w:sz="0" w:space="0" w:color="auto"/>
            <w:bottom w:val="none" w:sz="0" w:space="0" w:color="auto"/>
            <w:right w:val="none" w:sz="0" w:space="0" w:color="auto"/>
          </w:divBdr>
        </w:div>
        <w:div w:id="1499882188">
          <w:marLeft w:val="0"/>
          <w:marRight w:val="0"/>
          <w:marTop w:val="0"/>
          <w:marBottom w:val="0"/>
          <w:divBdr>
            <w:top w:val="none" w:sz="0" w:space="0" w:color="auto"/>
            <w:left w:val="none" w:sz="0" w:space="0" w:color="auto"/>
            <w:bottom w:val="none" w:sz="0" w:space="0" w:color="auto"/>
            <w:right w:val="none" w:sz="0" w:space="0" w:color="auto"/>
          </w:divBdr>
        </w:div>
      </w:divsChild>
    </w:div>
    <w:div w:id="1429078079">
      <w:bodyDiv w:val="1"/>
      <w:marLeft w:val="0"/>
      <w:marRight w:val="0"/>
      <w:marTop w:val="0"/>
      <w:marBottom w:val="0"/>
      <w:divBdr>
        <w:top w:val="none" w:sz="0" w:space="0" w:color="auto"/>
        <w:left w:val="none" w:sz="0" w:space="0" w:color="auto"/>
        <w:bottom w:val="none" w:sz="0" w:space="0" w:color="auto"/>
        <w:right w:val="none" w:sz="0" w:space="0" w:color="auto"/>
      </w:divBdr>
    </w:div>
    <w:div w:id="1511798419">
      <w:bodyDiv w:val="1"/>
      <w:marLeft w:val="0"/>
      <w:marRight w:val="0"/>
      <w:marTop w:val="0"/>
      <w:marBottom w:val="0"/>
      <w:divBdr>
        <w:top w:val="none" w:sz="0" w:space="0" w:color="auto"/>
        <w:left w:val="none" w:sz="0" w:space="0" w:color="auto"/>
        <w:bottom w:val="none" w:sz="0" w:space="0" w:color="auto"/>
        <w:right w:val="none" w:sz="0" w:space="0" w:color="auto"/>
      </w:divBdr>
    </w:div>
    <w:div w:id="1612711197">
      <w:bodyDiv w:val="1"/>
      <w:marLeft w:val="0"/>
      <w:marRight w:val="0"/>
      <w:marTop w:val="0"/>
      <w:marBottom w:val="0"/>
      <w:divBdr>
        <w:top w:val="none" w:sz="0" w:space="0" w:color="auto"/>
        <w:left w:val="none" w:sz="0" w:space="0" w:color="auto"/>
        <w:bottom w:val="none" w:sz="0" w:space="0" w:color="auto"/>
        <w:right w:val="none" w:sz="0" w:space="0" w:color="auto"/>
      </w:divBdr>
    </w:div>
    <w:div w:id="1669139932">
      <w:bodyDiv w:val="1"/>
      <w:marLeft w:val="0"/>
      <w:marRight w:val="0"/>
      <w:marTop w:val="0"/>
      <w:marBottom w:val="0"/>
      <w:divBdr>
        <w:top w:val="none" w:sz="0" w:space="0" w:color="auto"/>
        <w:left w:val="none" w:sz="0" w:space="0" w:color="auto"/>
        <w:bottom w:val="none" w:sz="0" w:space="0" w:color="auto"/>
        <w:right w:val="none" w:sz="0" w:space="0" w:color="auto"/>
      </w:divBdr>
    </w:div>
    <w:div w:id="1689790133">
      <w:bodyDiv w:val="1"/>
      <w:marLeft w:val="0"/>
      <w:marRight w:val="0"/>
      <w:marTop w:val="0"/>
      <w:marBottom w:val="0"/>
      <w:divBdr>
        <w:top w:val="none" w:sz="0" w:space="0" w:color="auto"/>
        <w:left w:val="none" w:sz="0" w:space="0" w:color="auto"/>
        <w:bottom w:val="none" w:sz="0" w:space="0" w:color="auto"/>
        <w:right w:val="none" w:sz="0" w:space="0" w:color="auto"/>
      </w:divBdr>
    </w:div>
    <w:div w:id="18874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058" TargetMode="External"/><Relationship Id="rId18" Type="http://schemas.openxmlformats.org/officeDocument/2006/relationships/hyperlink" Target="https://www.ceta.org.co/html/vista_de_un_articulo.asp?Norma=1066" TargetMode="External"/><Relationship Id="rId26" Type="http://schemas.openxmlformats.org/officeDocument/2006/relationships/hyperlink" Target="https://www.ceta.org.co/html/vista_de_un_articulo.asp?Norma=726" TargetMode="External"/><Relationship Id="rId39" Type="http://schemas.openxmlformats.org/officeDocument/2006/relationships/hyperlink" Target="https://www.ceta.org.co/html/vista_de_un_articulo.asp?Norma=1066" TargetMode="External"/><Relationship Id="rId21" Type="http://schemas.openxmlformats.org/officeDocument/2006/relationships/hyperlink" Target="https://www.ceta.org.co/html/vista_de_un_articulo.asp?Norma=1066" TargetMode="External"/><Relationship Id="rId34" Type="http://schemas.openxmlformats.org/officeDocument/2006/relationships/hyperlink" Target="https://www.ceta.org.co/html/vista_de_un_articulo.asp?Norma=1066" TargetMode="External"/><Relationship Id="rId42" Type="http://schemas.openxmlformats.org/officeDocument/2006/relationships/hyperlink" Target="https://www.ceta.org.co/html/vista_de_un_articulo.asp?Norma=1058" TargetMode="External"/><Relationship Id="rId47" Type="http://schemas.openxmlformats.org/officeDocument/2006/relationships/hyperlink" Target="https://www.ceta.org.co/html/vista_de_un_articulo.asp?Norma=890" TargetMode="External"/><Relationship Id="rId50" Type="http://schemas.openxmlformats.org/officeDocument/2006/relationships/hyperlink" Target="https://www.ceta.org.co/html/vista_de_un_articulo.asp?Norma=1066" TargetMode="External"/><Relationship Id="rId55" Type="http://schemas.openxmlformats.org/officeDocument/2006/relationships/fontTable" Target="fontTable.xml"/><Relationship Id="rId7" Type="http://schemas.openxmlformats.org/officeDocument/2006/relationships/hyperlink" Target="https://www.ceta.org.co/html/vista_de_un_articulo.asp?Norma=1067" TargetMode="External"/><Relationship Id="rId2" Type="http://schemas.openxmlformats.org/officeDocument/2006/relationships/settings" Target="settings.xml"/><Relationship Id="rId16" Type="http://schemas.openxmlformats.org/officeDocument/2006/relationships/hyperlink" Target="https://www.ceta.org.co/html/vista_de_un_articulo.asp?Norma=1067" TargetMode="External"/><Relationship Id="rId29" Type="http://schemas.openxmlformats.org/officeDocument/2006/relationships/hyperlink" Target="https://www.ceta.org.co/html/vista_de_un_articulo.asp?Norma=726" TargetMode="External"/><Relationship Id="rId11" Type="http://schemas.openxmlformats.org/officeDocument/2006/relationships/hyperlink" Target="https://www.ceta.org.co/html/vista_de_un_articulo.asp?Norma=1066" TargetMode="External"/><Relationship Id="rId24" Type="http://schemas.openxmlformats.org/officeDocument/2006/relationships/hyperlink" Target="https://www.ceta.org.co/html/vista_de_un_articulo.asp?Norma=1067" TargetMode="External"/><Relationship Id="rId32" Type="http://schemas.openxmlformats.org/officeDocument/2006/relationships/hyperlink" Target="https://www.ceta.org.co/html/vista_de_un_articulo.asp?Norma=1066" TargetMode="External"/><Relationship Id="rId37" Type="http://schemas.openxmlformats.org/officeDocument/2006/relationships/hyperlink" Target="https://www.ceta.org.co/html/vista_de_un_articulo.asp?Norma=726" TargetMode="External"/><Relationship Id="rId40" Type="http://schemas.openxmlformats.org/officeDocument/2006/relationships/hyperlink" Target="https://www.ceta.org.co/html/vista_de_un_articulo.asp?Norma=1066" TargetMode="External"/><Relationship Id="rId45" Type="http://schemas.openxmlformats.org/officeDocument/2006/relationships/hyperlink" Target="https://www.ceta.org.co/html/vista_de_un_articulo.asp?Norma=1067" TargetMode="External"/><Relationship Id="rId53" Type="http://schemas.openxmlformats.org/officeDocument/2006/relationships/hyperlink" Target="https://www.ceta.org.co/html/vista_de_un_articulo.asp?Norma=1063" TargetMode="External"/><Relationship Id="rId5" Type="http://schemas.openxmlformats.org/officeDocument/2006/relationships/hyperlink" Target="https://www.ceta.org.co/html/vista_de_un_articulo.asp?Norma=1063" TargetMode="External"/><Relationship Id="rId10" Type="http://schemas.openxmlformats.org/officeDocument/2006/relationships/hyperlink" Target="https://www.ceta.org.co/html/vista_de_un_articulo.asp?Norma=890" TargetMode="External"/><Relationship Id="rId19" Type="http://schemas.openxmlformats.org/officeDocument/2006/relationships/hyperlink" Target="https://www.ceta.org.co/html/vista_de_un_articulo.asp?Norma=1067" TargetMode="External"/><Relationship Id="rId31" Type="http://schemas.openxmlformats.org/officeDocument/2006/relationships/hyperlink" Target="https://www.ceta.org.co/html/vista_de_un_articulo.asp?Norma=726" TargetMode="External"/><Relationship Id="rId44" Type="http://schemas.openxmlformats.org/officeDocument/2006/relationships/hyperlink" Target="https://www.ceta.org.co/html/vista_de_un_articulo.asp?Norma=1066" TargetMode="External"/><Relationship Id="rId52" Type="http://schemas.openxmlformats.org/officeDocument/2006/relationships/hyperlink" Target="https://www.ceta.org.co/html/vista_de_un_articulo.asp?Norma=1073" TargetMode="External"/><Relationship Id="rId4" Type="http://schemas.openxmlformats.org/officeDocument/2006/relationships/hyperlink" Target="https://www.ceta.org.co/html/vista_de_un_articulo.asp?Norma=1058" TargetMode="External"/><Relationship Id="rId9" Type="http://schemas.openxmlformats.org/officeDocument/2006/relationships/hyperlink" Target="https://www.ceta.org.co/html/vista_de_un_articulo.asp?Norma=890" TargetMode="External"/><Relationship Id="rId14" Type="http://schemas.openxmlformats.org/officeDocument/2006/relationships/hyperlink" Target="https://www.ceta.org.co/html/vista_de_un_articulo.asp?Norma=1063" TargetMode="External"/><Relationship Id="rId22" Type="http://schemas.openxmlformats.org/officeDocument/2006/relationships/hyperlink" Target="https://www.ceta.org.co/html/vista_de_un_articulo.asp?Norma=1066" TargetMode="External"/><Relationship Id="rId27" Type="http://schemas.openxmlformats.org/officeDocument/2006/relationships/hyperlink" Target="https://www.ceta.org.co/html/vista_de_un_articulo.asp?Norma=725" TargetMode="External"/><Relationship Id="rId30" Type="http://schemas.openxmlformats.org/officeDocument/2006/relationships/hyperlink" Target="https://www.ceta.org.co/html/vista_de_un_articulo.asp?Norma=1066" TargetMode="External"/><Relationship Id="rId35" Type="http://schemas.openxmlformats.org/officeDocument/2006/relationships/hyperlink" Target="https://www.ceta.org.co/html/vista_de_un_articulo.asp?Norma=1066" TargetMode="External"/><Relationship Id="rId43" Type="http://schemas.openxmlformats.org/officeDocument/2006/relationships/hyperlink" Target="https://www.ceta.org.co/html/vista_de_un_articulo.asp?Norma=1063" TargetMode="External"/><Relationship Id="rId48" Type="http://schemas.openxmlformats.org/officeDocument/2006/relationships/hyperlink" Target="https://www.ceta.org.co/html/vista_de_un_articulo.asp?Norma=890" TargetMode="External"/><Relationship Id="rId56" Type="http://schemas.openxmlformats.org/officeDocument/2006/relationships/theme" Target="theme/theme1.xml"/><Relationship Id="rId8" Type="http://schemas.openxmlformats.org/officeDocument/2006/relationships/hyperlink" Target="https://www.ceta.org.co/html/vista_de_un_articulo.asp?Norma=833" TargetMode="External"/><Relationship Id="rId51" Type="http://schemas.openxmlformats.org/officeDocument/2006/relationships/hyperlink" Target="https://www.ceta.org.co/html/vista_de_un_articulo.asp?Norma=1067"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067" TargetMode="External"/><Relationship Id="rId17" Type="http://schemas.openxmlformats.org/officeDocument/2006/relationships/hyperlink" Target="https://www.ceta.org.co/html/vista_de_un_articulo.asp?Norma=1073" TargetMode="External"/><Relationship Id="rId25" Type="http://schemas.openxmlformats.org/officeDocument/2006/relationships/hyperlink" Target="https://www.ceta.org.co/html/vista_de_un_articulo.asp?Norma=1066" TargetMode="External"/><Relationship Id="rId33" Type="http://schemas.openxmlformats.org/officeDocument/2006/relationships/hyperlink" Target="https://www.ceta.org.co/html/vista_de_un_articulo.asp?Norma=1067" TargetMode="External"/><Relationship Id="rId38" Type="http://schemas.openxmlformats.org/officeDocument/2006/relationships/hyperlink" Target="https://www.ceta.org.co/html/vista_de_un_articulo.asp?Norma=890" TargetMode="External"/><Relationship Id="rId46" Type="http://schemas.openxmlformats.org/officeDocument/2006/relationships/hyperlink" Target="https://www.ceta.org.co/html/vista_de_un_articulo.asp?Norma=833" TargetMode="External"/><Relationship Id="rId20" Type="http://schemas.openxmlformats.org/officeDocument/2006/relationships/hyperlink" Target="https://www.ceta.org.co/html/vista_de_un_articulo.asp?Norma=1066" TargetMode="External"/><Relationship Id="rId41" Type="http://schemas.openxmlformats.org/officeDocument/2006/relationships/hyperlink" Target="https://www.ceta.org.co/html/vista_de_un_articulo.asp?Norma=1067" TargetMode="External"/><Relationship Id="rId54" Type="http://schemas.openxmlformats.org/officeDocument/2006/relationships/hyperlink" Target="https://www.ceta.org.co/html/vista_de_un_documento.asp?DocumentoID=41992" TargetMode="External"/><Relationship Id="rId1" Type="http://schemas.openxmlformats.org/officeDocument/2006/relationships/styles" Target="styles.xml"/><Relationship Id="rId6" Type="http://schemas.openxmlformats.org/officeDocument/2006/relationships/hyperlink" Target="https://www.ceta.org.co/html/vista_de_un_articulo.asp?Norma=1066" TargetMode="External"/><Relationship Id="rId15" Type="http://schemas.openxmlformats.org/officeDocument/2006/relationships/hyperlink" Target="https://www.ceta.org.co/html/vista_de_un_articulo.asp?Norma=1066" TargetMode="External"/><Relationship Id="rId23" Type="http://schemas.openxmlformats.org/officeDocument/2006/relationships/hyperlink" Target="https://www.ceta.org.co/html/vista_de_un_articulo.asp?Norma=1066" TargetMode="External"/><Relationship Id="rId28" Type="http://schemas.openxmlformats.org/officeDocument/2006/relationships/hyperlink" Target="https://www.ceta.org.co/html/vista_de_un_articulo.asp?Norma=726" TargetMode="External"/><Relationship Id="rId36" Type="http://schemas.openxmlformats.org/officeDocument/2006/relationships/hyperlink" Target="https://www.ceta.org.co/html/vista_de_un_articulo.asp?Norma=1066" TargetMode="External"/><Relationship Id="rId49" Type="http://schemas.openxmlformats.org/officeDocument/2006/relationships/hyperlink" Target="https://www.ceta.org.co/html/vista_de_un_articulo.asp?Norma=8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8834</Words>
  <Characters>48589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2021-07-30T00:49:00Z</dcterms:created>
  <dcterms:modified xsi:type="dcterms:W3CDTF">2021-07-30T01:04:00Z</dcterms:modified>
</cp:coreProperties>
</file>